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4B0DC" w14:textId="0101077F" w:rsidR="00F01EB9" w:rsidRPr="006F1EB3" w:rsidRDefault="00163A52" w:rsidP="009B17A1">
      <w:pPr>
        <w:rPr>
          <w:rFonts w:cs="Arial"/>
          <w:szCs w:val="20"/>
        </w:rPr>
      </w:pPr>
      <w:r w:rsidRPr="006F1EB3">
        <w:rPr>
          <w:rFonts w:cs="Arial"/>
          <w:b/>
          <w:bCs/>
          <w:szCs w:val="20"/>
        </w:rPr>
        <w:t xml:space="preserve">Symposium </w:t>
      </w:r>
      <w:r w:rsidR="009B17A1" w:rsidRPr="006F1EB3">
        <w:rPr>
          <w:rFonts w:cs="Arial"/>
          <w:b/>
          <w:bCs/>
          <w:szCs w:val="20"/>
        </w:rPr>
        <w:t>Title</w:t>
      </w:r>
      <w:r w:rsidR="009B17A1" w:rsidRPr="006F1EB3">
        <w:rPr>
          <w:rFonts w:cs="Arial"/>
          <w:szCs w:val="20"/>
        </w:rPr>
        <w:t xml:space="preserve">: </w:t>
      </w:r>
      <w:r w:rsidR="00513E98" w:rsidRPr="006F1EB3">
        <w:rPr>
          <w:rFonts w:cs="Arial"/>
          <w:szCs w:val="20"/>
        </w:rPr>
        <w:t xml:space="preserve">GI Symptoms </w:t>
      </w:r>
      <w:r w:rsidR="002F3DFB" w:rsidRPr="006F1EB3">
        <w:rPr>
          <w:rFonts w:cs="Arial"/>
          <w:szCs w:val="20"/>
        </w:rPr>
        <w:t xml:space="preserve">and Food-related Behavior </w:t>
      </w:r>
      <w:r w:rsidR="00513E98" w:rsidRPr="006F1EB3">
        <w:rPr>
          <w:rFonts w:cs="Arial"/>
          <w:szCs w:val="20"/>
        </w:rPr>
        <w:t>in Congenital Neurodevelopmental Syndromes</w:t>
      </w:r>
    </w:p>
    <w:p w14:paraId="7AF660EF" w14:textId="2F18DE0E" w:rsidR="00163A52" w:rsidRPr="006F1EB3" w:rsidRDefault="00163A52" w:rsidP="009B17A1">
      <w:pPr>
        <w:rPr>
          <w:rFonts w:cs="Arial"/>
          <w:szCs w:val="20"/>
        </w:rPr>
      </w:pPr>
      <w:r w:rsidRPr="006F1EB3">
        <w:rPr>
          <w:rFonts w:cs="Arial"/>
          <w:b/>
          <w:bCs/>
          <w:szCs w:val="20"/>
        </w:rPr>
        <w:t>Chair</w:t>
      </w:r>
      <w:r w:rsidR="009B17A1" w:rsidRPr="006F1EB3">
        <w:rPr>
          <w:rFonts w:cs="Arial"/>
          <w:szCs w:val="20"/>
        </w:rPr>
        <w:t xml:space="preserve">: </w:t>
      </w:r>
      <w:r w:rsidR="00513E98" w:rsidRPr="006F1EB3">
        <w:rPr>
          <w:rFonts w:cs="Arial"/>
          <w:szCs w:val="20"/>
        </w:rPr>
        <w:t>Sara M. Andrew</w:t>
      </w:r>
      <w:r w:rsidR="00992210" w:rsidRPr="006F1EB3">
        <w:rPr>
          <w:rFonts w:cs="Arial"/>
          <w:szCs w:val="20"/>
        </w:rPr>
        <w:t>s</w:t>
      </w:r>
      <w:r w:rsidR="0064135E" w:rsidRPr="006F1EB3">
        <w:rPr>
          <w:rStyle w:val="FootnoteReference"/>
          <w:rFonts w:cs="Arial"/>
          <w:szCs w:val="20"/>
        </w:rPr>
        <w:footnoteReference w:id="1"/>
      </w:r>
    </w:p>
    <w:p w14:paraId="623354BE" w14:textId="0B66CD78" w:rsidR="009B17A1" w:rsidRPr="006F1EB3" w:rsidRDefault="00163A52" w:rsidP="009B17A1">
      <w:pPr>
        <w:rPr>
          <w:rFonts w:cs="Arial"/>
          <w:szCs w:val="20"/>
        </w:rPr>
      </w:pPr>
      <w:r w:rsidRPr="006F1EB3">
        <w:rPr>
          <w:rFonts w:cs="Arial"/>
          <w:b/>
          <w:bCs/>
          <w:szCs w:val="20"/>
        </w:rPr>
        <w:t>Discussant</w:t>
      </w:r>
      <w:r w:rsidRPr="006F1EB3">
        <w:rPr>
          <w:rFonts w:cs="Arial"/>
          <w:szCs w:val="20"/>
        </w:rPr>
        <w:t xml:space="preserve">: </w:t>
      </w:r>
      <w:r w:rsidR="00513E98" w:rsidRPr="006F1EB3">
        <w:rPr>
          <w:rFonts w:cs="Arial"/>
          <w:szCs w:val="20"/>
        </w:rPr>
        <w:t xml:space="preserve">Lynne </w:t>
      </w:r>
      <w:r w:rsidR="00F4300F">
        <w:rPr>
          <w:rFonts w:cs="Arial"/>
          <w:szCs w:val="20"/>
        </w:rPr>
        <w:t xml:space="preserve">M. </w:t>
      </w:r>
      <w:r w:rsidR="00513E98" w:rsidRPr="006F1EB3">
        <w:rPr>
          <w:rFonts w:cs="Arial"/>
          <w:szCs w:val="20"/>
        </w:rPr>
        <w:t>Bird</w:t>
      </w:r>
      <w:r w:rsidR="002A64F0" w:rsidRPr="006F1EB3">
        <w:rPr>
          <w:rStyle w:val="FootnoteReference"/>
          <w:rFonts w:cs="Arial"/>
          <w:szCs w:val="20"/>
        </w:rPr>
        <w:footnoteReference w:id="2"/>
      </w:r>
    </w:p>
    <w:p w14:paraId="5D0E1510" w14:textId="5022D537" w:rsidR="00592497" w:rsidRPr="006F1EB3" w:rsidRDefault="00163A52" w:rsidP="009B17A1">
      <w:pPr>
        <w:rPr>
          <w:rFonts w:cs="Arial"/>
          <w:szCs w:val="20"/>
        </w:rPr>
      </w:pPr>
      <w:r w:rsidRPr="006F1EB3">
        <w:rPr>
          <w:rFonts w:cs="Arial"/>
          <w:b/>
          <w:bCs/>
          <w:szCs w:val="20"/>
        </w:rPr>
        <w:t>Overview</w:t>
      </w:r>
      <w:r w:rsidR="009B17A1" w:rsidRPr="006F1EB3">
        <w:rPr>
          <w:rFonts w:cs="Arial"/>
          <w:szCs w:val="20"/>
        </w:rPr>
        <w:t xml:space="preserve">: </w:t>
      </w:r>
      <w:r w:rsidR="003E0F87" w:rsidRPr="006F1EB3">
        <w:rPr>
          <w:rFonts w:cs="Arial"/>
          <w:szCs w:val="20"/>
        </w:rPr>
        <w:t xml:space="preserve">In </w:t>
      </w:r>
      <w:proofErr w:type="gramStart"/>
      <w:r w:rsidR="003E0F87" w:rsidRPr="006F1EB3">
        <w:rPr>
          <w:rFonts w:cs="Arial"/>
          <w:szCs w:val="20"/>
        </w:rPr>
        <w:t xml:space="preserve">a </w:t>
      </w:r>
      <w:r w:rsidR="00592497" w:rsidRPr="006F1EB3">
        <w:rPr>
          <w:rFonts w:cs="Arial"/>
          <w:szCs w:val="20"/>
        </w:rPr>
        <w:t>number of</w:t>
      </w:r>
      <w:proofErr w:type="gramEnd"/>
      <w:r w:rsidR="00592497" w:rsidRPr="006F1EB3">
        <w:rPr>
          <w:rFonts w:cs="Arial"/>
          <w:szCs w:val="20"/>
        </w:rPr>
        <w:t xml:space="preserve"> congenital neurodevelopmental syndromes </w:t>
      </w:r>
      <w:r w:rsidR="0098377A" w:rsidRPr="006F1EB3">
        <w:rPr>
          <w:rFonts w:cs="Arial"/>
          <w:szCs w:val="20"/>
        </w:rPr>
        <w:t>with comorbid intellectual disability (ID)</w:t>
      </w:r>
      <w:r w:rsidR="003E0F87" w:rsidRPr="006F1EB3">
        <w:rPr>
          <w:rFonts w:cs="Arial"/>
          <w:szCs w:val="20"/>
        </w:rPr>
        <w:t>, significant percentages of affected individuals experience</w:t>
      </w:r>
      <w:r w:rsidR="00592497" w:rsidRPr="006F1EB3">
        <w:rPr>
          <w:rFonts w:cs="Arial"/>
          <w:szCs w:val="20"/>
        </w:rPr>
        <w:t xml:space="preserve"> infant feeding difficulties and childhood gastrointestinal (GI) issues which may</w:t>
      </w:r>
      <w:r w:rsidR="00AE5022" w:rsidRPr="006F1EB3">
        <w:rPr>
          <w:rFonts w:cs="Arial"/>
          <w:szCs w:val="20"/>
        </w:rPr>
        <w:t xml:space="preserve"> persist into adulthood and adversely affect health and quality of life</w:t>
      </w:r>
      <w:r w:rsidR="00D54B66" w:rsidRPr="006F1EB3">
        <w:rPr>
          <w:rFonts w:cs="Arial"/>
          <w:szCs w:val="20"/>
        </w:rPr>
        <w:t xml:space="preserve">. This includes autism spectrum disorder (ASD), </w:t>
      </w:r>
      <w:r w:rsidR="003E0F87" w:rsidRPr="006F1EB3">
        <w:rPr>
          <w:rFonts w:cs="Arial"/>
          <w:szCs w:val="20"/>
        </w:rPr>
        <w:t xml:space="preserve">multiple </w:t>
      </w:r>
      <w:r w:rsidR="00D54B66" w:rsidRPr="006F1EB3">
        <w:rPr>
          <w:rFonts w:cs="Arial"/>
          <w:szCs w:val="20"/>
        </w:rPr>
        <w:t>neurogenetic conditions (some with comorbid ASD), and neurodevelopmental syndromes with unknown or viral etiology, such as cerebral palsy</w:t>
      </w:r>
      <w:r w:rsidR="009131E6" w:rsidRPr="006F1EB3">
        <w:rPr>
          <w:rFonts w:cs="Arial"/>
          <w:szCs w:val="20"/>
        </w:rPr>
        <w:t xml:space="preserve"> (</w:t>
      </w:r>
      <w:r w:rsidR="009131E6" w:rsidRPr="006F1EB3">
        <w:rPr>
          <w:rFonts w:cs="Arial"/>
          <w:szCs w:val="20"/>
        </w:rPr>
        <w:t>Cooper-Brown et al., 2008</w:t>
      </w:r>
      <w:r w:rsidR="009131E6" w:rsidRPr="006F1EB3">
        <w:rPr>
          <w:rFonts w:cs="Arial"/>
          <w:szCs w:val="20"/>
        </w:rPr>
        <w:t>; Halladay et al., 2024; Sullivan et al., 2008)</w:t>
      </w:r>
      <w:r w:rsidR="00AE5022" w:rsidRPr="006F1EB3">
        <w:rPr>
          <w:rFonts w:cs="Arial"/>
          <w:szCs w:val="20"/>
        </w:rPr>
        <w:t>.</w:t>
      </w:r>
      <w:r w:rsidR="00D54B66" w:rsidRPr="006F1EB3">
        <w:rPr>
          <w:rFonts w:cs="Arial"/>
          <w:szCs w:val="20"/>
        </w:rPr>
        <w:t xml:space="preserve"> </w:t>
      </w:r>
      <w:r w:rsidR="00592497" w:rsidRPr="006F1EB3">
        <w:rPr>
          <w:rFonts w:cs="Arial"/>
          <w:szCs w:val="20"/>
        </w:rPr>
        <w:t>Additionally</w:t>
      </w:r>
      <w:r w:rsidR="00D54B66" w:rsidRPr="006F1EB3">
        <w:rPr>
          <w:rFonts w:cs="Arial"/>
          <w:szCs w:val="20"/>
        </w:rPr>
        <w:t>, in</w:t>
      </w:r>
      <w:r w:rsidR="00592497" w:rsidRPr="006F1EB3">
        <w:rPr>
          <w:rFonts w:cs="Arial"/>
          <w:szCs w:val="20"/>
        </w:rPr>
        <w:t xml:space="preserve"> some </w:t>
      </w:r>
      <w:r w:rsidR="00D54B66" w:rsidRPr="006F1EB3">
        <w:rPr>
          <w:rFonts w:cs="Arial"/>
          <w:szCs w:val="20"/>
        </w:rPr>
        <w:t xml:space="preserve">of the same </w:t>
      </w:r>
      <w:r w:rsidR="00592497" w:rsidRPr="006F1EB3">
        <w:rPr>
          <w:rFonts w:cs="Arial"/>
          <w:szCs w:val="20"/>
        </w:rPr>
        <w:t xml:space="preserve">neurodevelopmental syndromes </w:t>
      </w:r>
      <w:r w:rsidR="00D54B66" w:rsidRPr="006F1EB3">
        <w:rPr>
          <w:rFonts w:cs="Arial"/>
          <w:szCs w:val="20"/>
        </w:rPr>
        <w:t xml:space="preserve">that present with feeding difficulties and failure to thrive </w:t>
      </w:r>
      <w:r w:rsidR="003E0F87" w:rsidRPr="006F1EB3">
        <w:rPr>
          <w:rFonts w:cs="Arial"/>
          <w:szCs w:val="20"/>
        </w:rPr>
        <w:t xml:space="preserve">in infancy </w:t>
      </w:r>
      <w:r w:rsidR="00D54B66" w:rsidRPr="006F1EB3">
        <w:rPr>
          <w:rFonts w:cs="Arial"/>
          <w:szCs w:val="20"/>
        </w:rPr>
        <w:t xml:space="preserve">(e.g., Prader-Willi syndrome and Angelman Syndrome), </w:t>
      </w:r>
      <w:r w:rsidR="007D1618" w:rsidRPr="006F1EB3">
        <w:rPr>
          <w:rFonts w:cs="Arial"/>
          <w:szCs w:val="20"/>
        </w:rPr>
        <w:t>challenging food-related behaviors</w:t>
      </w:r>
      <w:r w:rsidR="00D54B66" w:rsidRPr="006F1EB3">
        <w:rPr>
          <w:rFonts w:cs="Arial"/>
          <w:szCs w:val="20"/>
        </w:rPr>
        <w:t xml:space="preserve"> </w:t>
      </w:r>
      <w:r w:rsidR="003E0F87" w:rsidRPr="006F1EB3">
        <w:rPr>
          <w:rFonts w:cs="Arial"/>
          <w:szCs w:val="20"/>
        </w:rPr>
        <w:t xml:space="preserve">such as food selectivity and hyperphagia </w:t>
      </w:r>
      <w:r w:rsidR="009131E6" w:rsidRPr="006F1EB3">
        <w:rPr>
          <w:rFonts w:cs="Arial"/>
          <w:szCs w:val="20"/>
        </w:rPr>
        <w:t>are</w:t>
      </w:r>
      <w:r w:rsidR="00D54B66" w:rsidRPr="006F1EB3">
        <w:rPr>
          <w:rFonts w:cs="Arial"/>
          <w:szCs w:val="20"/>
        </w:rPr>
        <w:t xml:space="preserve"> reported in childhood and adulthood</w:t>
      </w:r>
      <w:r w:rsidR="003249B1" w:rsidRPr="006F1EB3">
        <w:rPr>
          <w:rFonts w:cs="Arial"/>
          <w:szCs w:val="20"/>
        </w:rPr>
        <w:t xml:space="preserve"> (</w:t>
      </w:r>
      <w:proofErr w:type="spellStart"/>
      <w:r w:rsidR="003249B1" w:rsidRPr="006F1EB3">
        <w:rPr>
          <w:rFonts w:cs="Arial"/>
          <w:szCs w:val="20"/>
        </w:rPr>
        <w:t>Salminen</w:t>
      </w:r>
      <w:proofErr w:type="spellEnd"/>
      <w:r w:rsidR="003249B1" w:rsidRPr="006F1EB3">
        <w:rPr>
          <w:rFonts w:cs="Arial"/>
          <w:szCs w:val="20"/>
        </w:rPr>
        <w:t xml:space="preserve">, </w:t>
      </w:r>
      <w:proofErr w:type="spellStart"/>
      <w:r w:rsidR="003249B1" w:rsidRPr="006F1EB3">
        <w:rPr>
          <w:rFonts w:cs="Arial"/>
          <w:szCs w:val="20"/>
        </w:rPr>
        <w:t>Crespi</w:t>
      </w:r>
      <w:proofErr w:type="spellEnd"/>
      <w:r w:rsidR="003249B1" w:rsidRPr="006F1EB3">
        <w:rPr>
          <w:rFonts w:cs="Arial"/>
          <w:szCs w:val="20"/>
        </w:rPr>
        <w:t xml:space="preserve">, &amp; </w:t>
      </w:r>
      <w:proofErr w:type="spellStart"/>
      <w:r w:rsidR="003249B1" w:rsidRPr="006F1EB3">
        <w:rPr>
          <w:rFonts w:cs="Arial"/>
          <w:szCs w:val="20"/>
        </w:rPr>
        <w:t>Mokkonen</w:t>
      </w:r>
      <w:proofErr w:type="spellEnd"/>
      <w:r w:rsidR="003249B1" w:rsidRPr="006F1EB3">
        <w:rPr>
          <w:rFonts w:cs="Arial"/>
          <w:szCs w:val="20"/>
        </w:rPr>
        <w:t>, 2019)</w:t>
      </w:r>
      <w:r w:rsidR="00D54B66" w:rsidRPr="006F1EB3">
        <w:rPr>
          <w:rFonts w:cs="Arial"/>
          <w:szCs w:val="20"/>
        </w:rPr>
        <w:t>.</w:t>
      </w:r>
      <w:r w:rsidR="009131E6" w:rsidRPr="006F1EB3">
        <w:rPr>
          <w:rFonts w:cs="Arial"/>
          <w:szCs w:val="20"/>
        </w:rPr>
        <w:t xml:space="preserve"> These behaviors can also affect growth and health adversely</w:t>
      </w:r>
      <w:r w:rsidR="003249B1" w:rsidRPr="006F1EB3">
        <w:rPr>
          <w:rFonts w:cs="Arial"/>
          <w:szCs w:val="20"/>
        </w:rPr>
        <w:t>.</w:t>
      </w:r>
      <w:r w:rsidR="009131E6" w:rsidRPr="006F1EB3">
        <w:rPr>
          <w:rFonts w:cs="Arial"/>
          <w:szCs w:val="20"/>
        </w:rPr>
        <w:t xml:space="preserve"> </w:t>
      </w:r>
      <w:r w:rsidR="003249B1" w:rsidRPr="006F1EB3">
        <w:rPr>
          <w:rFonts w:cs="Arial"/>
          <w:szCs w:val="20"/>
        </w:rPr>
        <w:t xml:space="preserve">For example, </w:t>
      </w:r>
      <w:r w:rsidR="009131E6" w:rsidRPr="006F1EB3">
        <w:rPr>
          <w:rFonts w:cs="Arial"/>
          <w:szCs w:val="20"/>
        </w:rPr>
        <w:t xml:space="preserve">unchecked hyperphagia can result in </w:t>
      </w:r>
      <w:r w:rsidR="003249B1" w:rsidRPr="006F1EB3">
        <w:rPr>
          <w:rFonts w:cs="Arial"/>
          <w:szCs w:val="20"/>
        </w:rPr>
        <w:t>obesity and its comorbid health conditions (</w:t>
      </w:r>
      <w:proofErr w:type="spellStart"/>
      <w:r w:rsidR="003249B1" w:rsidRPr="006F1EB3">
        <w:rPr>
          <w:rFonts w:cs="Arial"/>
          <w:szCs w:val="20"/>
        </w:rPr>
        <w:t>Heymsfield</w:t>
      </w:r>
      <w:proofErr w:type="spellEnd"/>
      <w:r w:rsidR="003249B1" w:rsidRPr="006F1EB3">
        <w:rPr>
          <w:rFonts w:cs="Arial"/>
          <w:szCs w:val="20"/>
        </w:rPr>
        <w:t xml:space="preserve"> et al., 2014). Yet the</w:t>
      </w:r>
      <w:r w:rsidR="009131E6" w:rsidRPr="006F1EB3">
        <w:rPr>
          <w:rFonts w:cs="Arial"/>
          <w:szCs w:val="20"/>
        </w:rPr>
        <w:t xml:space="preserve"> underlying cause</w:t>
      </w:r>
      <w:r w:rsidR="003249B1" w:rsidRPr="006F1EB3">
        <w:rPr>
          <w:rFonts w:cs="Arial"/>
          <w:szCs w:val="20"/>
        </w:rPr>
        <w:t>s</w:t>
      </w:r>
      <w:r w:rsidR="009131E6" w:rsidRPr="006F1EB3">
        <w:rPr>
          <w:rFonts w:cs="Arial"/>
          <w:szCs w:val="20"/>
        </w:rPr>
        <w:t xml:space="preserve"> of </w:t>
      </w:r>
      <w:r w:rsidR="003249B1" w:rsidRPr="006F1EB3">
        <w:rPr>
          <w:rFonts w:cs="Arial"/>
          <w:szCs w:val="20"/>
        </w:rPr>
        <w:t>food-related behavior and GI symptoms</w:t>
      </w:r>
      <w:r w:rsidR="009131E6" w:rsidRPr="006F1EB3">
        <w:rPr>
          <w:rFonts w:cs="Arial"/>
          <w:szCs w:val="20"/>
        </w:rPr>
        <w:t xml:space="preserve"> that are present in multiple neurodevelopmental syndromes</w:t>
      </w:r>
      <w:r w:rsidR="003249B1" w:rsidRPr="006F1EB3">
        <w:rPr>
          <w:rFonts w:cs="Arial"/>
          <w:szCs w:val="20"/>
        </w:rPr>
        <w:t>, and their relationship to other phenotypic characteristics,</w:t>
      </w:r>
      <w:r w:rsidR="009131E6" w:rsidRPr="006F1EB3">
        <w:rPr>
          <w:rFonts w:cs="Arial"/>
          <w:szCs w:val="20"/>
        </w:rPr>
        <w:t xml:space="preserve"> </w:t>
      </w:r>
      <w:r w:rsidR="003249B1" w:rsidRPr="006F1EB3">
        <w:rPr>
          <w:rFonts w:cs="Arial"/>
          <w:szCs w:val="20"/>
        </w:rPr>
        <w:t>are</w:t>
      </w:r>
      <w:r w:rsidR="009131E6" w:rsidRPr="006F1EB3">
        <w:rPr>
          <w:rFonts w:cs="Arial"/>
          <w:szCs w:val="20"/>
        </w:rPr>
        <w:t xml:space="preserve"> not well understood</w:t>
      </w:r>
      <w:r w:rsidR="003249B1" w:rsidRPr="006F1EB3">
        <w:rPr>
          <w:rFonts w:cs="Arial"/>
          <w:szCs w:val="20"/>
        </w:rPr>
        <w:t>.</w:t>
      </w:r>
      <w:r w:rsidR="00D54B66" w:rsidRPr="006F1EB3">
        <w:rPr>
          <w:rFonts w:cs="Arial"/>
          <w:szCs w:val="20"/>
        </w:rPr>
        <w:t xml:space="preserve">  </w:t>
      </w:r>
      <w:r w:rsidR="007D1618" w:rsidRPr="006F1EB3">
        <w:rPr>
          <w:rFonts w:cs="Arial"/>
          <w:szCs w:val="20"/>
        </w:rPr>
        <w:t xml:space="preserve"> </w:t>
      </w:r>
    </w:p>
    <w:p w14:paraId="0E30FB60" w14:textId="66E03CCE" w:rsidR="00F61353" w:rsidRPr="006F1EB3" w:rsidRDefault="007D1618" w:rsidP="009B17A1">
      <w:pPr>
        <w:rPr>
          <w:rFonts w:cs="Arial"/>
          <w:szCs w:val="20"/>
        </w:rPr>
      </w:pPr>
      <w:r w:rsidRPr="006F1EB3">
        <w:rPr>
          <w:rFonts w:cs="Arial"/>
          <w:szCs w:val="20"/>
        </w:rPr>
        <w:t xml:space="preserve">In this symposium, </w:t>
      </w:r>
      <w:r w:rsidR="00F61353" w:rsidRPr="006F1EB3">
        <w:rPr>
          <w:rFonts w:cs="Arial"/>
          <w:szCs w:val="20"/>
        </w:rPr>
        <w:t>we report on advancements in understanding GI issues and feeding behavior in neurodevelopmental syndromes with comorbid ID. We will present data from two studies that focus on Angelman Syndrome: one that reports on insights into the mechanisms underlying GI issues in A</w:t>
      </w:r>
      <w:r w:rsidR="003249B1" w:rsidRPr="006F1EB3">
        <w:rPr>
          <w:rFonts w:cs="Arial"/>
          <w:szCs w:val="20"/>
        </w:rPr>
        <w:t xml:space="preserve">ngelman syndrome </w:t>
      </w:r>
      <w:r w:rsidR="00F61353" w:rsidRPr="006F1EB3">
        <w:rPr>
          <w:rFonts w:cs="Arial"/>
          <w:szCs w:val="20"/>
        </w:rPr>
        <w:t xml:space="preserve">from a mouse model, and the other reporting infant growth and feeding challenges and longitudinal data on GI and feeding challenges from the Angelman </w:t>
      </w:r>
      <w:r w:rsidR="00D54B66" w:rsidRPr="006F1EB3">
        <w:rPr>
          <w:rFonts w:cs="Arial"/>
          <w:szCs w:val="20"/>
        </w:rPr>
        <w:t>S</w:t>
      </w:r>
      <w:r w:rsidR="00F61353" w:rsidRPr="006F1EB3">
        <w:rPr>
          <w:rFonts w:cs="Arial"/>
          <w:szCs w:val="20"/>
        </w:rPr>
        <w:t xml:space="preserve">yndrome </w:t>
      </w:r>
      <w:r w:rsidR="00D54B66" w:rsidRPr="006F1EB3">
        <w:rPr>
          <w:rFonts w:cs="Arial"/>
          <w:szCs w:val="20"/>
        </w:rPr>
        <w:t>N</w:t>
      </w:r>
      <w:r w:rsidR="00F61353" w:rsidRPr="006F1EB3">
        <w:rPr>
          <w:rFonts w:cs="Arial"/>
          <w:szCs w:val="20"/>
        </w:rPr>
        <w:t xml:space="preserve">atural </w:t>
      </w:r>
      <w:r w:rsidR="00D54B66" w:rsidRPr="006F1EB3">
        <w:rPr>
          <w:rFonts w:cs="Arial"/>
          <w:szCs w:val="20"/>
        </w:rPr>
        <w:t>H</w:t>
      </w:r>
      <w:r w:rsidR="00F61353" w:rsidRPr="006F1EB3">
        <w:rPr>
          <w:rFonts w:cs="Arial"/>
          <w:szCs w:val="20"/>
        </w:rPr>
        <w:t xml:space="preserve">istory </w:t>
      </w:r>
      <w:r w:rsidR="00D54B66" w:rsidRPr="006F1EB3">
        <w:rPr>
          <w:rFonts w:cs="Arial"/>
          <w:szCs w:val="20"/>
        </w:rPr>
        <w:t>S</w:t>
      </w:r>
      <w:r w:rsidR="00F61353" w:rsidRPr="006F1EB3">
        <w:rPr>
          <w:rFonts w:cs="Arial"/>
          <w:szCs w:val="20"/>
        </w:rPr>
        <w:t xml:space="preserve">tudy. We then report on growth and feeding challenges observed in a longitudinal study of children with congenital Zika syndrome, </w:t>
      </w:r>
      <w:r w:rsidR="003249B1" w:rsidRPr="006F1EB3">
        <w:rPr>
          <w:rFonts w:cs="Arial"/>
          <w:szCs w:val="20"/>
        </w:rPr>
        <w:t>some of which mirror</w:t>
      </w:r>
      <w:r w:rsidR="00F61353" w:rsidRPr="006F1EB3">
        <w:rPr>
          <w:rFonts w:cs="Arial"/>
          <w:szCs w:val="20"/>
        </w:rPr>
        <w:t xml:space="preserve"> those </w:t>
      </w:r>
      <w:r w:rsidR="003249B1" w:rsidRPr="006F1EB3">
        <w:rPr>
          <w:rFonts w:cs="Arial"/>
          <w:szCs w:val="20"/>
        </w:rPr>
        <w:t>reported in the Angelman syndrome literature</w:t>
      </w:r>
      <w:r w:rsidR="00F61353" w:rsidRPr="006F1EB3">
        <w:rPr>
          <w:rFonts w:cs="Arial"/>
          <w:szCs w:val="20"/>
        </w:rPr>
        <w:t>.</w:t>
      </w:r>
      <w:r w:rsidR="00D54B66" w:rsidRPr="006F1EB3">
        <w:rPr>
          <w:rFonts w:cs="Arial"/>
          <w:szCs w:val="20"/>
        </w:rPr>
        <w:t xml:space="preserve"> Finally, we report on food-related behavior and hyperphagia symptoms in </w:t>
      </w:r>
      <w:r w:rsidR="003249B1" w:rsidRPr="006F1EB3">
        <w:rPr>
          <w:rFonts w:cs="Arial"/>
          <w:szCs w:val="20"/>
        </w:rPr>
        <w:t xml:space="preserve">children with </w:t>
      </w:r>
      <w:r w:rsidR="00D54B66" w:rsidRPr="006F1EB3">
        <w:rPr>
          <w:rFonts w:cs="Arial"/>
          <w:szCs w:val="20"/>
        </w:rPr>
        <w:t xml:space="preserve">three neurogenetic conditions (Prader-Willi Syndrome, Angelman Syndrome, and Williams Syndrome) compared to low-risk controls with no known syndrome. Collectively, these studies </w:t>
      </w:r>
      <w:r w:rsidR="00935FEE" w:rsidRPr="006F1EB3">
        <w:rPr>
          <w:rFonts w:cs="Arial"/>
          <w:szCs w:val="20"/>
        </w:rPr>
        <w:t>contribute to better understanding of</w:t>
      </w:r>
      <w:r w:rsidR="00D54B66" w:rsidRPr="006F1EB3">
        <w:rPr>
          <w:rFonts w:cs="Arial"/>
          <w:szCs w:val="20"/>
        </w:rPr>
        <w:t xml:space="preserve"> </w:t>
      </w:r>
      <w:r w:rsidR="00935FEE" w:rsidRPr="006F1EB3">
        <w:rPr>
          <w:rFonts w:cs="Arial"/>
          <w:szCs w:val="20"/>
        </w:rPr>
        <w:t xml:space="preserve">phenotypic specificity across neurodevelopmental syndromes that present with food-related behaviors and GI symptomology, shed light on etiology, and set the stage for future research to understand these </w:t>
      </w:r>
      <w:r w:rsidR="003249B1" w:rsidRPr="006F1EB3">
        <w:rPr>
          <w:rFonts w:cs="Arial"/>
          <w:szCs w:val="20"/>
        </w:rPr>
        <w:t xml:space="preserve">complex </w:t>
      </w:r>
      <w:r w:rsidR="00935FEE" w:rsidRPr="006F1EB3">
        <w:rPr>
          <w:rFonts w:cs="Arial"/>
          <w:szCs w:val="20"/>
        </w:rPr>
        <w:t xml:space="preserve">issues. </w:t>
      </w:r>
    </w:p>
    <w:p w14:paraId="42BA51F0" w14:textId="5294A942" w:rsidR="007D1618" w:rsidRPr="006F1EB3" w:rsidRDefault="00F61353" w:rsidP="009B17A1">
      <w:pPr>
        <w:rPr>
          <w:rFonts w:cs="Arial"/>
          <w:szCs w:val="20"/>
        </w:rPr>
      </w:pPr>
      <w:r w:rsidRPr="006F1EB3">
        <w:rPr>
          <w:rStyle w:val="normaltextrun"/>
          <w:rFonts w:cs="Arial"/>
          <w:b/>
          <w:bCs/>
          <w:color w:val="000000"/>
          <w:szCs w:val="20"/>
          <w:shd w:val="clear" w:color="auto" w:fill="FFFFFF"/>
        </w:rPr>
        <w:t>References</w:t>
      </w:r>
      <w:r w:rsidRPr="006F1EB3">
        <w:rPr>
          <w:rStyle w:val="eop"/>
          <w:rFonts w:cs="Arial"/>
          <w:color w:val="000000"/>
          <w:szCs w:val="20"/>
          <w:shd w:val="clear" w:color="auto" w:fill="FFFFFF"/>
        </w:rPr>
        <w:t> </w:t>
      </w:r>
      <w:r w:rsidRPr="006F1EB3">
        <w:rPr>
          <w:rFonts w:cs="Arial"/>
          <w:szCs w:val="20"/>
        </w:rPr>
        <w:t xml:space="preserve">   </w:t>
      </w:r>
    </w:p>
    <w:p w14:paraId="1852216E" w14:textId="1A3B798F" w:rsidR="003249B1" w:rsidRPr="006F1EB3" w:rsidRDefault="003249B1" w:rsidP="003E0F87">
      <w:pPr>
        <w:pStyle w:val="ListParagraph"/>
        <w:numPr>
          <w:ilvl w:val="0"/>
          <w:numId w:val="5"/>
        </w:numPr>
        <w:rPr>
          <w:rFonts w:cs="Arial"/>
          <w:szCs w:val="20"/>
        </w:rPr>
      </w:pPr>
      <w:r w:rsidRPr="006F1EB3">
        <w:rPr>
          <w:rFonts w:cs="Arial"/>
          <w:szCs w:val="20"/>
        </w:rPr>
        <w:t xml:space="preserve">Cooper-Brown, L., Copeland, S., Dailey, S., Downey, D., Petersen, M. C., Stimson, C., &amp; Van Dyke, D. C. (2008). Feeding and swallowing dysfunction in genetic syndromes. Developmental disabilities research reviews, 14(2), 147–157. </w:t>
      </w:r>
      <w:hyperlink r:id="rId8" w:history="1">
        <w:r w:rsidRPr="006F1EB3">
          <w:rPr>
            <w:rStyle w:val="Hyperlink"/>
            <w:rFonts w:cs="Arial"/>
            <w:szCs w:val="20"/>
          </w:rPr>
          <w:t>https://doi.org/10.1002/ddrr.19</w:t>
        </w:r>
      </w:hyperlink>
    </w:p>
    <w:p w14:paraId="33383724" w14:textId="0FE089A1" w:rsidR="003E0F87" w:rsidRPr="006F1EB3" w:rsidRDefault="003E0F87" w:rsidP="003E0F87">
      <w:pPr>
        <w:pStyle w:val="ListParagraph"/>
        <w:numPr>
          <w:ilvl w:val="0"/>
          <w:numId w:val="5"/>
        </w:numPr>
        <w:rPr>
          <w:rFonts w:cs="Arial"/>
          <w:szCs w:val="20"/>
        </w:rPr>
      </w:pPr>
      <w:r w:rsidRPr="006F1EB3">
        <w:rPr>
          <w:rFonts w:cs="Arial"/>
          <w:szCs w:val="20"/>
        </w:rPr>
        <w:lastRenderedPageBreak/>
        <w:t xml:space="preserve">Halladay, A., </w:t>
      </w:r>
      <w:proofErr w:type="spellStart"/>
      <w:r w:rsidRPr="006F1EB3">
        <w:rPr>
          <w:rFonts w:cs="Arial"/>
          <w:szCs w:val="20"/>
        </w:rPr>
        <w:t>Croffie</w:t>
      </w:r>
      <w:proofErr w:type="spellEnd"/>
      <w:r w:rsidRPr="006F1EB3">
        <w:rPr>
          <w:rFonts w:cs="Arial"/>
          <w:szCs w:val="20"/>
        </w:rPr>
        <w:t xml:space="preserve">, J., </w:t>
      </w:r>
      <w:proofErr w:type="spellStart"/>
      <w:r w:rsidRPr="006F1EB3">
        <w:rPr>
          <w:rFonts w:cs="Arial"/>
          <w:szCs w:val="20"/>
        </w:rPr>
        <w:t>Dallman</w:t>
      </w:r>
      <w:proofErr w:type="spellEnd"/>
      <w:r w:rsidRPr="006F1EB3">
        <w:rPr>
          <w:rFonts w:cs="Arial"/>
          <w:szCs w:val="20"/>
        </w:rPr>
        <w:t xml:space="preserve">, J., </w:t>
      </w:r>
      <w:proofErr w:type="spellStart"/>
      <w:r w:rsidRPr="006F1EB3">
        <w:rPr>
          <w:rFonts w:cs="Arial"/>
          <w:szCs w:val="20"/>
        </w:rPr>
        <w:t>Grabenstatter</w:t>
      </w:r>
      <w:proofErr w:type="spellEnd"/>
      <w:r w:rsidRPr="006F1EB3">
        <w:rPr>
          <w:rFonts w:cs="Arial"/>
          <w:szCs w:val="20"/>
        </w:rPr>
        <w:t xml:space="preserve">, H., </w:t>
      </w:r>
      <w:proofErr w:type="spellStart"/>
      <w:r w:rsidRPr="006F1EB3">
        <w:rPr>
          <w:rFonts w:cs="Arial"/>
          <w:szCs w:val="20"/>
        </w:rPr>
        <w:t>Holingue</w:t>
      </w:r>
      <w:proofErr w:type="spellEnd"/>
      <w:r w:rsidRPr="006F1EB3">
        <w:rPr>
          <w:rFonts w:cs="Arial"/>
          <w:szCs w:val="20"/>
        </w:rPr>
        <w:t xml:space="preserve">, C., </w:t>
      </w:r>
      <w:proofErr w:type="spellStart"/>
      <w:r w:rsidRPr="006F1EB3">
        <w:rPr>
          <w:rFonts w:cs="Arial"/>
          <w:szCs w:val="20"/>
        </w:rPr>
        <w:t>Madgett</w:t>
      </w:r>
      <w:proofErr w:type="spellEnd"/>
      <w:r w:rsidRPr="006F1EB3">
        <w:rPr>
          <w:rFonts w:cs="Arial"/>
          <w:szCs w:val="20"/>
        </w:rPr>
        <w:t xml:space="preserve">, K., Margolis, K. G., </w:t>
      </w:r>
      <w:proofErr w:type="spellStart"/>
      <w:r w:rsidRPr="006F1EB3">
        <w:rPr>
          <w:rFonts w:cs="Arial"/>
          <w:szCs w:val="20"/>
        </w:rPr>
        <w:t>Motil</w:t>
      </w:r>
      <w:proofErr w:type="spellEnd"/>
      <w:r w:rsidRPr="006F1EB3">
        <w:rPr>
          <w:rFonts w:cs="Arial"/>
          <w:szCs w:val="20"/>
        </w:rPr>
        <w:t xml:space="preserve">, K. J., Jimenez-Gomez, A., Ferguson, B. J., </w:t>
      </w:r>
      <w:proofErr w:type="spellStart"/>
      <w:r w:rsidRPr="006F1EB3">
        <w:rPr>
          <w:rFonts w:cs="Arial"/>
          <w:szCs w:val="20"/>
        </w:rPr>
        <w:t>Moshiree</w:t>
      </w:r>
      <w:proofErr w:type="spellEnd"/>
      <w:r w:rsidRPr="006F1EB3">
        <w:rPr>
          <w:rFonts w:cs="Arial"/>
          <w:szCs w:val="20"/>
        </w:rPr>
        <w:t xml:space="preserve">, B., Still, K., Williams, K., </w:t>
      </w:r>
      <w:proofErr w:type="spellStart"/>
      <w:r w:rsidRPr="006F1EB3">
        <w:rPr>
          <w:rFonts w:cs="Arial"/>
          <w:szCs w:val="20"/>
        </w:rPr>
        <w:t>Upp</w:t>
      </w:r>
      <w:proofErr w:type="spellEnd"/>
      <w:r w:rsidRPr="006F1EB3">
        <w:rPr>
          <w:rFonts w:cs="Arial"/>
          <w:szCs w:val="20"/>
        </w:rPr>
        <w:t xml:space="preserve">, G. R., &amp; Bennett, W. (2024). Conference proceedings: Inaugural meeting of the consortium for autism, genetic neurodevelopmental disorders, and digestive diseases. Journal of pediatric gastroenterology and nutrition, 79(5), 1062–1070. </w:t>
      </w:r>
      <w:hyperlink r:id="rId9" w:history="1">
        <w:r w:rsidRPr="006F1EB3">
          <w:rPr>
            <w:rStyle w:val="Hyperlink"/>
            <w:rFonts w:cs="Arial"/>
            <w:szCs w:val="20"/>
          </w:rPr>
          <w:t>https://doi.org/10.1002/jpn3.12360</w:t>
        </w:r>
      </w:hyperlink>
      <w:r w:rsidRPr="006F1EB3">
        <w:rPr>
          <w:rFonts w:cs="Arial"/>
          <w:szCs w:val="20"/>
        </w:rPr>
        <w:t xml:space="preserve"> </w:t>
      </w:r>
    </w:p>
    <w:p w14:paraId="25497D2F" w14:textId="1EC40A4C" w:rsidR="003E0F87" w:rsidRPr="006F1EB3" w:rsidRDefault="003E0F87" w:rsidP="003E0F87">
      <w:pPr>
        <w:pStyle w:val="ListParagraph"/>
        <w:numPr>
          <w:ilvl w:val="0"/>
          <w:numId w:val="5"/>
        </w:numPr>
        <w:rPr>
          <w:rFonts w:cs="Arial"/>
          <w:szCs w:val="20"/>
        </w:rPr>
      </w:pPr>
      <w:proofErr w:type="spellStart"/>
      <w:r w:rsidRPr="006F1EB3">
        <w:rPr>
          <w:rFonts w:cs="Arial"/>
          <w:szCs w:val="20"/>
        </w:rPr>
        <w:t>Heymsfield</w:t>
      </w:r>
      <w:proofErr w:type="spellEnd"/>
      <w:r w:rsidRPr="006F1EB3">
        <w:rPr>
          <w:rFonts w:cs="Arial"/>
          <w:szCs w:val="20"/>
        </w:rPr>
        <w:t xml:space="preserve">, S. B., </w:t>
      </w:r>
      <w:proofErr w:type="spellStart"/>
      <w:r w:rsidRPr="006F1EB3">
        <w:rPr>
          <w:rFonts w:cs="Arial"/>
          <w:szCs w:val="20"/>
        </w:rPr>
        <w:t>Avena</w:t>
      </w:r>
      <w:proofErr w:type="spellEnd"/>
      <w:r w:rsidRPr="006F1EB3">
        <w:rPr>
          <w:rFonts w:cs="Arial"/>
          <w:szCs w:val="20"/>
        </w:rPr>
        <w:t xml:space="preserve">, N. M., Baier, L., Brantley, P., Bray, G. A., Burnett, L. C., Butler, M. G., Driscoll, D. J., </w:t>
      </w:r>
      <w:proofErr w:type="spellStart"/>
      <w:r w:rsidRPr="006F1EB3">
        <w:rPr>
          <w:rFonts w:cs="Arial"/>
          <w:szCs w:val="20"/>
        </w:rPr>
        <w:t>Egli</w:t>
      </w:r>
      <w:proofErr w:type="spellEnd"/>
      <w:r w:rsidRPr="006F1EB3">
        <w:rPr>
          <w:rFonts w:cs="Arial"/>
          <w:szCs w:val="20"/>
        </w:rPr>
        <w:t xml:space="preserve">, D., </w:t>
      </w:r>
      <w:proofErr w:type="spellStart"/>
      <w:r w:rsidRPr="006F1EB3">
        <w:rPr>
          <w:rFonts w:cs="Arial"/>
          <w:szCs w:val="20"/>
        </w:rPr>
        <w:t>Elmquist</w:t>
      </w:r>
      <w:proofErr w:type="spellEnd"/>
      <w:r w:rsidRPr="006F1EB3">
        <w:rPr>
          <w:rFonts w:cs="Arial"/>
          <w:szCs w:val="20"/>
        </w:rPr>
        <w:t xml:space="preserve">, J., Forster, J. L., Goldstone, A. P., </w:t>
      </w:r>
      <w:proofErr w:type="spellStart"/>
      <w:r w:rsidRPr="006F1EB3">
        <w:rPr>
          <w:rFonts w:cs="Arial"/>
          <w:szCs w:val="20"/>
        </w:rPr>
        <w:t>Gourash</w:t>
      </w:r>
      <w:proofErr w:type="spellEnd"/>
      <w:r w:rsidRPr="006F1EB3">
        <w:rPr>
          <w:rFonts w:cs="Arial"/>
          <w:szCs w:val="20"/>
        </w:rPr>
        <w:t xml:space="preserve">, L. M., Greenway, F. L., Han, J. C., Kane, J. G., Leibel, R. L., Loos, R. J., Scheimann, A. O., Roth, C. L., … Zinn, A. R. (2014). Hyperphagia: current concepts and future directions proceedings of the 2nd international conference on hyperphagia. Obesity (Silver Spring, Md.), 22 Suppl 1(0 1), S1–S17. </w:t>
      </w:r>
      <w:hyperlink r:id="rId10" w:history="1">
        <w:r w:rsidRPr="006F1EB3">
          <w:rPr>
            <w:rStyle w:val="Hyperlink"/>
            <w:rFonts w:cs="Arial"/>
            <w:szCs w:val="20"/>
          </w:rPr>
          <w:t>https://doi.org/10.1002/oby.20646</w:t>
        </w:r>
      </w:hyperlink>
      <w:r w:rsidRPr="006F1EB3">
        <w:rPr>
          <w:rFonts w:cs="Arial"/>
          <w:szCs w:val="20"/>
        </w:rPr>
        <w:t xml:space="preserve"> </w:t>
      </w:r>
    </w:p>
    <w:p w14:paraId="3901BE62" w14:textId="211C78BF" w:rsidR="003249B1" w:rsidRPr="006F1EB3" w:rsidRDefault="003249B1" w:rsidP="003E0F87">
      <w:pPr>
        <w:pStyle w:val="ListParagraph"/>
        <w:numPr>
          <w:ilvl w:val="0"/>
          <w:numId w:val="5"/>
        </w:numPr>
        <w:rPr>
          <w:rFonts w:cs="Arial"/>
          <w:szCs w:val="20"/>
        </w:rPr>
      </w:pPr>
      <w:proofErr w:type="spellStart"/>
      <w:r w:rsidRPr="006F1EB3">
        <w:rPr>
          <w:rFonts w:cs="Arial"/>
          <w:szCs w:val="20"/>
        </w:rPr>
        <w:t>Salminen</w:t>
      </w:r>
      <w:proofErr w:type="spellEnd"/>
      <w:r w:rsidRPr="006F1EB3">
        <w:rPr>
          <w:rFonts w:cs="Arial"/>
          <w:szCs w:val="20"/>
        </w:rPr>
        <w:t xml:space="preserve">, I. I., </w:t>
      </w:r>
      <w:proofErr w:type="spellStart"/>
      <w:r w:rsidRPr="006F1EB3">
        <w:rPr>
          <w:rFonts w:cs="Arial"/>
          <w:szCs w:val="20"/>
        </w:rPr>
        <w:t>Crespi</w:t>
      </w:r>
      <w:proofErr w:type="spellEnd"/>
      <w:r w:rsidRPr="006F1EB3">
        <w:rPr>
          <w:rFonts w:cs="Arial"/>
          <w:szCs w:val="20"/>
        </w:rPr>
        <w:t xml:space="preserve">, B. J., &amp; </w:t>
      </w:r>
      <w:proofErr w:type="spellStart"/>
      <w:r w:rsidRPr="006F1EB3">
        <w:rPr>
          <w:rFonts w:cs="Arial"/>
          <w:szCs w:val="20"/>
        </w:rPr>
        <w:t>Mokkonen</w:t>
      </w:r>
      <w:proofErr w:type="spellEnd"/>
      <w:r w:rsidRPr="006F1EB3">
        <w:rPr>
          <w:rFonts w:cs="Arial"/>
          <w:szCs w:val="20"/>
        </w:rPr>
        <w:t xml:space="preserve">, M. (2019). Baby food and bedtime: Evidence for opposite phenotypes from different genetic and epigenetic alterations in Prader-Willi and Angelman syndromes. SAGE open medicine, 7, 2050312118823585. </w:t>
      </w:r>
      <w:hyperlink r:id="rId11" w:history="1">
        <w:r w:rsidRPr="006F1EB3">
          <w:rPr>
            <w:rStyle w:val="Hyperlink"/>
            <w:rFonts w:cs="Arial"/>
            <w:szCs w:val="20"/>
          </w:rPr>
          <w:t>https://doi.org/10.1177/2050312118823585</w:t>
        </w:r>
      </w:hyperlink>
    </w:p>
    <w:p w14:paraId="29294F93" w14:textId="4F1EF098" w:rsidR="003249B1" w:rsidRPr="006F1EB3" w:rsidRDefault="003249B1" w:rsidP="003E0F87">
      <w:pPr>
        <w:pStyle w:val="ListParagraph"/>
        <w:numPr>
          <w:ilvl w:val="0"/>
          <w:numId w:val="5"/>
        </w:numPr>
        <w:rPr>
          <w:rFonts w:cs="Arial"/>
          <w:szCs w:val="20"/>
        </w:rPr>
      </w:pPr>
      <w:r w:rsidRPr="006F1EB3">
        <w:rPr>
          <w:rFonts w:cs="Arial"/>
          <w:szCs w:val="20"/>
        </w:rPr>
        <w:t xml:space="preserve">Sullivan P. B. (2008). Gastrointestinal disorders in children with neurodevelopmental disabilities. Developmental disabilities research reviews, 14(2), 128–136. </w:t>
      </w:r>
      <w:hyperlink r:id="rId12" w:history="1">
        <w:r w:rsidR="003E0F87" w:rsidRPr="006F1EB3">
          <w:rPr>
            <w:rStyle w:val="Hyperlink"/>
            <w:rFonts w:cs="Arial"/>
            <w:szCs w:val="20"/>
          </w:rPr>
          <w:t>https://doi.org/10.1002/ddrr.18</w:t>
        </w:r>
      </w:hyperlink>
      <w:r w:rsidR="003E0F87" w:rsidRPr="006F1EB3">
        <w:rPr>
          <w:rFonts w:cs="Arial"/>
          <w:szCs w:val="20"/>
        </w:rPr>
        <w:t xml:space="preserve"> </w:t>
      </w:r>
    </w:p>
    <w:p w14:paraId="1AB18FF1" w14:textId="00B1ABF4" w:rsidR="00163A52" w:rsidRPr="006F1EB3" w:rsidRDefault="00163A52" w:rsidP="00163A52">
      <w:pPr>
        <w:jc w:val="center"/>
        <w:rPr>
          <w:rFonts w:cs="Arial"/>
          <w:b/>
          <w:bCs/>
          <w:szCs w:val="20"/>
        </w:rPr>
      </w:pPr>
      <w:r w:rsidRPr="006F1EB3">
        <w:rPr>
          <w:rFonts w:cs="Arial"/>
          <w:b/>
          <w:bCs/>
          <w:szCs w:val="20"/>
        </w:rPr>
        <w:t xml:space="preserve">Paper 1 of </w:t>
      </w:r>
      <w:r w:rsidR="0064135E" w:rsidRPr="006F1EB3">
        <w:rPr>
          <w:rFonts w:cs="Arial"/>
          <w:b/>
          <w:bCs/>
          <w:szCs w:val="20"/>
        </w:rPr>
        <w:t>4</w:t>
      </w:r>
    </w:p>
    <w:p w14:paraId="0E708047" w14:textId="77777777" w:rsidR="00F626D2" w:rsidRPr="006F1EB3" w:rsidRDefault="00163A52" w:rsidP="00163A52">
      <w:pPr>
        <w:rPr>
          <w:rFonts w:eastAsia="Times New Roman" w:cs="Arial"/>
          <w:szCs w:val="20"/>
        </w:rPr>
      </w:pPr>
      <w:r w:rsidRPr="006F1EB3">
        <w:rPr>
          <w:rFonts w:cs="Arial"/>
          <w:b/>
          <w:bCs/>
          <w:szCs w:val="20"/>
        </w:rPr>
        <w:t>Paper Title</w:t>
      </w:r>
      <w:r w:rsidRPr="006F1EB3">
        <w:rPr>
          <w:rFonts w:cs="Arial"/>
          <w:szCs w:val="20"/>
        </w:rPr>
        <w:t xml:space="preserve">: </w:t>
      </w:r>
      <w:r w:rsidR="00F626D2" w:rsidRPr="006F1EB3">
        <w:rPr>
          <w:rFonts w:eastAsia="Times New Roman" w:cs="Arial"/>
          <w:szCs w:val="20"/>
        </w:rPr>
        <w:t>Exploring Gastrointestinal Issues in Neurodevelopmental Disorders: Exploration of GI problems in Angelman Syndrome as Representation</w:t>
      </w:r>
    </w:p>
    <w:p w14:paraId="40445C80" w14:textId="5ACD27DF" w:rsidR="00163A52" w:rsidRPr="006F1EB3" w:rsidRDefault="00163A52" w:rsidP="00163A52">
      <w:pPr>
        <w:rPr>
          <w:rFonts w:cs="Arial"/>
          <w:szCs w:val="20"/>
        </w:rPr>
      </w:pPr>
      <w:r w:rsidRPr="006F1EB3">
        <w:rPr>
          <w:rFonts w:cs="Arial"/>
          <w:b/>
          <w:bCs/>
          <w:szCs w:val="20"/>
        </w:rPr>
        <w:t>Authors</w:t>
      </w:r>
      <w:r w:rsidRPr="006F1EB3">
        <w:rPr>
          <w:rFonts w:cs="Arial"/>
          <w:szCs w:val="20"/>
        </w:rPr>
        <w:t xml:space="preserve">: </w:t>
      </w:r>
      <w:proofErr w:type="spellStart"/>
      <w:r w:rsidR="00037B99" w:rsidRPr="006F1EB3">
        <w:rPr>
          <w:rFonts w:cs="Arial"/>
          <w:szCs w:val="20"/>
        </w:rPr>
        <w:t>Taeseon</w:t>
      </w:r>
      <w:proofErr w:type="spellEnd"/>
      <w:r w:rsidR="00037B99" w:rsidRPr="006F1EB3">
        <w:rPr>
          <w:rFonts w:cs="Arial"/>
          <w:szCs w:val="20"/>
        </w:rPr>
        <w:t xml:space="preserve"> W</w:t>
      </w:r>
      <w:r w:rsidR="004047B0" w:rsidRPr="006F1EB3">
        <w:rPr>
          <w:rFonts w:cs="Arial"/>
          <w:szCs w:val="20"/>
        </w:rPr>
        <w:t>oo</w:t>
      </w:r>
      <w:r w:rsidR="002A64F0" w:rsidRPr="006F1EB3">
        <w:rPr>
          <w:rStyle w:val="FootnoteReference"/>
          <w:rFonts w:cs="Arial"/>
          <w:szCs w:val="20"/>
        </w:rPr>
        <w:footnoteReference w:id="3"/>
      </w:r>
      <w:r w:rsidRPr="006F1EB3">
        <w:rPr>
          <w:rFonts w:cs="Arial"/>
          <w:szCs w:val="20"/>
        </w:rPr>
        <w:t xml:space="preserve">, </w:t>
      </w:r>
      <w:r w:rsidR="00F626D2" w:rsidRPr="006F1EB3">
        <w:rPr>
          <w:rFonts w:eastAsia="Times New Roman" w:cs="Arial"/>
          <w:szCs w:val="20"/>
        </w:rPr>
        <w:t>Kara Margolis</w:t>
      </w:r>
      <w:r w:rsidR="00F626D2" w:rsidRPr="006F1EB3">
        <w:rPr>
          <w:rFonts w:eastAsia="Times New Roman" w:cs="Arial"/>
          <w:szCs w:val="20"/>
          <w:vertAlign w:val="superscript"/>
        </w:rPr>
        <w:t>3,</w:t>
      </w:r>
      <w:r w:rsidR="002A64F0" w:rsidRPr="006F1EB3">
        <w:rPr>
          <w:rStyle w:val="FootnoteReference"/>
          <w:rFonts w:cs="Arial"/>
          <w:szCs w:val="20"/>
        </w:rPr>
        <w:footnoteReference w:id="4"/>
      </w:r>
    </w:p>
    <w:p w14:paraId="50BCC3F6" w14:textId="3077BB6E" w:rsidR="00163A52" w:rsidRPr="006F1EB3" w:rsidRDefault="00163A52" w:rsidP="00163A52">
      <w:pPr>
        <w:rPr>
          <w:rFonts w:cs="Arial"/>
          <w:szCs w:val="20"/>
        </w:rPr>
      </w:pPr>
      <w:r w:rsidRPr="006F1EB3">
        <w:rPr>
          <w:rFonts w:cs="Arial"/>
          <w:b/>
          <w:bCs/>
          <w:szCs w:val="20"/>
        </w:rPr>
        <w:t>Introduction</w:t>
      </w:r>
      <w:r w:rsidRPr="006F1EB3">
        <w:rPr>
          <w:rFonts w:cs="Arial"/>
          <w:szCs w:val="20"/>
        </w:rPr>
        <w:t xml:space="preserve">: </w:t>
      </w:r>
      <w:r w:rsidR="00037B99" w:rsidRPr="006F1EB3">
        <w:rPr>
          <w:rFonts w:cs="Arial"/>
          <w:szCs w:val="20"/>
        </w:rPr>
        <w:t xml:space="preserve">Angelman Syndrome (AS) is a neurodevelopmental disorder caused by the loss of the maternally inherited UBE3A gene, that has been shown to profoundly impact the central nervous system </w:t>
      </w:r>
      <w:r w:rsidR="004047B0" w:rsidRPr="006F1EB3">
        <w:rPr>
          <w:rFonts w:cs="Arial"/>
          <w:szCs w:val="20"/>
        </w:rPr>
        <w:t xml:space="preserve">(den </w:t>
      </w:r>
      <w:proofErr w:type="spellStart"/>
      <w:r w:rsidR="004047B0" w:rsidRPr="006F1EB3">
        <w:rPr>
          <w:rFonts w:cs="Arial"/>
          <w:szCs w:val="20"/>
        </w:rPr>
        <w:t>Besten</w:t>
      </w:r>
      <w:proofErr w:type="spellEnd"/>
      <w:r w:rsidR="004047B0" w:rsidRPr="006F1EB3">
        <w:rPr>
          <w:rFonts w:cs="Arial"/>
          <w:szCs w:val="20"/>
        </w:rPr>
        <w:t xml:space="preserve"> et al., 2021)</w:t>
      </w:r>
      <w:r w:rsidR="00037B99" w:rsidRPr="006F1EB3">
        <w:rPr>
          <w:rFonts w:cs="Arial"/>
          <w:szCs w:val="20"/>
        </w:rPr>
        <w:t xml:space="preserve">. However, up to 80% of individuals with AS also present with </w:t>
      </w:r>
      <w:r w:rsidR="00592497" w:rsidRPr="006F1EB3">
        <w:rPr>
          <w:rFonts w:cs="Arial"/>
          <w:szCs w:val="20"/>
        </w:rPr>
        <w:t>gastrointestinal (</w:t>
      </w:r>
      <w:r w:rsidR="00037B99" w:rsidRPr="006F1EB3">
        <w:rPr>
          <w:rFonts w:cs="Arial"/>
          <w:szCs w:val="20"/>
        </w:rPr>
        <w:t>GI</w:t>
      </w:r>
      <w:r w:rsidR="00592497" w:rsidRPr="006F1EB3">
        <w:rPr>
          <w:rFonts w:cs="Arial"/>
          <w:szCs w:val="20"/>
        </w:rPr>
        <w:t>)</w:t>
      </w:r>
      <w:r w:rsidR="00037B99" w:rsidRPr="006F1EB3">
        <w:rPr>
          <w:rFonts w:cs="Arial"/>
          <w:szCs w:val="20"/>
        </w:rPr>
        <w:t xml:space="preserve"> problems, suggesting that the enteric nervous system (ENS) might also be significantly impacted</w:t>
      </w:r>
      <w:r w:rsidR="004047B0" w:rsidRPr="006F1EB3">
        <w:rPr>
          <w:rFonts w:cs="Arial"/>
          <w:szCs w:val="20"/>
        </w:rPr>
        <w:t xml:space="preserve"> (Leader et al., 2022)</w:t>
      </w:r>
      <w:r w:rsidR="00037B99" w:rsidRPr="006F1EB3">
        <w:rPr>
          <w:rFonts w:cs="Arial"/>
          <w:szCs w:val="20"/>
        </w:rPr>
        <w:t xml:space="preserve">. Understanding the GI manifestations in AS mice could not only clarify the underlying mechanisms of the disorder but also offer insights into potential therapeutic approaches for alleviating GI symptoms in other </w:t>
      </w:r>
      <w:r w:rsidR="00A97843" w:rsidRPr="006F1EB3">
        <w:rPr>
          <w:rFonts w:cs="Arial"/>
          <w:szCs w:val="20"/>
        </w:rPr>
        <w:t>neurodevelopmental disorder</w:t>
      </w:r>
      <w:r w:rsidR="00037B99" w:rsidRPr="006F1EB3">
        <w:rPr>
          <w:rFonts w:cs="Arial"/>
          <w:szCs w:val="20"/>
        </w:rPr>
        <w:t>s.</w:t>
      </w:r>
    </w:p>
    <w:p w14:paraId="56DA41D9" w14:textId="2EF23ABC" w:rsidR="009B17A1" w:rsidRPr="006F1EB3" w:rsidRDefault="009B17A1" w:rsidP="009B17A1">
      <w:pPr>
        <w:rPr>
          <w:rFonts w:cs="Arial"/>
          <w:szCs w:val="20"/>
        </w:rPr>
      </w:pPr>
      <w:r w:rsidRPr="006F1EB3">
        <w:rPr>
          <w:rFonts w:cs="Arial"/>
          <w:b/>
          <w:bCs/>
          <w:szCs w:val="20"/>
        </w:rPr>
        <w:t>Method</w:t>
      </w:r>
      <w:r w:rsidRPr="006F1EB3">
        <w:rPr>
          <w:rFonts w:cs="Arial"/>
          <w:szCs w:val="20"/>
        </w:rPr>
        <w:t xml:space="preserve">: </w:t>
      </w:r>
      <w:r w:rsidR="00037B99" w:rsidRPr="006F1EB3">
        <w:rPr>
          <w:rFonts w:cs="Arial"/>
          <w:szCs w:val="20"/>
        </w:rPr>
        <w:t>We employed a maternally inherited UBE3A knockout (m-/p+) mouse model to conduct a series of in-vivo and ex-vivo tests designed to test gastrointestinal movement and ENS function. In vivo tests included total GI transit (TGIT), colonic motility, gastric emptying, and small intestine transit. Ex vivo tests, implemented to assess ENS function, including evaluation of colonic migrating motor complexes (CMMC) and duodenal propagating contractile complexes (PCC) by spatiotemporal mapping. Immunohistochemistry was performed to quantify neuronal density in the colon, ileum, duodenum, and stomach.</w:t>
      </w:r>
    </w:p>
    <w:p w14:paraId="4BAE4CCB" w14:textId="4B5CA4BA" w:rsidR="009B17A1" w:rsidRPr="006F1EB3" w:rsidRDefault="009B17A1" w:rsidP="009B17A1">
      <w:pPr>
        <w:rPr>
          <w:rFonts w:cs="Arial"/>
          <w:szCs w:val="20"/>
        </w:rPr>
      </w:pPr>
      <w:r w:rsidRPr="006F1EB3">
        <w:rPr>
          <w:rFonts w:cs="Arial"/>
          <w:b/>
          <w:bCs/>
          <w:szCs w:val="20"/>
        </w:rPr>
        <w:lastRenderedPageBreak/>
        <w:t>Results</w:t>
      </w:r>
      <w:r w:rsidRPr="006F1EB3">
        <w:rPr>
          <w:rFonts w:cs="Arial"/>
          <w:szCs w:val="20"/>
        </w:rPr>
        <w:t xml:space="preserve">: </w:t>
      </w:r>
      <w:r w:rsidR="00037B99" w:rsidRPr="006F1EB3">
        <w:rPr>
          <w:rFonts w:cs="Arial"/>
          <w:szCs w:val="20"/>
        </w:rPr>
        <w:t>Both male and female AS mice exhibited significant delays in TGIT and reduced gastric emptying rates compared to wild-type controls. Notably, female AS mice showed increased colonic motility, while male mice did not exhibit significant changes. No significant differences were observed in small intestine transit, CMMC frequency, or duration. However, duodenal PCC analysis revealed a decreased amplitude in both sexes. Additionally, male mice showed reduced PCC duration, increased inhibition rates, and decreased contraction frequency per cycle. In terms of neuronal density, reductions were observed in the colon, ileum, and duodenum of female AS mice, while male mice exhibited decreases in the duodenum and corpus of stomach.</w:t>
      </w:r>
    </w:p>
    <w:p w14:paraId="5704A701" w14:textId="1256F75D" w:rsidR="009B17A1" w:rsidRPr="006F1EB3" w:rsidRDefault="009B17A1" w:rsidP="009B17A1">
      <w:pPr>
        <w:rPr>
          <w:rFonts w:cs="Arial"/>
          <w:szCs w:val="20"/>
        </w:rPr>
      </w:pPr>
      <w:r w:rsidRPr="006F1EB3">
        <w:rPr>
          <w:rFonts w:cs="Arial"/>
          <w:b/>
          <w:bCs/>
          <w:szCs w:val="20"/>
        </w:rPr>
        <w:t>Discussion</w:t>
      </w:r>
      <w:r w:rsidRPr="006F1EB3">
        <w:rPr>
          <w:rFonts w:cs="Arial"/>
          <w:szCs w:val="20"/>
        </w:rPr>
        <w:t xml:space="preserve">: </w:t>
      </w:r>
      <w:r w:rsidR="00037B99" w:rsidRPr="006F1EB3">
        <w:rPr>
          <w:rFonts w:cs="Arial"/>
          <w:szCs w:val="20"/>
        </w:rPr>
        <w:t>The observed delays in TGIT and reduced gastric emptying in both sexes highlight a common upper gastrointestinal dysfunction in AS mice. However, differences in specific GI motility, such as increased colonic motility in females and distinct PCC alterations in males, suggest sex-specific responses in lower GI tract function. The neuronal density reductions observed in sex-specific patterns across the gut may underlie these motility differences. This emphasizes the importance of investigating region- and sex-specific enteric changes in AS, which could guide more targeted therapeutic approaches.</w:t>
      </w:r>
    </w:p>
    <w:p w14:paraId="1F98276C" w14:textId="77777777" w:rsidR="004047B0" w:rsidRPr="006F1EB3" w:rsidRDefault="009B17A1" w:rsidP="009B17A1">
      <w:pPr>
        <w:rPr>
          <w:rFonts w:cs="Arial"/>
          <w:szCs w:val="20"/>
        </w:rPr>
      </w:pPr>
      <w:r w:rsidRPr="006F1EB3">
        <w:rPr>
          <w:rFonts w:cs="Arial"/>
          <w:b/>
          <w:bCs/>
          <w:szCs w:val="20"/>
        </w:rPr>
        <w:t>References</w:t>
      </w:r>
      <w:r w:rsidRPr="006F1EB3">
        <w:rPr>
          <w:rFonts w:cs="Arial"/>
          <w:szCs w:val="20"/>
        </w:rPr>
        <w:t xml:space="preserve"> </w:t>
      </w:r>
    </w:p>
    <w:p w14:paraId="286F6B60" w14:textId="77777777" w:rsidR="00F626D2" w:rsidRPr="006F1EB3" w:rsidRDefault="00F626D2" w:rsidP="00F626D2">
      <w:pPr>
        <w:pStyle w:val="ListParagraph"/>
        <w:numPr>
          <w:ilvl w:val="0"/>
          <w:numId w:val="2"/>
        </w:numPr>
        <w:rPr>
          <w:rFonts w:cs="Arial"/>
          <w:szCs w:val="20"/>
        </w:rPr>
      </w:pPr>
      <w:r w:rsidRPr="006F1EB3">
        <w:rPr>
          <w:rFonts w:cs="Arial"/>
          <w:szCs w:val="20"/>
        </w:rPr>
        <w:t xml:space="preserve">den </w:t>
      </w:r>
      <w:proofErr w:type="spellStart"/>
      <w:r w:rsidRPr="006F1EB3">
        <w:rPr>
          <w:rFonts w:cs="Arial"/>
          <w:szCs w:val="20"/>
        </w:rPr>
        <w:t>Besten</w:t>
      </w:r>
      <w:proofErr w:type="spellEnd"/>
      <w:r w:rsidRPr="006F1EB3">
        <w:rPr>
          <w:rFonts w:cs="Arial"/>
          <w:szCs w:val="20"/>
        </w:rPr>
        <w:t xml:space="preserve">, I., de Jong, R. F., </w:t>
      </w:r>
      <w:proofErr w:type="spellStart"/>
      <w:r w:rsidRPr="006F1EB3">
        <w:rPr>
          <w:rFonts w:cs="Arial"/>
          <w:szCs w:val="20"/>
        </w:rPr>
        <w:t>Geerts-Haages</w:t>
      </w:r>
      <w:proofErr w:type="spellEnd"/>
      <w:r w:rsidRPr="006F1EB3">
        <w:rPr>
          <w:rFonts w:cs="Arial"/>
          <w:szCs w:val="20"/>
        </w:rPr>
        <w:t xml:space="preserve">, A., </w:t>
      </w:r>
      <w:proofErr w:type="spellStart"/>
      <w:r w:rsidRPr="006F1EB3">
        <w:rPr>
          <w:rFonts w:cs="Arial"/>
          <w:szCs w:val="20"/>
        </w:rPr>
        <w:t>Bruggenwirth</w:t>
      </w:r>
      <w:proofErr w:type="spellEnd"/>
      <w:r w:rsidRPr="006F1EB3">
        <w:rPr>
          <w:rFonts w:cs="Arial"/>
          <w:szCs w:val="20"/>
        </w:rPr>
        <w:t xml:space="preserve">, H. T., Koopmans, M., ENCORE Expertise Center for AS 18+, Brooks, A., Elgersma, Y., </w:t>
      </w:r>
      <w:proofErr w:type="spellStart"/>
      <w:r w:rsidRPr="006F1EB3">
        <w:rPr>
          <w:rFonts w:cs="Arial"/>
          <w:szCs w:val="20"/>
        </w:rPr>
        <w:t>Festen</w:t>
      </w:r>
      <w:proofErr w:type="spellEnd"/>
      <w:r w:rsidRPr="006F1EB3">
        <w:rPr>
          <w:rFonts w:cs="Arial"/>
          <w:szCs w:val="20"/>
        </w:rPr>
        <w:t xml:space="preserve">, D. A. M., &amp; </w:t>
      </w:r>
      <w:proofErr w:type="spellStart"/>
      <w:r w:rsidRPr="006F1EB3">
        <w:rPr>
          <w:rFonts w:cs="Arial"/>
          <w:szCs w:val="20"/>
        </w:rPr>
        <w:t>Valstar</w:t>
      </w:r>
      <w:proofErr w:type="spellEnd"/>
      <w:r w:rsidRPr="006F1EB3">
        <w:rPr>
          <w:rFonts w:cs="Arial"/>
          <w:szCs w:val="20"/>
        </w:rPr>
        <w:t xml:space="preserve">, M. J. (2021). Clinical aspects of a large group of adults with Angelman syndrome. </w:t>
      </w:r>
      <w:r w:rsidRPr="006F1EB3">
        <w:rPr>
          <w:rFonts w:cs="Arial"/>
          <w:i/>
          <w:iCs/>
          <w:szCs w:val="20"/>
        </w:rPr>
        <w:t>American journal of medical genetics. Part A, 185</w:t>
      </w:r>
      <w:r w:rsidRPr="006F1EB3">
        <w:rPr>
          <w:rFonts w:cs="Arial"/>
          <w:szCs w:val="20"/>
        </w:rPr>
        <w:t xml:space="preserve">(1), 168–181. </w:t>
      </w:r>
      <w:hyperlink r:id="rId13" w:history="1">
        <w:r w:rsidRPr="006F1EB3">
          <w:rPr>
            <w:rStyle w:val="Hyperlink"/>
            <w:rFonts w:cs="Arial"/>
            <w:szCs w:val="20"/>
          </w:rPr>
          <w:t>https://doi.org/10.1002/ajmg.a.61940 2</w:t>
        </w:r>
      </w:hyperlink>
      <w:r w:rsidR="004047B0" w:rsidRPr="006F1EB3">
        <w:rPr>
          <w:rFonts w:cs="Arial"/>
          <w:szCs w:val="20"/>
        </w:rPr>
        <w:t>.</w:t>
      </w:r>
      <w:r w:rsidR="004047B0" w:rsidRPr="006F1EB3">
        <w:rPr>
          <w:rFonts w:cs="Arial"/>
          <w:szCs w:val="20"/>
        </w:rPr>
        <w:tab/>
      </w:r>
    </w:p>
    <w:p w14:paraId="6FC58C98" w14:textId="43F85205" w:rsidR="004047B0" w:rsidRPr="006F1EB3" w:rsidRDefault="00F626D2" w:rsidP="00F626D2">
      <w:pPr>
        <w:pStyle w:val="ListParagraph"/>
        <w:numPr>
          <w:ilvl w:val="0"/>
          <w:numId w:val="2"/>
        </w:numPr>
        <w:rPr>
          <w:rFonts w:cs="Arial"/>
          <w:szCs w:val="20"/>
        </w:rPr>
      </w:pPr>
      <w:r w:rsidRPr="006F1EB3">
        <w:rPr>
          <w:rFonts w:cs="Arial"/>
          <w:szCs w:val="20"/>
        </w:rPr>
        <w:t xml:space="preserve">Leader, G., Whelan, S., </w:t>
      </w:r>
      <w:proofErr w:type="spellStart"/>
      <w:r w:rsidRPr="006F1EB3">
        <w:rPr>
          <w:rFonts w:cs="Arial"/>
          <w:szCs w:val="20"/>
        </w:rPr>
        <w:t>Chonaill</w:t>
      </w:r>
      <w:proofErr w:type="spellEnd"/>
      <w:r w:rsidRPr="006F1EB3">
        <w:rPr>
          <w:rFonts w:cs="Arial"/>
          <w:szCs w:val="20"/>
        </w:rPr>
        <w:t xml:space="preserve">, N. N., Coyne, R., Tones, M., </w:t>
      </w:r>
      <w:proofErr w:type="spellStart"/>
      <w:r w:rsidRPr="006F1EB3">
        <w:rPr>
          <w:rFonts w:cs="Arial"/>
          <w:szCs w:val="20"/>
        </w:rPr>
        <w:t>Heussler</w:t>
      </w:r>
      <w:proofErr w:type="spellEnd"/>
      <w:r w:rsidRPr="006F1EB3">
        <w:rPr>
          <w:rFonts w:cs="Arial"/>
          <w:szCs w:val="20"/>
        </w:rPr>
        <w:t xml:space="preserve">, H., </w:t>
      </w:r>
      <w:proofErr w:type="spellStart"/>
      <w:r w:rsidRPr="006F1EB3">
        <w:rPr>
          <w:rFonts w:cs="Arial"/>
          <w:szCs w:val="20"/>
        </w:rPr>
        <w:t>Bellgard</w:t>
      </w:r>
      <w:proofErr w:type="spellEnd"/>
      <w:r w:rsidRPr="006F1EB3">
        <w:rPr>
          <w:rFonts w:cs="Arial"/>
          <w:szCs w:val="20"/>
        </w:rPr>
        <w:t xml:space="preserve">, M., &amp; Mannion, A. (2022). Association between early and current gastro-intestinal symptoms and co-morbidities in children and adolescents with Angelman syndrome. </w:t>
      </w:r>
      <w:r w:rsidRPr="006F1EB3">
        <w:rPr>
          <w:rFonts w:cs="Arial"/>
          <w:i/>
          <w:iCs/>
          <w:szCs w:val="20"/>
        </w:rPr>
        <w:t xml:space="preserve">Journal of intellectual disability </w:t>
      </w:r>
      <w:proofErr w:type="gramStart"/>
      <w:r w:rsidRPr="006F1EB3">
        <w:rPr>
          <w:rFonts w:cs="Arial"/>
          <w:i/>
          <w:iCs/>
          <w:szCs w:val="20"/>
        </w:rPr>
        <w:t>research :</w:t>
      </w:r>
      <w:proofErr w:type="gramEnd"/>
      <w:r w:rsidRPr="006F1EB3">
        <w:rPr>
          <w:rFonts w:cs="Arial"/>
          <w:i/>
          <w:iCs/>
          <w:szCs w:val="20"/>
        </w:rPr>
        <w:t xml:space="preserve"> JIDR, 66</w:t>
      </w:r>
      <w:r w:rsidRPr="006F1EB3">
        <w:rPr>
          <w:rFonts w:cs="Arial"/>
          <w:szCs w:val="20"/>
        </w:rPr>
        <w:t xml:space="preserve">(11), 865–879. </w:t>
      </w:r>
      <w:hyperlink r:id="rId14" w:history="1">
        <w:r w:rsidRPr="006F1EB3">
          <w:rPr>
            <w:rStyle w:val="Hyperlink"/>
            <w:rFonts w:cs="Arial"/>
            <w:szCs w:val="20"/>
          </w:rPr>
          <w:t>https://doi.org/10.1111/jir.12975</w:t>
        </w:r>
      </w:hyperlink>
      <w:r w:rsidRPr="006F1EB3">
        <w:rPr>
          <w:rFonts w:cs="Arial"/>
          <w:szCs w:val="20"/>
        </w:rPr>
        <w:t xml:space="preserve">  </w:t>
      </w:r>
    </w:p>
    <w:p w14:paraId="6F13206B" w14:textId="449DAB68" w:rsidR="0064135E" w:rsidRPr="006F1EB3" w:rsidRDefault="0064135E" w:rsidP="004047B0">
      <w:pPr>
        <w:jc w:val="center"/>
        <w:rPr>
          <w:rFonts w:cs="Arial"/>
          <w:b/>
          <w:bCs/>
          <w:szCs w:val="20"/>
        </w:rPr>
      </w:pPr>
      <w:r w:rsidRPr="006F1EB3">
        <w:rPr>
          <w:rFonts w:cs="Arial"/>
          <w:b/>
          <w:bCs/>
          <w:szCs w:val="20"/>
        </w:rPr>
        <w:t>Paper 2 of 4</w:t>
      </w:r>
    </w:p>
    <w:p w14:paraId="4BCF8EC6" w14:textId="100CC25F" w:rsidR="0064135E" w:rsidRPr="006F1EB3" w:rsidRDefault="0064135E" w:rsidP="0064135E">
      <w:pPr>
        <w:rPr>
          <w:rFonts w:cs="Arial"/>
          <w:szCs w:val="20"/>
        </w:rPr>
      </w:pPr>
      <w:r w:rsidRPr="006F1EB3">
        <w:rPr>
          <w:rFonts w:cs="Arial"/>
          <w:b/>
          <w:bCs/>
          <w:szCs w:val="20"/>
        </w:rPr>
        <w:t>Paper Title</w:t>
      </w:r>
      <w:r w:rsidRPr="006F1EB3">
        <w:rPr>
          <w:rFonts w:cs="Arial"/>
          <w:szCs w:val="20"/>
        </w:rPr>
        <w:t xml:space="preserve">: </w:t>
      </w:r>
      <w:r w:rsidR="00AD1D6C" w:rsidRPr="006F1EB3">
        <w:rPr>
          <w:rFonts w:cs="Arial"/>
          <w:szCs w:val="20"/>
        </w:rPr>
        <w:t>Gastrointestinal Complexity in Angelman Syndrome: Insights from Longitudinal Analysis</w:t>
      </w:r>
    </w:p>
    <w:p w14:paraId="74A51CF7" w14:textId="7984EC3E" w:rsidR="0064135E" w:rsidRPr="006F1EB3" w:rsidRDefault="0064135E" w:rsidP="0064135E">
      <w:pPr>
        <w:rPr>
          <w:rFonts w:cs="Arial"/>
          <w:szCs w:val="20"/>
        </w:rPr>
      </w:pPr>
      <w:r w:rsidRPr="006F1EB3">
        <w:rPr>
          <w:rFonts w:cs="Arial"/>
          <w:b/>
          <w:bCs/>
          <w:szCs w:val="20"/>
        </w:rPr>
        <w:t>Authors</w:t>
      </w:r>
      <w:r w:rsidRPr="006F1EB3">
        <w:rPr>
          <w:rFonts w:cs="Arial"/>
          <w:szCs w:val="20"/>
        </w:rPr>
        <w:t xml:space="preserve">: </w:t>
      </w:r>
      <w:proofErr w:type="spellStart"/>
      <w:r w:rsidR="00AD1D6C" w:rsidRPr="006F1EB3">
        <w:rPr>
          <w:rFonts w:cs="Arial"/>
          <w:szCs w:val="20"/>
        </w:rPr>
        <w:t>Batsheva</w:t>
      </w:r>
      <w:proofErr w:type="spellEnd"/>
      <w:r w:rsidR="00AD1D6C" w:rsidRPr="006F1EB3">
        <w:rPr>
          <w:rFonts w:cs="Arial"/>
          <w:szCs w:val="20"/>
        </w:rPr>
        <w:t xml:space="preserve"> Friedman</w:t>
      </w:r>
      <w:r w:rsidR="00AD1D6C" w:rsidRPr="006F1EB3">
        <w:rPr>
          <w:rStyle w:val="FootnoteReference"/>
          <w:rFonts w:cs="Arial"/>
          <w:szCs w:val="20"/>
        </w:rPr>
        <w:footnoteReference w:id="5"/>
      </w:r>
      <w:r w:rsidR="00AD1D6C" w:rsidRPr="006F1EB3">
        <w:rPr>
          <w:rFonts w:cs="Arial"/>
          <w:szCs w:val="20"/>
        </w:rPr>
        <w:t>, Adriana Gomes</w:t>
      </w:r>
      <w:r w:rsidR="00B928B0" w:rsidRPr="006F1EB3">
        <w:rPr>
          <w:rStyle w:val="FootnoteReference"/>
          <w:rFonts w:cs="Arial"/>
          <w:szCs w:val="20"/>
        </w:rPr>
        <w:t>2</w:t>
      </w:r>
      <w:r w:rsidR="00AD1D6C" w:rsidRPr="006F1EB3">
        <w:rPr>
          <w:rFonts w:cs="Arial"/>
          <w:szCs w:val="20"/>
        </w:rPr>
        <w:t>,  Wen-Hann Tan</w:t>
      </w:r>
      <w:r w:rsidR="00AD1D6C" w:rsidRPr="006F1EB3">
        <w:rPr>
          <w:rStyle w:val="FootnoteReference"/>
          <w:rFonts w:cs="Arial"/>
          <w:szCs w:val="20"/>
        </w:rPr>
        <w:t>5</w:t>
      </w:r>
      <w:r w:rsidR="00AD1D6C" w:rsidRPr="006F1EB3">
        <w:rPr>
          <w:rFonts w:cs="Arial"/>
          <w:szCs w:val="20"/>
        </w:rPr>
        <w:t>, Anjali Sadhwani</w:t>
      </w:r>
      <w:r w:rsidR="00AD1D6C" w:rsidRPr="006F1EB3">
        <w:rPr>
          <w:rFonts w:cs="Arial"/>
          <w:szCs w:val="20"/>
          <w:vertAlign w:val="superscript"/>
        </w:rPr>
        <w:t>5</w:t>
      </w:r>
      <w:r w:rsidR="00AD1D6C" w:rsidRPr="006F1EB3">
        <w:rPr>
          <w:rFonts w:cs="Arial"/>
          <w:szCs w:val="20"/>
        </w:rPr>
        <w:t>,</w:t>
      </w:r>
      <w:r w:rsidR="00AD1D6C" w:rsidRPr="006F1EB3">
        <w:rPr>
          <w:rFonts w:cs="Arial"/>
          <w:szCs w:val="20"/>
        </w:rPr>
        <w:t xml:space="preserve"> Angela Gwaltney</w:t>
      </w:r>
      <w:r w:rsidR="00AD1D6C" w:rsidRPr="006F1EB3">
        <w:rPr>
          <w:rStyle w:val="FootnoteReference"/>
          <w:rFonts w:cs="Arial"/>
          <w:szCs w:val="20"/>
        </w:rPr>
        <w:t>1</w:t>
      </w:r>
      <w:r w:rsidR="00AD1D6C" w:rsidRPr="006F1EB3">
        <w:rPr>
          <w:rFonts w:cs="Arial"/>
          <w:szCs w:val="20"/>
        </w:rPr>
        <w:t>, Anne Wheeler</w:t>
      </w:r>
      <w:r w:rsidR="00AD1D6C" w:rsidRPr="006F1EB3">
        <w:rPr>
          <w:rStyle w:val="FootnoteReference"/>
          <w:rFonts w:cs="Arial"/>
          <w:szCs w:val="20"/>
        </w:rPr>
        <w:t>1</w:t>
      </w:r>
      <w:r w:rsidR="00AD1D6C" w:rsidRPr="006F1EB3">
        <w:rPr>
          <w:rFonts w:cs="Arial"/>
          <w:szCs w:val="20"/>
        </w:rPr>
        <w:t>, Sarah Nelson Potter</w:t>
      </w:r>
      <w:r w:rsidR="00AD1D6C" w:rsidRPr="006F1EB3">
        <w:rPr>
          <w:rStyle w:val="FootnoteReference"/>
          <w:rFonts w:cs="Arial"/>
          <w:szCs w:val="20"/>
        </w:rPr>
        <w:t>1</w:t>
      </w:r>
      <w:r w:rsidR="00AD1D6C" w:rsidRPr="006F1EB3">
        <w:rPr>
          <w:rFonts w:cs="Arial"/>
          <w:szCs w:val="20"/>
        </w:rPr>
        <w:t>, Lynne M. Bird</w:t>
      </w:r>
      <w:bookmarkStart w:id="0" w:name="_Hlk180952763"/>
      <w:r w:rsidR="00A97843" w:rsidRPr="006F1EB3">
        <w:rPr>
          <w:rFonts w:cs="Arial"/>
          <w:szCs w:val="20"/>
          <w:vertAlign w:val="superscript"/>
        </w:rPr>
        <w:t>2</w:t>
      </w:r>
      <w:bookmarkEnd w:id="0"/>
      <w:r w:rsidR="00AD1D6C" w:rsidRPr="006F1EB3">
        <w:rPr>
          <w:rFonts w:cs="Arial"/>
          <w:szCs w:val="20"/>
        </w:rPr>
        <w:t xml:space="preserve">, and Angelman Syndrome Natural History Consortium* </w:t>
      </w:r>
    </w:p>
    <w:p w14:paraId="3B9E83ED" w14:textId="2EE32AA1" w:rsidR="00BC0285" w:rsidRPr="006F1EB3" w:rsidRDefault="0064135E" w:rsidP="00BC0285">
      <w:pPr>
        <w:rPr>
          <w:rFonts w:cs="Arial"/>
          <w:szCs w:val="20"/>
        </w:rPr>
      </w:pPr>
      <w:r w:rsidRPr="006F1EB3">
        <w:rPr>
          <w:rFonts w:cs="Arial"/>
          <w:b/>
          <w:bCs/>
          <w:szCs w:val="20"/>
        </w:rPr>
        <w:t>Introduction</w:t>
      </w:r>
      <w:r w:rsidRPr="006F1EB3">
        <w:rPr>
          <w:rFonts w:cs="Arial"/>
          <w:szCs w:val="20"/>
        </w:rPr>
        <w:t xml:space="preserve">: </w:t>
      </w:r>
      <w:r w:rsidR="00BC0285" w:rsidRPr="006F1EB3">
        <w:rPr>
          <w:rFonts w:cs="Arial"/>
          <w:szCs w:val="20"/>
        </w:rPr>
        <w:t xml:space="preserve">Angelman Syndrome (AS) is a rare neurogenetic disorder caused by the lack of expression of the </w:t>
      </w:r>
      <w:r w:rsidR="00BC0285" w:rsidRPr="006F1EB3">
        <w:rPr>
          <w:rFonts w:cs="Arial"/>
          <w:i/>
          <w:iCs/>
          <w:szCs w:val="20"/>
        </w:rPr>
        <w:t>UBE3A</w:t>
      </w:r>
      <w:r w:rsidR="00BC0285" w:rsidRPr="006F1EB3">
        <w:rPr>
          <w:rFonts w:cs="Arial"/>
          <w:szCs w:val="20"/>
        </w:rPr>
        <w:t xml:space="preserve"> gene, which can be disrupted through one of four genetic mechanisms (Tan et al</w:t>
      </w:r>
      <w:r w:rsidR="00C14933" w:rsidRPr="006F1EB3">
        <w:rPr>
          <w:rFonts w:cs="Arial"/>
          <w:szCs w:val="20"/>
        </w:rPr>
        <w:t>.</w:t>
      </w:r>
      <w:r w:rsidR="00BC0285" w:rsidRPr="006F1EB3">
        <w:rPr>
          <w:rFonts w:cs="Arial"/>
          <w:szCs w:val="20"/>
        </w:rPr>
        <w:t>, 2011; Williams e</w:t>
      </w:r>
      <w:r w:rsidR="00C14933" w:rsidRPr="006F1EB3">
        <w:rPr>
          <w:rFonts w:cs="Arial"/>
          <w:szCs w:val="20"/>
        </w:rPr>
        <w:t>t</w:t>
      </w:r>
      <w:r w:rsidR="00BC0285" w:rsidRPr="006F1EB3">
        <w:rPr>
          <w:rFonts w:cs="Arial"/>
          <w:szCs w:val="20"/>
        </w:rPr>
        <w:t xml:space="preserve"> al</w:t>
      </w:r>
      <w:r w:rsidR="00C14933" w:rsidRPr="006F1EB3">
        <w:rPr>
          <w:rFonts w:cs="Arial"/>
          <w:szCs w:val="20"/>
        </w:rPr>
        <w:t>.</w:t>
      </w:r>
      <w:r w:rsidR="00BC0285" w:rsidRPr="006F1EB3">
        <w:rPr>
          <w:rFonts w:cs="Arial"/>
          <w:szCs w:val="20"/>
        </w:rPr>
        <w:t xml:space="preserve">, 2006). The most common cause is a deletion on chromosome 15 that includes </w:t>
      </w:r>
      <w:r w:rsidR="00BC0285" w:rsidRPr="006F1EB3">
        <w:rPr>
          <w:rFonts w:cs="Arial"/>
          <w:i/>
          <w:iCs/>
          <w:szCs w:val="20"/>
        </w:rPr>
        <w:t>UBE3A</w:t>
      </w:r>
      <w:r w:rsidR="00BC0285" w:rsidRPr="006F1EB3">
        <w:rPr>
          <w:rFonts w:cs="Arial"/>
          <w:szCs w:val="20"/>
        </w:rPr>
        <w:t xml:space="preserve">. Other causes include uniparental </w:t>
      </w:r>
      <w:proofErr w:type="spellStart"/>
      <w:r w:rsidR="00BC0285" w:rsidRPr="006F1EB3">
        <w:rPr>
          <w:rFonts w:cs="Arial"/>
          <w:szCs w:val="20"/>
        </w:rPr>
        <w:t>Disomy</w:t>
      </w:r>
      <w:proofErr w:type="spellEnd"/>
      <w:r w:rsidR="00BC0285" w:rsidRPr="006F1EB3">
        <w:rPr>
          <w:rFonts w:cs="Arial"/>
          <w:szCs w:val="20"/>
        </w:rPr>
        <w:t xml:space="preserve"> UPD), where both copies of chromosome 15 are paternally inherited; defects in the imprinting of chromosome </w:t>
      </w:r>
      <w:r w:rsidR="00BC0285" w:rsidRPr="006F1EB3">
        <w:rPr>
          <w:rFonts w:cs="Arial"/>
          <w:szCs w:val="20"/>
        </w:rPr>
        <w:lastRenderedPageBreak/>
        <w:t xml:space="preserve">15; or a mutation in the </w:t>
      </w:r>
      <w:proofErr w:type="gramStart"/>
      <w:r w:rsidR="00BC0285" w:rsidRPr="006F1EB3">
        <w:rPr>
          <w:rFonts w:cs="Arial"/>
          <w:szCs w:val="20"/>
        </w:rPr>
        <w:t>maternally-inherited</w:t>
      </w:r>
      <w:proofErr w:type="gramEnd"/>
      <w:r w:rsidR="00BC0285" w:rsidRPr="006F1EB3">
        <w:rPr>
          <w:rFonts w:cs="Arial"/>
          <w:szCs w:val="20"/>
        </w:rPr>
        <w:t xml:space="preserve"> copy of </w:t>
      </w:r>
      <w:r w:rsidR="00BC0285" w:rsidRPr="006F1EB3">
        <w:rPr>
          <w:rFonts w:cs="Arial"/>
          <w:i/>
          <w:iCs/>
          <w:szCs w:val="20"/>
        </w:rPr>
        <w:t>UBE3A</w:t>
      </w:r>
      <w:r w:rsidR="00BC0285" w:rsidRPr="006F1EB3">
        <w:rPr>
          <w:rFonts w:cs="Arial"/>
          <w:szCs w:val="20"/>
        </w:rPr>
        <w:t>. There is an established genotype-phenotype correlation, with individuals with the deletion subtype typically experiencing the most significant challenges.</w:t>
      </w:r>
    </w:p>
    <w:p w14:paraId="7D55242A" w14:textId="6F2CA93A" w:rsidR="0064135E" w:rsidRPr="006F1EB3" w:rsidRDefault="00BC0285" w:rsidP="0064135E">
      <w:pPr>
        <w:rPr>
          <w:rFonts w:cs="Arial"/>
          <w:szCs w:val="20"/>
        </w:rPr>
      </w:pPr>
      <w:r w:rsidRPr="006F1EB3">
        <w:rPr>
          <w:rFonts w:cs="Arial"/>
          <w:szCs w:val="20"/>
        </w:rPr>
        <w:t>AS is often accompanied by gastrointestinal (GI) issues, some of which present early in life, including gastroesophageal reflux disease (GERD), failure to thrive, and feeding difficulties (Glassman et al</w:t>
      </w:r>
      <w:r w:rsidR="00C14933" w:rsidRPr="006F1EB3">
        <w:rPr>
          <w:rFonts w:cs="Arial"/>
          <w:szCs w:val="20"/>
        </w:rPr>
        <w:t>.</w:t>
      </w:r>
      <w:r w:rsidRPr="006F1EB3">
        <w:rPr>
          <w:rFonts w:cs="Arial"/>
          <w:szCs w:val="20"/>
        </w:rPr>
        <w:t>, 2017; Leader et al</w:t>
      </w:r>
      <w:r w:rsidR="00C14933" w:rsidRPr="006F1EB3">
        <w:rPr>
          <w:rFonts w:cs="Arial"/>
          <w:szCs w:val="20"/>
        </w:rPr>
        <w:t>.</w:t>
      </w:r>
      <w:r w:rsidRPr="006F1EB3">
        <w:rPr>
          <w:rFonts w:cs="Arial"/>
          <w:szCs w:val="20"/>
        </w:rPr>
        <w:t>, 2022; Tan et al</w:t>
      </w:r>
      <w:r w:rsidR="00C14933" w:rsidRPr="006F1EB3">
        <w:rPr>
          <w:rFonts w:cs="Arial"/>
          <w:szCs w:val="20"/>
        </w:rPr>
        <w:t>.</w:t>
      </w:r>
      <w:r w:rsidRPr="006F1EB3">
        <w:rPr>
          <w:rFonts w:cs="Arial"/>
          <w:szCs w:val="20"/>
        </w:rPr>
        <w:t xml:space="preserve">, 2011; </w:t>
      </w:r>
      <w:proofErr w:type="spellStart"/>
      <w:r w:rsidRPr="006F1EB3">
        <w:rPr>
          <w:rFonts w:cs="Arial"/>
          <w:szCs w:val="20"/>
        </w:rPr>
        <w:t>Thibert</w:t>
      </w:r>
      <w:proofErr w:type="spellEnd"/>
      <w:r w:rsidRPr="006F1EB3">
        <w:rPr>
          <w:rFonts w:cs="Arial"/>
          <w:szCs w:val="20"/>
        </w:rPr>
        <w:t xml:space="preserve"> et al</w:t>
      </w:r>
      <w:r w:rsidR="00C14933" w:rsidRPr="006F1EB3">
        <w:rPr>
          <w:rFonts w:cs="Arial"/>
          <w:szCs w:val="20"/>
        </w:rPr>
        <w:t>.</w:t>
      </w:r>
      <w:r w:rsidRPr="006F1EB3">
        <w:rPr>
          <w:rFonts w:cs="Arial"/>
          <w:szCs w:val="20"/>
        </w:rPr>
        <w:t>, 2012). However, longitudinal data on the persistence of these symptoms and co-occurrence with other symptoms over time are limited. While studies have described prevalence of eosinophilic esophagitis, constipation, cyclic vomiting, as other prevalent GI symptoms, many rely on retrospective chart review, datasets that predominantly represent younger participants, or caregiver-reported measures through registries (Leader et al</w:t>
      </w:r>
      <w:r w:rsidR="00C14933" w:rsidRPr="006F1EB3">
        <w:rPr>
          <w:rFonts w:cs="Arial"/>
          <w:szCs w:val="20"/>
        </w:rPr>
        <w:t>.</w:t>
      </w:r>
      <w:r w:rsidRPr="006F1EB3">
        <w:rPr>
          <w:rFonts w:cs="Arial"/>
          <w:szCs w:val="20"/>
        </w:rPr>
        <w:t>, 2022). Few studies have been able to longitudinally track multiple subjects, leaving gaps in understanding the long-term progression and persistence of AS-related GI symptoms. Additionally, few studies have been able to perform detailed subtype comparisons, often focusing instead on broad comparisons between deletion and non-deletion subjects. These limitations restrict insights into the full spectrum of the GI symptomatology in AS and the progression of GI symptoms by genetic subtype (Glassman et al</w:t>
      </w:r>
      <w:r w:rsidR="00C14933" w:rsidRPr="006F1EB3">
        <w:rPr>
          <w:rFonts w:cs="Arial"/>
          <w:szCs w:val="20"/>
        </w:rPr>
        <w:t>.</w:t>
      </w:r>
      <w:r w:rsidRPr="006F1EB3">
        <w:rPr>
          <w:rFonts w:cs="Arial"/>
          <w:szCs w:val="20"/>
        </w:rPr>
        <w:t>, 2017; Tan et al</w:t>
      </w:r>
      <w:r w:rsidR="00C14933" w:rsidRPr="006F1EB3">
        <w:rPr>
          <w:rFonts w:cs="Arial"/>
          <w:szCs w:val="20"/>
        </w:rPr>
        <w:t>.</w:t>
      </w:r>
      <w:r w:rsidRPr="006F1EB3">
        <w:rPr>
          <w:rFonts w:cs="Arial"/>
          <w:szCs w:val="20"/>
        </w:rPr>
        <w:t xml:space="preserve">, 2011; </w:t>
      </w:r>
      <w:proofErr w:type="spellStart"/>
      <w:r w:rsidRPr="006F1EB3">
        <w:rPr>
          <w:rFonts w:cs="Arial"/>
          <w:szCs w:val="20"/>
        </w:rPr>
        <w:t>Thibert</w:t>
      </w:r>
      <w:proofErr w:type="spellEnd"/>
      <w:r w:rsidRPr="006F1EB3">
        <w:rPr>
          <w:rFonts w:cs="Arial"/>
          <w:szCs w:val="20"/>
        </w:rPr>
        <w:t xml:space="preserve"> et al</w:t>
      </w:r>
      <w:r w:rsidR="00C14933" w:rsidRPr="006F1EB3">
        <w:rPr>
          <w:rFonts w:cs="Arial"/>
          <w:szCs w:val="20"/>
        </w:rPr>
        <w:t>.</w:t>
      </w:r>
      <w:r w:rsidRPr="006F1EB3">
        <w:rPr>
          <w:rFonts w:cs="Arial"/>
          <w:szCs w:val="20"/>
        </w:rPr>
        <w:t>, 2012; Leader et al</w:t>
      </w:r>
      <w:r w:rsidR="00C14933" w:rsidRPr="006F1EB3">
        <w:rPr>
          <w:rFonts w:cs="Arial"/>
          <w:szCs w:val="20"/>
        </w:rPr>
        <w:t>.</w:t>
      </w:r>
      <w:r w:rsidRPr="006F1EB3">
        <w:rPr>
          <w:rFonts w:cs="Arial"/>
          <w:szCs w:val="20"/>
        </w:rPr>
        <w:t xml:space="preserve">, 2022). </w:t>
      </w:r>
    </w:p>
    <w:p w14:paraId="465969F3" w14:textId="438093DD" w:rsidR="0064135E" w:rsidRPr="006F1EB3" w:rsidRDefault="0064135E" w:rsidP="0064135E">
      <w:pPr>
        <w:rPr>
          <w:rFonts w:cs="Arial"/>
          <w:szCs w:val="20"/>
        </w:rPr>
      </w:pPr>
      <w:r w:rsidRPr="006F1EB3">
        <w:rPr>
          <w:rFonts w:cs="Arial"/>
          <w:b/>
          <w:bCs/>
          <w:szCs w:val="20"/>
        </w:rPr>
        <w:t>Method</w:t>
      </w:r>
      <w:r w:rsidRPr="006F1EB3">
        <w:rPr>
          <w:rFonts w:cs="Arial"/>
          <w:szCs w:val="20"/>
        </w:rPr>
        <w:t xml:space="preserve">: </w:t>
      </w:r>
      <w:r w:rsidR="00BC0285" w:rsidRPr="006F1EB3">
        <w:rPr>
          <w:rFonts w:cs="Arial"/>
          <w:szCs w:val="20"/>
        </w:rPr>
        <w:t xml:space="preserve">The Angelman Syndrome Natural History Study (ASNHS) is a multi-site, observational, longitudinal study that has since 2006, followed a cohort of individuals with a confirmed molecular diagnosis of AS. Each visit involves a comprehensive battery of assessments, including neurodevelopmental testing, anthropometric measurements, physical exams, standardized questionnaires across multiple domains, and a comprehensive clinical interview. The clinical interview captures prevalence of common AS symptoms, integrating both retrospective data (e.g., </w:t>
      </w:r>
      <w:proofErr w:type="gramStart"/>
      <w:r w:rsidR="00BC0285" w:rsidRPr="006F1EB3">
        <w:rPr>
          <w:rFonts w:cs="Arial"/>
          <w:szCs w:val="20"/>
        </w:rPr>
        <w:t>prenatal</w:t>
      </w:r>
      <w:proofErr w:type="gramEnd"/>
      <w:r w:rsidR="00BC0285" w:rsidRPr="006F1EB3">
        <w:rPr>
          <w:rFonts w:cs="Arial"/>
          <w:szCs w:val="20"/>
        </w:rPr>
        <w:t xml:space="preserve"> and early feeding history) and current medical or symptomatic data. Given its longitudinal design, the ASNHS is uniquely positioned to assess symptom progression and persistence over time, offering valuable insights into the natural history of AS across different subtypes.</w:t>
      </w:r>
    </w:p>
    <w:p w14:paraId="6F427181" w14:textId="38F28BCB" w:rsidR="0064135E" w:rsidRPr="006F1EB3" w:rsidRDefault="0064135E" w:rsidP="0064135E">
      <w:pPr>
        <w:rPr>
          <w:rFonts w:cs="Arial"/>
          <w:szCs w:val="20"/>
        </w:rPr>
      </w:pPr>
      <w:r w:rsidRPr="006F1EB3">
        <w:rPr>
          <w:rFonts w:cs="Arial"/>
          <w:b/>
          <w:bCs/>
          <w:szCs w:val="20"/>
        </w:rPr>
        <w:t>Results</w:t>
      </w:r>
      <w:r w:rsidRPr="006F1EB3">
        <w:rPr>
          <w:rFonts w:cs="Arial"/>
          <w:szCs w:val="20"/>
        </w:rPr>
        <w:t xml:space="preserve">: </w:t>
      </w:r>
      <w:r w:rsidR="00BC0285" w:rsidRPr="006F1EB3">
        <w:rPr>
          <w:rFonts w:cs="Arial"/>
          <w:szCs w:val="20"/>
        </w:rPr>
        <w:t>Currently, 564 participants are enrolled in the NHS, with ages ranging from 5 months to 52 years. The mean age at baseline is 7 years and 3 months, increasing to a mean of 10 years and 2 months at the most recent visit. Notably, at least 65% of subjects have attended more than one study visit, with the number of visits varying from 1 to 13. Table 1 provides information on the signs and symptoms of GI issues and co-occurrence with seizure activity as reported by caregivers at participants’ most recent visit.</w:t>
      </w:r>
    </w:p>
    <w:p w14:paraId="77CC9148" w14:textId="75124827" w:rsidR="00BC0285" w:rsidRPr="006F1EB3" w:rsidRDefault="00BC0285" w:rsidP="00BC0285">
      <w:pPr>
        <w:spacing w:after="0" w:line="240" w:lineRule="auto"/>
        <w:rPr>
          <w:rFonts w:cs="Arial"/>
          <w:szCs w:val="20"/>
        </w:rPr>
      </w:pPr>
      <w:r w:rsidRPr="006F1EB3">
        <w:rPr>
          <w:rFonts w:cs="Arial"/>
          <w:szCs w:val="20"/>
        </w:rPr>
        <w:t>Table 1. Prevalence by Subtype of Early and Recent Feeding and GI Challenges, and Seizure Co-</w:t>
      </w:r>
      <w:r w:rsidR="00592497" w:rsidRPr="006F1EB3">
        <w:rPr>
          <w:rFonts w:cs="Arial"/>
          <w:szCs w:val="20"/>
        </w:rPr>
        <w:t>occurrence</w:t>
      </w:r>
    </w:p>
    <w:tbl>
      <w:tblPr>
        <w:tblW w:w="11527" w:type="dxa"/>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0"/>
        <w:gridCol w:w="1175"/>
        <w:gridCol w:w="1065"/>
        <w:gridCol w:w="1065"/>
        <w:gridCol w:w="1211"/>
        <w:gridCol w:w="1411"/>
        <w:gridCol w:w="1120"/>
      </w:tblGrid>
      <w:tr w:rsidR="00BC0285" w:rsidRPr="006F1EB3" w14:paraId="58D8C60F" w14:textId="77777777" w:rsidTr="006B6274">
        <w:trPr>
          <w:trHeight w:val="948"/>
        </w:trPr>
        <w:tc>
          <w:tcPr>
            <w:tcW w:w="4480" w:type="dxa"/>
            <w:vMerge w:val="restart"/>
            <w:shd w:val="clear" w:color="auto" w:fill="auto"/>
            <w:noWrap/>
            <w:vAlign w:val="bottom"/>
            <w:hideMark/>
          </w:tcPr>
          <w:p w14:paraId="7DEE6E83" w14:textId="77777777" w:rsidR="00BC0285" w:rsidRPr="006F1EB3" w:rsidRDefault="00BC0285" w:rsidP="006B6274">
            <w:pPr>
              <w:spacing w:after="0" w:line="240" w:lineRule="atLeast"/>
              <w:rPr>
                <w:rFonts w:eastAsia="Times New Roman" w:cs="Arial"/>
                <w:szCs w:val="20"/>
              </w:rPr>
            </w:pPr>
          </w:p>
        </w:tc>
        <w:tc>
          <w:tcPr>
            <w:tcW w:w="1175" w:type="dxa"/>
            <w:shd w:val="clear" w:color="auto" w:fill="auto"/>
            <w:noWrap/>
            <w:hideMark/>
          </w:tcPr>
          <w:p w14:paraId="3F12A56E" w14:textId="77777777" w:rsidR="00BC0285" w:rsidRPr="006F1EB3" w:rsidRDefault="00BC0285" w:rsidP="006B6274">
            <w:pPr>
              <w:spacing w:after="0" w:line="240" w:lineRule="atLeast"/>
              <w:jc w:val="center"/>
              <w:rPr>
                <w:rFonts w:eastAsia="Times New Roman" w:cs="Arial"/>
                <w:color w:val="000000"/>
                <w:szCs w:val="20"/>
              </w:rPr>
            </w:pPr>
            <w:r w:rsidRPr="006F1EB3">
              <w:rPr>
                <w:rFonts w:eastAsia="Times New Roman" w:cs="Arial"/>
                <w:color w:val="000000"/>
                <w:szCs w:val="20"/>
                <w:lang w:val="it-IT"/>
              </w:rPr>
              <w:t>Deletion</w:t>
            </w:r>
          </w:p>
          <w:p w14:paraId="496140F5" w14:textId="77777777" w:rsidR="00BC0285" w:rsidRPr="006F1EB3" w:rsidRDefault="00BC0285" w:rsidP="006B6274">
            <w:pPr>
              <w:spacing w:after="0" w:line="240" w:lineRule="atLeast"/>
              <w:jc w:val="center"/>
              <w:rPr>
                <w:rFonts w:eastAsia="Times New Roman" w:cs="Arial"/>
                <w:color w:val="000000"/>
                <w:szCs w:val="20"/>
                <w:lang w:val="it-IT"/>
              </w:rPr>
            </w:pPr>
          </w:p>
          <w:p w14:paraId="3305C23C" w14:textId="77777777" w:rsidR="00BC0285" w:rsidRPr="006F1EB3" w:rsidRDefault="00BC0285" w:rsidP="006B6274">
            <w:pPr>
              <w:spacing w:after="0" w:line="240" w:lineRule="atLeast"/>
              <w:jc w:val="center"/>
              <w:rPr>
                <w:rFonts w:eastAsia="Times New Roman" w:cs="Arial"/>
                <w:color w:val="000000"/>
                <w:szCs w:val="20"/>
                <w:lang w:val="it-IT"/>
              </w:rPr>
            </w:pPr>
          </w:p>
          <w:p w14:paraId="7EF9395B" w14:textId="77777777" w:rsidR="00BC0285" w:rsidRPr="006F1EB3" w:rsidRDefault="00BC0285" w:rsidP="006B6274">
            <w:pPr>
              <w:spacing w:after="0" w:line="240" w:lineRule="atLeast"/>
              <w:jc w:val="center"/>
              <w:rPr>
                <w:rFonts w:eastAsia="Times New Roman" w:cs="Arial"/>
                <w:color w:val="000000"/>
                <w:szCs w:val="20"/>
                <w:lang w:val="it-IT"/>
              </w:rPr>
            </w:pPr>
          </w:p>
          <w:p w14:paraId="3A1A55CA" w14:textId="77777777" w:rsidR="00BC0285" w:rsidRPr="006F1EB3" w:rsidRDefault="00BC0285" w:rsidP="006B6274">
            <w:pPr>
              <w:spacing w:after="0" w:line="240" w:lineRule="atLeast"/>
              <w:jc w:val="center"/>
              <w:rPr>
                <w:rFonts w:eastAsia="Times New Roman" w:cs="Arial"/>
                <w:b/>
                <w:bCs/>
                <w:color w:val="000000"/>
                <w:szCs w:val="20"/>
              </w:rPr>
            </w:pPr>
            <w:r w:rsidRPr="006F1EB3">
              <w:rPr>
                <w:rFonts w:eastAsia="Times New Roman" w:cs="Arial"/>
                <w:b/>
                <w:bCs/>
                <w:color w:val="000000"/>
                <w:szCs w:val="20"/>
                <w:lang w:val="it-IT"/>
              </w:rPr>
              <w:t>(n=365)</w:t>
            </w:r>
          </w:p>
        </w:tc>
        <w:tc>
          <w:tcPr>
            <w:tcW w:w="1065" w:type="dxa"/>
          </w:tcPr>
          <w:p w14:paraId="1F59F86E" w14:textId="77777777" w:rsidR="00BC0285" w:rsidRPr="006F1EB3" w:rsidRDefault="00BC0285" w:rsidP="006B6274">
            <w:pPr>
              <w:spacing w:after="0" w:line="240" w:lineRule="atLeast"/>
              <w:jc w:val="center"/>
              <w:rPr>
                <w:rFonts w:eastAsia="Times New Roman" w:cs="Arial"/>
                <w:color w:val="000000"/>
                <w:szCs w:val="20"/>
                <w:lang w:val="it-IT"/>
              </w:rPr>
            </w:pPr>
            <w:r w:rsidRPr="006F1EB3">
              <w:rPr>
                <w:rFonts w:eastAsia="Times New Roman" w:cs="Arial"/>
                <w:color w:val="000000"/>
                <w:szCs w:val="20"/>
                <w:lang w:val="it-IT"/>
              </w:rPr>
              <w:t>Mutation</w:t>
            </w:r>
          </w:p>
          <w:p w14:paraId="599C69D4" w14:textId="77777777" w:rsidR="00BC0285" w:rsidRPr="006F1EB3" w:rsidRDefault="00BC0285" w:rsidP="006B6274">
            <w:pPr>
              <w:spacing w:after="0" w:line="240" w:lineRule="atLeast"/>
              <w:jc w:val="center"/>
              <w:rPr>
                <w:rFonts w:eastAsia="Times New Roman" w:cs="Arial"/>
                <w:color w:val="000000"/>
                <w:szCs w:val="20"/>
                <w:lang w:val="it-IT"/>
              </w:rPr>
            </w:pPr>
          </w:p>
          <w:p w14:paraId="6094C9FF" w14:textId="77777777" w:rsidR="00BC0285" w:rsidRPr="006F1EB3" w:rsidRDefault="00BC0285" w:rsidP="006B6274">
            <w:pPr>
              <w:spacing w:after="0" w:line="240" w:lineRule="atLeast"/>
              <w:jc w:val="center"/>
              <w:rPr>
                <w:rFonts w:eastAsia="Times New Roman" w:cs="Arial"/>
                <w:color w:val="000000"/>
                <w:szCs w:val="20"/>
                <w:lang w:val="it-IT"/>
              </w:rPr>
            </w:pPr>
          </w:p>
          <w:p w14:paraId="47162FA0" w14:textId="77777777" w:rsidR="00BC0285" w:rsidRPr="006F1EB3" w:rsidRDefault="00BC0285" w:rsidP="006B6274">
            <w:pPr>
              <w:spacing w:after="0" w:line="240" w:lineRule="atLeast"/>
              <w:jc w:val="center"/>
              <w:rPr>
                <w:rFonts w:eastAsia="Times New Roman" w:cs="Arial"/>
                <w:color w:val="000000"/>
                <w:szCs w:val="20"/>
                <w:lang w:val="it-IT"/>
              </w:rPr>
            </w:pPr>
          </w:p>
          <w:p w14:paraId="392DEDDC" w14:textId="77777777" w:rsidR="00BC0285" w:rsidRPr="006F1EB3" w:rsidRDefault="00BC0285" w:rsidP="006B6274">
            <w:pPr>
              <w:spacing w:after="0" w:line="240" w:lineRule="atLeast"/>
              <w:jc w:val="center"/>
              <w:rPr>
                <w:rFonts w:eastAsia="Times New Roman" w:cs="Arial"/>
                <w:b/>
                <w:bCs/>
                <w:color w:val="000000"/>
                <w:szCs w:val="20"/>
                <w:lang w:val="it-IT"/>
              </w:rPr>
            </w:pPr>
            <w:r w:rsidRPr="006F1EB3">
              <w:rPr>
                <w:rFonts w:eastAsia="Times New Roman" w:cs="Arial"/>
                <w:b/>
                <w:bCs/>
                <w:color w:val="000000"/>
                <w:szCs w:val="20"/>
                <w:lang w:val="it-IT"/>
              </w:rPr>
              <w:t>(n=84)</w:t>
            </w:r>
          </w:p>
        </w:tc>
        <w:tc>
          <w:tcPr>
            <w:tcW w:w="1065" w:type="dxa"/>
          </w:tcPr>
          <w:p w14:paraId="320AD781" w14:textId="77777777" w:rsidR="00BC0285" w:rsidRPr="006F1EB3" w:rsidRDefault="00BC0285" w:rsidP="006B6274">
            <w:pPr>
              <w:spacing w:after="0" w:line="240" w:lineRule="atLeast"/>
              <w:jc w:val="center"/>
              <w:rPr>
                <w:rFonts w:eastAsia="Times New Roman" w:cs="Arial"/>
                <w:color w:val="000000"/>
                <w:szCs w:val="20"/>
                <w:lang w:val="it-IT"/>
              </w:rPr>
            </w:pPr>
            <w:r w:rsidRPr="006F1EB3">
              <w:rPr>
                <w:rFonts w:eastAsia="Times New Roman" w:cs="Arial"/>
                <w:color w:val="000000"/>
                <w:szCs w:val="20"/>
                <w:lang w:val="it-IT"/>
              </w:rPr>
              <w:t>UPD</w:t>
            </w:r>
          </w:p>
          <w:p w14:paraId="64FA4DBF" w14:textId="77777777" w:rsidR="00BC0285" w:rsidRPr="006F1EB3" w:rsidRDefault="00BC0285" w:rsidP="006B6274">
            <w:pPr>
              <w:spacing w:after="0" w:line="240" w:lineRule="atLeast"/>
              <w:jc w:val="center"/>
              <w:rPr>
                <w:rFonts w:eastAsia="Times New Roman" w:cs="Arial"/>
                <w:color w:val="000000"/>
                <w:szCs w:val="20"/>
                <w:lang w:val="it-IT"/>
              </w:rPr>
            </w:pPr>
          </w:p>
          <w:p w14:paraId="71858913" w14:textId="77777777" w:rsidR="00BC0285" w:rsidRPr="006F1EB3" w:rsidRDefault="00BC0285" w:rsidP="006B6274">
            <w:pPr>
              <w:spacing w:after="0" w:line="240" w:lineRule="atLeast"/>
              <w:jc w:val="center"/>
              <w:rPr>
                <w:rFonts w:eastAsia="Times New Roman" w:cs="Arial"/>
                <w:color w:val="000000"/>
                <w:szCs w:val="20"/>
                <w:lang w:val="it-IT"/>
              </w:rPr>
            </w:pPr>
          </w:p>
          <w:p w14:paraId="2AE8A54D" w14:textId="77777777" w:rsidR="00BC0285" w:rsidRPr="006F1EB3" w:rsidRDefault="00BC0285" w:rsidP="006B6274">
            <w:pPr>
              <w:spacing w:after="0" w:line="240" w:lineRule="atLeast"/>
              <w:jc w:val="center"/>
              <w:rPr>
                <w:rFonts w:eastAsia="Times New Roman" w:cs="Arial"/>
                <w:color w:val="000000"/>
                <w:szCs w:val="20"/>
                <w:lang w:val="it-IT"/>
              </w:rPr>
            </w:pPr>
          </w:p>
          <w:p w14:paraId="3A1A3724" w14:textId="77777777" w:rsidR="00BC0285" w:rsidRPr="006F1EB3" w:rsidRDefault="00BC0285" w:rsidP="006B6274">
            <w:pPr>
              <w:spacing w:after="0" w:line="240" w:lineRule="atLeast"/>
              <w:jc w:val="center"/>
              <w:rPr>
                <w:rFonts w:eastAsia="Times New Roman" w:cs="Arial"/>
                <w:b/>
                <w:bCs/>
                <w:color w:val="000000"/>
                <w:szCs w:val="20"/>
                <w:lang w:val="it-IT"/>
              </w:rPr>
            </w:pPr>
            <w:r w:rsidRPr="006F1EB3">
              <w:rPr>
                <w:rFonts w:eastAsia="Times New Roman" w:cs="Arial"/>
                <w:b/>
                <w:bCs/>
                <w:color w:val="000000"/>
                <w:szCs w:val="20"/>
                <w:lang w:val="it-IT"/>
              </w:rPr>
              <w:t>(n=55)</w:t>
            </w:r>
          </w:p>
        </w:tc>
        <w:tc>
          <w:tcPr>
            <w:tcW w:w="1211" w:type="dxa"/>
          </w:tcPr>
          <w:p w14:paraId="1AC23473" w14:textId="77777777" w:rsidR="00BC0285" w:rsidRPr="006F1EB3" w:rsidRDefault="00BC0285" w:rsidP="006B6274">
            <w:pPr>
              <w:spacing w:after="0" w:line="240" w:lineRule="atLeast"/>
              <w:jc w:val="center"/>
              <w:rPr>
                <w:rFonts w:eastAsia="Times New Roman" w:cs="Arial"/>
                <w:color w:val="000000"/>
                <w:szCs w:val="20"/>
                <w:lang w:val="it-IT"/>
              </w:rPr>
            </w:pPr>
            <w:r w:rsidRPr="006F1EB3">
              <w:rPr>
                <w:rFonts w:eastAsia="Times New Roman" w:cs="Arial"/>
                <w:color w:val="000000"/>
                <w:szCs w:val="20"/>
                <w:lang w:val="it-IT"/>
              </w:rPr>
              <w:t>Imprinting Defect</w:t>
            </w:r>
          </w:p>
          <w:p w14:paraId="2762E77C" w14:textId="77777777" w:rsidR="00BC0285" w:rsidRPr="006F1EB3" w:rsidRDefault="00BC0285" w:rsidP="006B6274">
            <w:pPr>
              <w:spacing w:after="0" w:line="240" w:lineRule="atLeast"/>
              <w:jc w:val="center"/>
              <w:rPr>
                <w:rFonts w:eastAsia="Times New Roman" w:cs="Arial"/>
                <w:color w:val="000000"/>
                <w:szCs w:val="20"/>
                <w:lang w:val="it-IT"/>
              </w:rPr>
            </w:pPr>
          </w:p>
          <w:p w14:paraId="1857535F" w14:textId="77777777" w:rsidR="00BC0285" w:rsidRPr="006F1EB3" w:rsidRDefault="00BC0285" w:rsidP="006B6274">
            <w:pPr>
              <w:spacing w:after="0" w:line="240" w:lineRule="atLeast"/>
              <w:jc w:val="center"/>
              <w:rPr>
                <w:rFonts w:eastAsia="Times New Roman" w:cs="Arial"/>
                <w:color w:val="000000"/>
                <w:szCs w:val="20"/>
                <w:lang w:val="it-IT"/>
              </w:rPr>
            </w:pPr>
          </w:p>
          <w:p w14:paraId="69261663" w14:textId="77777777" w:rsidR="00BC0285" w:rsidRPr="006F1EB3" w:rsidRDefault="00BC0285" w:rsidP="006B6274">
            <w:pPr>
              <w:spacing w:after="0" w:line="240" w:lineRule="atLeast"/>
              <w:jc w:val="center"/>
              <w:rPr>
                <w:rFonts w:eastAsia="Times New Roman" w:cs="Arial"/>
                <w:b/>
                <w:bCs/>
                <w:color w:val="000000"/>
                <w:szCs w:val="20"/>
                <w:lang w:val="it-IT"/>
              </w:rPr>
            </w:pPr>
            <w:r w:rsidRPr="006F1EB3">
              <w:rPr>
                <w:rFonts w:eastAsia="Times New Roman" w:cs="Arial"/>
                <w:b/>
                <w:bCs/>
                <w:color w:val="000000"/>
                <w:szCs w:val="20"/>
                <w:lang w:val="it-IT"/>
              </w:rPr>
              <w:t>(n=36)</w:t>
            </w:r>
          </w:p>
        </w:tc>
        <w:tc>
          <w:tcPr>
            <w:tcW w:w="1411" w:type="dxa"/>
          </w:tcPr>
          <w:p w14:paraId="7535BA9D" w14:textId="77777777" w:rsidR="00BC0285" w:rsidRPr="006F1EB3" w:rsidRDefault="00BC0285" w:rsidP="006B6274">
            <w:pPr>
              <w:spacing w:after="0" w:line="240" w:lineRule="atLeast"/>
              <w:jc w:val="center"/>
              <w:rPr>
                <w:rFonts w:eastAsia="Times New Roman" w:cs="Arial"/>
                <w:color w:val="000000"/>
                <w:szCs w:val="20"/>
              </w:rPr>
            </w:pPr>
            <w:r w:rsidRPr="006F1EB3">
              <w:rPr>
                <w:rFonts w:eastAsia="Times New Roman" w:cs="Arial"/>
                <w:color w:val="000000"/>
                <w:szCs w:val="20"/>
              </w:rPr>
              <w:t>Abnormal Methylation</w:t>
            </w:r>
          </w:p>
          <w:p w14:paraId="29451365" w14:textId="77777777" w:rsidR="00BC0285" w:rsidRPr="006F1EB3" w:rsidRDefault="00BC0285" w:rsidP="006B6274">
            <w:pPr>
              <w:spacing w:after="0" w:line="240" w:lineRule="atLeast"/>
              <w:jc w:val="center"/>
              <w:rPr>
                <w:rFonts w:eastAsia="Times New Roman" w:cs="Arial"/>
                <w:color w:val="000000"/>
                <w:szCs w:val="20"/>
              </w:rPr>
            </w:pPr>
            <w:r w:rsidRPr="006F1EB3">
              <w:rPr>
                <w:rFonts w:eastAsia="Times New Roman" w:cs="Arial"/>
                <w:color w:val="000000"/>
                <w:szCs w:val="20"/>
              </w:rPr>
              <w:t>Non-Deletion</w:t>
            </w:r>
          </w:p>
          <w:p w14:paraId="5A05D4FE" w14:textId="77777777" w:rsidR="00BC0285" w:rsidRPr="006F1EB3" w:rsidRDefault="00BC0285" w:rsidP="006B6274">
            <w:pPr>
              <w:spacing w:after="0" w:line="240" w:lineRule="atLeast"/>
              <w:jc w:val="center"/>
              <w:rPr>
                <w:rFonts w:eastAsia="Times New Roman" w:cs="Arial"/>
                <w:b/>
                <w:bCs/>
                <w:color w:val="000000"/>
                <w:szCs w:val="20"/>
              </w:rPr>
            </w:pPr>
            <w:r w:rsidRPr="006F1EB3">
              <w:rPr>
                <w:rFonts w:eastAsia="Times New Roman" w:cs="Arial"/>
                <w:b/>
                <w:bCs/>
                <w:color w:val="000000"/>
                <w:szCs w:val="20"/>
              </w:rPr>
              <w:t>(n=15)</w:t>
            </w:r>
          </w:p>
        </w:tc>
        <w:tc>
          <w:tcPr>
            <w:tcW w:w="1120" w:type="dxa"/>
          </w:tcPr>
          <w:p w14:paraId="2CC9032B" w14:textId="77777777" w:rsidR="00BC0285" w:rsidRPr="006F1EB3" w:rsidRDefault="00BC0285" w:rsidP="006B6274">
            <w:pPr>
              <w:spacing w:after="0" w:line="240" w:lineRule="atLeast"/>
              <w:jc w:val="center"/>
              <w:rPr>
                <w:rFonts w:eastAsia="Times New Roman" w:cs="Arial"/>
                <w:color w:val="000000"/>
                <w:szCs w:val="20"/>
              </w:rPr>
            </w:pPr>
            <w:r w:rsidRPr="006F1EB3">
              <w:rPr>
                <w:rFonts w:eastAsia="Times New Roman" w:cs="Arial"/>
                <w:color w:val="000000"/>
                <w:szCs w:val="20"/>
              </w:rPr>
              <w:t>All Subtypes</w:t>
            </w:r>
          </w:p>
          <w:p w14:paraId="368B5BDE" w14:textId="77777777" w:rsidR="00BC0285" w:rsidRPr="006F1EB3" w:rsidRDefault="00BC0285" w:rsidP="006B6274">
            <w:pPr>
              <w:spacing w:after="0" w:line="240" w:lineRule="atLeast"/>
              <w:jc w:val="center"/>
              <w:rPr>
                <w:rFonts w:eastAsia="Times New Roman" w:cs="Arial"/>
                <w:color w:val="000000"/>
                <w:szCs w:val="20"/>
              </w:rPr>
            </w:pPr>
          </w:p>
          <w:p w14:paraId="1B5025EC" w14:textId="77777777" w:rsidR="00BC0285" w:rsidRPr="006F1EB3" w:rsidRDefault="00BC0285" w:rsidP="006B6274">
            <w:pPr>
              <w:spacing w:after="0" w:line="240" w:lineRule="atLeast"/>
              <w:jc w:val="center"/>
              <w:rPr>
                <w:rFonts w:eastAsia="Times New Roman" w:cs="Arial"/>
                <w:color w:val="000000"/>
                <w:szCs w:val="20"/>
              </w:rPr>
            </w:pPr>
          </w:p>
          <w:p w14:paraId="6CCB9324" w14:textId="77777777" w:rsidR="00BC0285" w:rsidRPr="006F1EB3" w:rsidRDefault="00BC0285" w:rsidP="006B6274">
            <w:pPr>
              <w:spacing w:after="0" w:line="240" w:lineRule="atLeast"/>
              <w:jc w:val="center"/>
              <w:rPr>
                <w:rFonts w:eastAsia="Times New Roman" w:cs="Arial"/>
                <w:b/>
                <w:bCs/>
                <w:color w:val="000000"/>
                <w:szCs w:val="20"/>
              </w:rPr>
            </w:pPr>
            <w:r w:rsidRPr="006F1EB3">
              <w:rPr>
                <w:rFonts w:eastAsia="Times New Roman" w:cs="Arial"/>
                <w:b/>
                <w:bCs/>
                <w:color w:val="000000"/>
                <w:szCs w:val="20"/>
              </w:rPr>
              <w:t>(n=555)</w:t>
            </w:r>
          </w:p>
        </w:tc>
      </w:tr>
      <w:tr w:rsidR="00BC0285" w:rsidRPr="006F1EB3" w14:paraId="11AF3C3B" w14:textId="77777777" w:rsidTr="006B6274">
        <w:trPr>
          <w:trHeight w:val="106"/>
        </w:trPr>
        <w:tc>
          <w:tcPr>
            <w:tcW w:w="4480" w:type="dxa"/>
            <w:vMerge/>
            <w:tcBorders>
              <w:bottom w:val="single" w:sz="4" w:space="0" w:color="auto"/>
            </w:tcBorders>
            <w:shd w:val="clear" w:color="auto" w:fill="auto"/>
            <w:noWrap/>
            <w:vAlign w:val="bottom"/>
            <w:hideMark/>
          </w:tcPr>
          <w:p w14:paraId="0F332291" w14:textId="77777777" w:rsidR="00BC0285" w:rsidRPr="006F1EB3" w:rsidRDefault="00BC0285" w:rsidP="006B6274">
            <w:pPr>
              <w:spacing w:after="0" w:line="240" w:lineRule="auto"/>
              <w:rPr>
                <w:rFonts w:eastAsia="Times New Roman" w:cs="Arial"/>
                <w:color w:val="000000"/>
                <w:szCs w:val="20"/>
              </w:rPr>
            </w:pPr>
          </w:p>
        </w:tc>
        <w:tc>
          <w:tcPr>
            <w:tcW w:w="1175" w:type="dxa"/>
            <w:tcBorders>
              <w:bottom w:val="single" w:sz="4" w:space="0" w:color="auto"/>
            </w:tcBorders>
            <w:shd w:val="clear" w:color="auto" w:fill="auto"/>
            <w:noWrap/>
            <w:vAlign w:val="bottom"/>
            <w:hideMark/>
          </w:tcPr>
          <w:p w14:paraId="37C1C47B"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c>
          <w:tcPr>
            <w:tcW w:w="1065" w:type="dxa"/>
            <w:tcBorders>
              <w:bottom w:val="single" w:sz="4" w:space="0" w:color="auto"/>
            </w:tcBorders>
          </w:tcPr>
          <w:p w14:paraId="1F9B782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c>
          <w:tcPr>
            <w:tcW w:w="1065" w:type="dxa"/>
            <w:tcBorders>
              <w:bottom w:val="single" w:sz="4" w:space="0" w:color="auto"/>
            </w:tcBorders>
          </w:tcPr>
          <w:p w14:paraId="2A5E39DB"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c>
          <w:tcPr>
            <w:tcW w:w="1211" w:type="dxa"/>
            <w:tcBorders>
              <w:bottom w:val="single" w:sz="4" w:space="0" w:color="auto"/>
            </w:tcBorders>
          </w:tcPr>
          <w:p w14:paraId="7BDE426C"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c>
          <w:tcPr>
            <w:tcW w:w="1411" w:type="dxa"/>
            <w:tcBorders>
              <w:bottom w:val="single" w:sz="4" w:space="0" w:color="auto"/>
            </w:tcBorders>
          </w:tcPr>
          <w:p w14:paraId="18A72E76"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c>
          <w:tcPr>
            <w:tcW w:w="1120" w:type="dxa"/>
            <w:tcBorders>
              <w:bottom w:val="single" w:sz="4" w:space="0" w:color="auto"/>
            </w:tcBorders>
          </w:tcPr>
          <w:p w14:paraId="60AE16D8"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n (%)</w:t>
            </w:r>
          </w:p>
        </w:tc>
      </w:tr>
      <w:tr w:rsidR="00BC0285" w:rsidRPr="006F1EB3" w14:paraId="4876E807" w14:textId="77777777" w:rsidTr="006B6274">
        <w:trPr>
          <w:trHeight w:val="106"/>
        </w:trPr>
        <w:tc>
          <w:tcPr>
            <w:tcW w:w="4480" w:type="dxa"/>
            <w:tcBorders>
              <w:top w:val="single" w:sz="4" w:space="0" w:color="auto"/>
              <w:left w:val="single" w:sz="4" w:space="0" w:color="auto"/>
              <w:bottom w:val="nil"/>
              <w:right w:val="single" w:sz="4" w:space="0" w:color="auto"/>
            </w:tcBorders>
            <w:shd w:val="clear" w:color="auto" w:fill="auto"/>
            <w:noWrap/>
            <w:vAlign w:val="bottom"/>
          </w:tcPr>
          <w:p w14:paraId="0AA65C28" w14:textId="77777777" w:rsidR="00BC0285" w:rsidRPr="006F1EB3" w:rsidRDefault="00BC0285" w:rsidP="006B6274">
            <w:pPr>
              <w:spacing w:after="0" w:line="240" w:lineRule="auto"/>
              <w:rPr>
                <w:rFonts w:eastAsia="Times New Roman" w:cs="Arial"/>
                <w:b/>
                <w:bCs/>
                <w:color w:val="000000"/>
                <w:szCs w:val="20"/>
              </w:rPr>
            </w:pPr>
            <w:r w:rsidRPr="006F1EB3">
              <w:rPr>
                <w:rFonts w:eastAsia="Times New Roman" w:cs="Arial"/>
                <w:b/>
                <w:bCs/>
                <w:color w:val="000000"/>
                <w:szCs w:val="20"/>
              </w:rPr>
              <w:t>Infant Growth &amp; Early Feeding Challenges</w:t>
            </w:r>
          </w:p>
        </w:tc>
        <w:tc>
          <w:tcPr>
            <w:tcW w:w="1175" w:type="dxa"/>
            <w:tcBorders>
              <w:top w:val="single" w:sz="4" w:space="0" w:color="auto"/>
              <w:left w:val="single" w:sz="4" w:space="0" w:color="auto"/>
              <w:bottom w:val="nil"/>
              <w:right w:val="single" w:sz="4" w:space="0" w:color="auto"/>
            </w:tcBorders>
            <w:shd w:val="clear" w:color="auto" w:fill="auto"/>
            <w:noWrap/>
            <w:vAlign w:val="bottom"/>
          </w:tcPr>
          <w:p w14:paraId="2B2A3144" w14:textId="77777777" w:rsidR="00BC0285" w:rsidRPr="006F1EB3" w:rsidRDefault="00BC0285" w:rsidP="006B6274">
            <w:pPr>
              <w:spacing w:after="0" w:line="240" w:lineRule="auto"/>
              <w:jc w:val="center"/>
              <w:rPr>
                <w:rFonts w:eastAsia="Times New Roman" w:cs="Arial"/>
                <w:color w:val="000000"/>
                <w:szCs w:val="20"/>
              </w:rPr>
            </w:pPr>
          </w:p>
        </w:tc>
        <w:tc>
          <w:tcPr>
            <w:tcW w:w="1065" w:type="dxa"/>
            <w:tcBorders>
              <w:top w:val="single" w:sz="4" w:space="0" w:color="auto"/>
              <w:left w:val="single" w:sz="4" w:space="0" w:color="auto"/>
              <w:bottom w:val="nil"/>
              <w:right w:val="single" w:sz="4" w:space="0" w:color="auto"/>
            </w:tcBorders>
          </w:tcPr>
          <w:p w14:paraId="0CB0C32A" w14:textId="77777777" w:rsidR="00BC0285" w:rsidRPr="006F1EB3" w:rsidRDefault="00BC0285" w:rsidP="006B6274">
            <w:pPr>
              <w:spacing w:after="0" w:line="240" w:lineRule="auto"/>
              <w:jc w:val="center"/>
              <w:rPr>
                <w:rFonts w:eastAsia="Times New Roman" w:cs="Arial"/>
                <w:color w:val="000000"/>
                <w:szCs w:val="20"/>
              </w:rPr>
            </w:pPr>
          </w:p>
        </w:tc>
        <w:tc>
          <w:tcPr>
            <w:tcW w:w="1065" w:type="dxa"/>
            <w:tcBorders>
              <w:top w:val="single" w:sz="4" w:space="0" w:color="auto"/>
              <w:left w:val="single" w:sz="4" w:space="0" w:color="auto"/>
              <w:bottom w:val="nil"/>
              <w:right w:val="single" w:sz="4" w:space="0" w:color="auto"/>
            </w:tcBorders>
          </w:tcPr>
          <w:p w14:paraId="743BE457" w14:textId="77777777" w:rsidR="00BC0285" w:rsidRPr="006F1EB3" w:rsidRDefault="00BC0285" w:rsidP="006B6274">
            <w:pPr>
              <w:spacing w:after="0" w:line="240" w:lineRule="auto"/>
              <w:jc w:val="center"/>
              <w:rPr>
                <w:rFonts w:eastAsia="Times New Roman" w:cs="Arial"/>
                <w:color w:val="000000"/>
                <w:szCs w:val="20"/>
              </w:rPr>
            </w:pPr>
          </w:p>
        </w:tc>
        <w:tc>
          <w:tcPr>
            <w:tcW w:w="1211" w:type="dxa"/>
            <w:tcBorders>
              <w:top w:val="single" w:sz="4" w:space="0" w:color="auto"/>
              <w:left w:val="single" w:sz="4" w:space="0" w:color="auto"/>
              <w:bottom w:val="nil"/>
              <w:right w:val="single" w:sz="4" w:space="0" w:color="auto"/>
            </w:tcBorders>
          </w:tcPr>
          <w:p w14:paraId="38B3E5C0" w14:textId="77777777" w:rsidR="00BC0285" w:rsidRPr="006F1EB3" w:rsidRDefault="00BC0285" w:rsidP="006B6274">
            <w:pPr>
              <w:spacing w:after="0" w:line="240" w:lineRule="auto"/>
              <w:jc w:val="center"/>
              <w:rPr>
                <w:rFonts w:eastAsia="Times New Roman" w:cs="Arial"/>
                <w:color w:val="000000"/>
                <w:szCs w:val="20"/>
              </w:rPr>
            </w:pPr>
          </w:p>
        </w:tc>
        <w:tc>
          <w:tcPr>
            <w:tcW w:w="1411" w:type="dxa"/>
            <w:tcBorders>
              <w:top w:val="single" w:sz="4" w:space="0" w:color="auto"/>
              <w:left w:val="single" w:sz="4" w:space="0" w:color="auto"/>
              <w:bottom w:val="nil"/>
              <w:right w:val="single" w:sz="4" w:space="0" w:color="auto"/>
            </w:tcBorders>
          </w:tcPr>
          <w:p w14:paraId="6881D23C" w14:textId="77777777" w:rsidR="00BC0285" w:rsidRPr="006F1EB3" w:rsidRDefault="00BC0285" w:rsidP="006B6274">
            <w:pPr>
              <w:spacing w:after="0" w:line="240" w:lineRule="auto"/>
              <w:jc w:val="center"/>
              <w:rPr>
                <w:rFonts w:eastAsia="Times New Roman" w:cs="Arial"/>
                <w:color w:val="000000"/>
                <w:szCs w:val="20"/>
              </w:rPr>
            </w:pPr>
          </w:p>
        </w:tc>
        <w:tc>
          <w:tcPr>
            <w:tcW w:w="1120" w:type="dxa"/>
            <w:tcBorders>
              <w:top w:val="single" w:sz="4" w:space="0" w:color="auto"/>
              <w:left w:val="single" w:sz="4" w:space="0" w:color="auto"/>
              <w:bottom w:val="nil"/>
              <w:right w:val="single" w:sz="4" w:space="0" w:color="auto"/>
            </w:tcBorders>
          </w:tcPr>
          <w:p w14:paraId="576B3FAE" w14:textId="77777777" w:rsidR="00BC0285" w:rsidRPr="006F1EB3" w:rsidRDefault="00BC0285" w:rsidP="006B6274">
            <w:pPr>
              <w:spacing w:after="0" w:line="240" w:lineRule="auto"/>
              <w:jc w:val="center"/>
              <w:rPr>
                <w:rFonts w:eastAsia="Times New Roman" w:cs="Arial"/>
                <w:color w:val="000000"/>
                <w:szCs w:val="20"/>
              </w:rPr>
            </w:pPr>
          </w:p>
        </w:tc>
      </w:tr>
      <w:tr w:rsidR="00BC0285" w:rsidRPr="006F1EB3" w14:paraId="1BF2D3E8" w14:textId="77777777" w:rsidTr="006B6274">
        <w:trPr>
          <w:trHeight w:val="106"/>
        </w:trPr>
        <w:tc>
          <w:tcPr>
            <w:tcW w:w="4480" w:type="dxa"/>
            <w:tcBorders>
              <w:top w:val="nil"/>
              <w:left w:val="single" w:sz="4" w:space="0" w:color="auto"/>
              <w:bottom w:val="nil"/>
              <w:right w:val="single" w:sz="4" w:space="0" w:color="auto"/>
            </w:tcBorders>
            <w:shd w:val="clear" w:color="auto" w:fill="auto"/>
            <w:noWrap/>
            <w:vAlign w:val="bottom"/>
            <w:hideMark/>
          </w:tcPr>
          <w:p w14:paraId="14B02B03"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Failure to gain weight</w:t>
            </w:r>
          </w:p>
        </w:tc>
        <w:tc>
          <w:tcPr>
            <w:tcW w:w="1175" w:type="dxa"/>
            <w:tcBorders>
              <w:top w:val="nil"/>
              <w:left w:val="single" w:sz="4" w:space="0" w:color="auto"/>
              <w:bottom w:val="nil"/>
              <w:right w:val="single" w:sz="4" w:space="0" w:color="auto"/>
            </w:tcBorders>
            <w:shd w:val="clear" w:color="auto" w:fill="auto"/>
            <w:noWrap/>
            <w:vAlign w:val="bottom"/>
            <w:hideMark/>
          </w:tcPr>
          <w:p w14:paraId="456EDD18"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145 (40%)</w:t>
            </w:r>
          </w:p>
        </w:tc>
        <w:tc>
          <w:tcPr>
            <w:tcW w:w="1065" w:type="dxa"/>
            <w:tcBorders>
              <w:top w:val="nil"/>
              <w:left w:val="single" w:sz="4" w:space="0" w:color="auto"/>
              <w:bottom w:val="nil"/>
              <w:right w:val="single" w:sz="4" w:space="0" w:color="auto"/>
            </w:tcBorders>
          </w:tcPr>
          <w:p w14:paraId="4924B4BD"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36 (43%)</w:t>
            </w:r>
          </w:p>
        </w:tc>
        <w:tc>
          <w:tcPr>
            <w:tcW w:w="1065" w:type="dxa"/>
            <w:tcBorders>
              <w:top w:val="nil"/>
              <w:left w:val="single" w:sz="4" w:space="0" w:color="auto"/>
              <w:bottom w:val="nil"/>
              <w:right w:val="single" w:sz="4" w:space="0" w:color="auto"/>
            </w:tcBorders>
          </w:tcPr>
          <w:p w14:paraId="20369A64"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12 (22%)</w:t>
            </w:r>
          </w:p>
        </w:tc>
        <w:tc>
          <w:tcPr>
            <w:tcW w:w="1211" w:type="dxa"/>
            <w:tcBorders>
              <w:top w:val="nil"/>
              <w:left w:val="single" w:sz="4" w:space="0" w:color="auto"/>
              <w:bottom w:val="nil"/>
              <w:right w:val="single" w:sz="4" w:space="0" w:color="auto"/>
            </w:tcBorders>
          </w:tcPr>
          <w:p w14:paraId="69CDBF19"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 (8%)</w:t>
            </w:r>
          </w:p>
        </w:tc>
        <w:tc>
          <w:tcPr>
            <w:tcW w:w="1411" w:type="dxa"/>
            <w:tcBorders>
              <w:top w:val="nil"/>
              <w:left w:val="single" w:sz="4" w:space="0" w:color="auto"/>
              <w:bottom w:val="nil"/>
              <w:right w:val="single" w:sz="4" w:space="0" w:color="auto"/>
            </w:tcBorders>
          </w:tcPr>
          <w:p w14:paraId="15291AF2"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 (27%)</w:t>
            </w:r>
          </w:p>
        </w:tc>
        <w:tc>
          <w:tcPr>
            <w:tcW w:w="1120" w:type="dxa"/>
            <w:tcBorders>
              <w:top w:val="nil"/>
              <w:left w:val="single" w:sz="4" w:space="0" w:color="auto"/>
              <w:bottom w:val="nil"/>
              <w:right w:val="single" w:sz="4" w:space="0" w:color="auto"/>
            </w:tcBorders>
          </w:tcPr>
          <w:p w14:paraId="64FB68DD"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206 (37%)</w:t>
            </w:r>
          </w:p>
        </w:tc>
      </w:tr>
      <w:tr w:rsidR="00BC0285" w:rsidRPr="006F1EB3" w14:paraId="1EBD932E" w14:textId="77777777" w:rsidTr="006B6274">
        <w:trPr>
          <w:trHeight w:val="106"/>
        </w:trPr>
        <w:tc>
          <w:tcPr>
            <w:tcW w:w="4480" w:type="dxa"/>
            <w:tcBorders>
              <w:top w:val="nil"/>
              <w:left w:val="single" w:sz="4" w:space="0" w:color="auto"/>
              <w:bottom w:val="single" w:sz="4" w:space="0" w:color="auto"/>
              <w:right w:val="single" w:sz="4" w:space="0" w:color="auto"/>
            </w:tcBorders>
            <w:shd w:val="clear" w:color="auto" w:fill="auto"/>
            <w:noWrap/>
            <w:vAlign w:val="bottom"/>
            <w:hideMark/>
          </w:tcPr>
          <w:p w14:paraId="4DB83B28"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Feeding difficulties</w:t>
            </w:r>
          </w:p>
        </w:tc>
        <w:tc>
          <w:tcPr>
            <w:tcW w:w="1175" w:type="dxa"/>
            <w:tcBorders>
              <w:top w:val="nil"/>
              <w:left w:val="single" w:sz="4" w:space="0" w:color="auto"/>
              <w:bottom w:val="single" w:sz="4" w:space="0" w:color="auto"/>
              <w:right w:val="single" w:sz="4" w:space="0" w:color="auto"/>
            </w:tcBorders>
            <w:shd w:val="clear" w:color="auto" w:fill="auto"/>
            <w:noWrap/>
            <w:vAlign w:val="bottom"/>
            <w:hideMark/>
          </w:tcPr>
          <w:p w14:paraId="2FC23923"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130 (36%)</w:t>
            </w:r>
          </w:p>
        </w:tc>
        <w:tc>
          <w:tcPr>
            <w:tcW w:w="1065" w:type="dxa"/>
            <w:tcBorders>
              <w:top w:val="nil"/>
              <w:left w:val="single" w:sz="4" w:space="0" w:color="auto"/>
              <w:bottom w:val="single" w:sz="4" w:space="0" w:color="auto"/>
              <w:right w:val="single" w:sz="4" w:space="0" w:color="auto"/>
            </w:tcBorders>
          </w:tcPr>
          <w:p w14:paraId="4916B1C1"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37 (44%)</w:t>
            </w:r>
          </w:p>
        </w:tc>
        <w:tc>
          <w:tcPr>
            <w:tcW w:w="1065" w:type="dxa"/>
            <w:tcBorders>
              <w:top w:val="nil"/>
              <w:left w:val="single" w:sz="4" w:space="0" w:color="auto"/>
              <w:bottom w:val="single" w:sz="4" w:space="0" w:color="auto"/>
              <w:right w:val="single" w:sz="4" w:space="0" w:color="auto"/>
            </w:tcBorders>
          </w:tcPr>
          <w:p w14:paraId="06AE223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12 (22%)</w:t>
            </w:r>
          </w:p>
        </w:tc>
        <w:tc>
          <w:tcPr>
            <w:tcW w:w="1211" w:type="dxa"/>
            <w:tcBorders>
              <w:top w:val="nil"/>
              <w:left w:val="single" w:sz="4" w:space="0" w:color="auto"/>
              <w:bottom w:val="single" w:sz="4" w:space="0" w:color="auto"/>
              <w:right w:val="single" w:sz="4" w:space="0" w:color="auto"/>
            </w:tcBorders>
          </w:tcPr>
          <w:p w14:paraId="616451E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 (36%)</w:t>
            </w:r>
          </w:p>
        </w:tc>
        <w:tc>
          <w:tcPr>
            <w:tcW w:w="1411" w:type="dxa"/>
            <w:tcBorders>
              <w:top w:val="nil"/>
              <w:left w:val="single" w:sz="4" w:space="0" w:color="auto"/>
              <w:bottom w:val="single" w:sz="4" w:space="0" w:color="auto"/>
              <w:right w:val="single" w:sz="4" w:space="0" w:color="auto"/>
            </w:tcBorders>
          </w:tcPr>
          <w:p w14:paraId="60A7F425"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5 (33%)</w:t>
            </w:r>
          </w:p>
        </w:tc>
        <w:tc>
          <w:tcPr>
            <w:tcW w:w="1120" w:type="dxa"/>
            <w:tcBorders>
              <w:top w:val="nil"/>
              <w:left w:val="single" w:sz="4" w:space="0" w:color="auto"/>
              <w:bottom w:val="single" w:sz="4" w:space="0" w:color="auto"/>
              <w:right w:val="single" w:sz="4" w:space="0" w:color="auto"/>
            </w:tcBorders>
          </w:tcPr>
          <w:p w14:paraId="264E23BB"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203 (36%)</w:t>
            </w:r>
          </w:p>
        </w:tc>
      </w:tr>
      <w:tr w:rsidR="00BC0285" w:rsidRPr="006F1EB3" w14:paraId="1134E0DC" w14:textId="77777777" w:rsidTr="006B6274">
        <w:trPr>
          <w:trHeight w:val="106"/>
        </w:trPr>
        <w:tc>
          <w:tcPr>
            <w:tcW w:w="4480" w:type="dxa"/>
            <w:tcBorders>
              <w:top w:val="single" w:sz="4" w:space="0" w:color="auto"/>
              <w:left w:val="single" w:sz="4" w:space="0" w:color="auto"/>
              <w:bottom w:val="nil"/>
              <w:right w:val="single" w:sz="4" w:space="0" w:color="auto"/>
            </w:tcBorders>
            <w:shd w:val="clear" w:color="auto" w:fill="auto"/>
            <w:noWrap/>
            <w:vAlign w:val="bottom"/>
          </w:tcPr>
          <w:p w14:paraId="69C401CF" w14:textId="77777777" w:rsidR="00BC0285" w:rsidRPr="006F1EB3" w:rsidRDefault="00BC0285" w:rsidP="006B6274">
            <w:pPr>
              <w:spacing w:after="0" w:line="240" w:lineRule="auto"/>
              <w:rPr>
                <w:rFonts w:eastAsia="Times New Roman" w:cs="Arial"/>
                <w:b/>
                <w:bCs/>
                <w:color w:val="000000"/>
                <w:szCs w:val="20"/>
              </w:rPr>
            </w:pPr>
            <w:r w:rsidRPr="006F1EB3">
              <w:rPr>
                <w:rFonts w:eastAsia="Times New Roman" w:cs="Arial"/>
                <w:b/>
                <w:bCs/>
                <w:color w:val="000000"/>
                <w:szCs w:val="20"/>
              </w:rPr>
              <w:lastRenderedPageBreak/>
              <w:t>GI &amp; Feeding Challenges at Most Recent Visit</w:t>
            </w:r>
          </w:p>
        </w:tc>
        <w:tc>
          <w:tcPr>
            <w:tcW w:w="1175" w:type="dxa"/>
            <w:tcBorders>
              <w:top w:val="single" w:sz="4" w:space="0" w:color="auto"/>
              <w:left w:val="single" w:sz="4" w:space="0" w:color="auto"/>
              <w:bottom w:val="nil"/>
              <w:right w:val="single" w:sz="4" w:space="0" w:color="auto"/>
            </w:tcBorders>
            <w:shd w:val="clear" w:color="auto" w:fill="auto"/>
            <w:noWrap/>
            <w:vAlign w:val="bottom"/>
          </w:tcPr>
          <w:p w14:paraId="1F864196" w14:textId="77777777" w:rsidR="00BC0285" w:rsidRPr="006F1EB3" w:rsidRDefault="00BC0285" w:rsidP="006B6274">
            <w:pPr>
              <w:spacing w:after="0" w:line="240" w:lineRule="auto"/>
              <w:jc w:val="center"/>
              <w:rPr>
                <w:rFonts w:eastAsia="Times New Roman" w:cs="Arial"/>
                <w:color w:val="000000"/>
                <w:szCs w:val="20"/>
              </w:rPr>
            </w:pPr>
          </w:p>
        </w:tc>
        <w:tc>
          <w:tcPr>
            <w:tcW w:w="1065" w:type="dxa"/>
            <w:tcBorders>
              <w:top w:val="single" w:sz="4" w:space="0" w:color="auto"/>
              <w:left w:val="single" w:sz="4" w:space="0" w:color="auto"/>
              <w:bottom w:val="nil"/>
              <w:right w:val="single" w:sz="4" w:space="0" w:color="auto"/>
            </w:tcBorders>
          </w:tcPr>
          <w:p w14:paraId="7C8ED3BB" w14:textId="77777777" w:rsidR="00BC0285" w:rsidRPr="006F1EB3" w:rsidRDefault="00BC0285" w:rsidP="006B6274">
            <w:pPr>
              <w:spacing w:after="0" w:line="240" w:lineRule="auto"/>
              <w:jc w:val="center"/>
              <w:rPr>
                <w:rFonts w:eastAsia="Times New Roman" w:cs="Arial"/>
                <w:color w:val="000000"/>
                <w:szCs w:val="20"/>
              </w:rPr>
            </w:pPr>
          </w:p>
        </w:tc>
        <w:tc>
          <w:tcPr>
            <w:tcW w:w="1065" w:type="dxa"/>
            <w:tcBorders>
              <w:top w:val="single" w:sz="4" w:space="0" w:color="auto"/>
              <w:left w:val="single" w:sz="4" w:space="0" w:color="auto"/>
              <w:bottom w:val="nil"/>
              <w:right w:val="single" w:sz="4" w:space="0" w:color="auto"/>
            </w:tcBorders>
          </w:tcPr>
          <w:p w14:paraId="0E5DAEA3" w14:textId="77777777" w:rsidR="00BC0285" w:rsidRPr="006F1EB3" w:rsidRDefault="00BC0285" w:rsidP="006B6274">
            <w:pPr>
              <w:spacing w:after="0" w:line="240" w:lineRule="auto"/>
              <w:jc w:val="center"/>
              <w:rPr>
                <w:rFonts w:eastAsia="Times New Roman" w:cs="Arial"/>
                <w:color w:val="000000"/>
                <w:szCs w:val="20"/>
              </w:rPr>
            </w:pPr>
          </w:p>
        </w:tc>
        <w:tc>
          <w:tcPr>
            <w:tcW w:w="1211" w:type="dxa"/>
            <w:tcBorders>
              <w:top w:val="single" w:sz="4" w:space="0" w:color="auto"/>
              <w:left w:val="single" w:sz="4" w:space="0" w:color="auto"/>
              <w:bottom w:val="nil"/>
              <w:right w:val="single" w:sz="4" w:space="0" w:color="auto"/>
            </w:tcBorders>
          </w:tcPr>
          <w:p w14:paraId="3B0166E0" w14:textId="77777777" w:rsidR="00BC0285" w:rsidRPr="006F1EB3" w:rsidRDefault="00BC0285" w:rsidP="006B6274">
            <w:pPr>
              <w:spacing w:after="0" w:line="240" w:lineRule="auto"/>
              <w:jc w:val="center"/>
              <w:rPr>
                <w:rFonts w:eastAsia="Times New Roman" w:cs="Arial"/>
                <w:color w:val="000000"/>
                <w:szCs w:val="20"/>
              </w:rPr>
            </w:pPr>
          </w:p>
        </w:tc>
        <w:tc>
          <w:tcPr>
            <w:tcW w:w="1411" w:type="dxa"/>
            <w:tcBorders>
              <w:top w:val="single" w:sz="4" w:space="0" w:color="auto"/>
              <w:left w:val="single" w:sz="4" w:space="0" w:color="auto"/>
              <w:bottom w:val="nil"/>
              <w:right w:val="single" w:sz="4" w:space="0" w:color="auto"/>
            </w:tcBorders>
          </w:tcPr>
          <w:p w14:paraId="3FD47A0A" w14:textId="77777777" w:rsidR="00BC0285" w:rsidRPr="006F1EB3" w:rsidRDefault="00BC0285" w:rsidP="006B6274">
            <w:pPr>
              <w:spacing w:after="0" w:line="240" w:lineRule="auto"/>
              <w:jc w:val="center"/>
              <w:rPr>
                <w:rFonts w:eastAsia="Times New Roman" w:cs="Arial"/>
                <w:color w:val="000000"/>
                <w:szCs w:val="20"/>
              </w:rPr>
            </w:pPr>
          </w:p>
        </w:tc>
        <w:tc>
          <w:tcPr>
            <w:tcW w:w="1120" w:type="dxa"/>
            <w:tcBorders>
              <w:top w:val="single" w:sz="4" w:space="0" w:color="auto"/>
              <w:left w:val="single" w:sz="4" w:space="0" w:color="auto"/>
              <w:bottom w:val="nil"/>
              <w:right w:val="single" w:sz="4" w:space="0" w:color="auto"/>
            </w:tcBorders>
          </w:tcPr>
          <w:p w14:paraId="555AA33B" w14:textId="77777777" w:rsidR="00BC0285" w:rsidRPr="006F1EB3" w:rsidRDefault="00BC0285" w:rsidP="006B6274">
            <w:pPr>
              <w:spacing w:after="0" w:line="240" w:lineRule="auto"/>
              <w:jc w:val="center"/>
              <w:rPr>
                <w:rFonts w:eastAsia="Times New Roman" w:cs="Arial"/>
                <w:color w:val="000000"/>
                <w:szCs w:val="20"/>
              </w:rPr>
            </w:pPr>
          </w:p>
        </w:tc>
      </w:tr>
      <w:tr w:rsidR="00BC0285" w:rsidRPr="006F1EB3" w14:paraId="3CA23209" w14:textId="77777777" w:rsidTr="006B6274">
        <w:trPr>
          <w:trHeight w:val="106"/>
        </w:trPr>
        <w:tc>
          <w:tcPr>
            <w:tcW w:w="4480" w:type="dxa"/>
            <w:tcBorders>
              <w:top w:val="nil"/>
              <w:left w:val="single" w:sz="4" w:space="0" w:color="auto"/>
              <w:bottom w:val="nil"/>
              <w:right w:val="single" w:sz="4" w:space="0" w:color="auto"/>
            </w:tcBorders>
            <w:shd w:val="clear" w:color="auto" w:fill="auto"/>
            <w:noWrap/>
            <w:vAlign w:val="bottom"/>
            <w:hideMark/>
          </w:tcPr>
          <w:p w14:paraId="34A303E8"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Constipation</w:t>
            </w:r>
          </w:p>
        </w:tc>
        <w:tc>
          <w:tcPr>
            <w:tcW w:w="1175" w:type="dxa"/>
            <w:tcBorders>
              <w:top w:val="nil"/>
              <w:left w:val="single" w:sz="4" w:space="0" w:color="auto"/>
              <w:bottom w:val="nil"/>
              <w:right w:val="single" w:sz="4" w:space="0" w:color="auto"/>
            </w:tcBorders>
            <w:shd w:val="clear" w:color="auto" w:fill="auto"/>
            <w:noWrap/>
            <w:vAlign w:val="bottom"/>
            <w:hideMark/>
          </w:tcPr>
          <w:p w14:paraId="6CD9A6A8"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109 (30%)</w:t>
            </w:r>
          </w:p>
        </w:tc>
        <w:tc>
          <w:tcPr>
            <w:tcW w:w="1065" w:type="dxa"/>
            <w:tcBorders>
              <w:top w:val="nil"/>
              <w:left w:val="single" w:sz="4" w:space="0" w:color="auto"/>
              <w:bottom w:val="nil"/>
              <w:right w:val="single" w:sz="4" w:space="0" w:color="auto"/>
            </w:tcBorders>
          </w:tcPr>
          <w:p w14:paraId="74DB70E4"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40 (48%)</w:t>
            </w:r>
          </w:p>
        </w:tc>
        <w:tc>
          <w:tcPr>
            <w:tcW w:w="1065" w:type="dxa"/>
            <w:tcBorders>
              <w:top w:val="nil"/>
              <w:left w:val="single" w:sz="4" w:space="0" w:color="auto"/>
              <w:bottom w:val="nil"/>
              <w:right w:val="single" w:sz="4" w:space="0" w:color="auto"/>
            </w:tcBorders>
          </w:tcPr>
          <w:p w14:paraId="2186D065"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16 (29%)</w:t>
            </w:r>
          </w:p>
        </w:tc>
        <w:tc>
          <w:tcPr>
            <w:tcW w:w="1211" w:type="dxa"/>
            <w:tcBorders>
              <w:top w:val="nil"/>
              <w:left w:val="single" w:sz="4" w:space="0" w:color="auto"/>
              <w:bottom w:val="nil"/>
              <w:right w:val="single" w:sz="4" w:space="0" w:color="auto"/>
            </w:tcBorders>
          </w:tcPr>
          <w:p w14:paraId="4BF56604"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 (36%)</w:t>
            </w:r>
          </w:p>
        </w:tc>
        <w:tc>
          <w:tcPr>
            <w:tcW w:w="1411" w:type="dxa"/>
            <w:tcBorders>
              <w:top w:val="nil"/>
              <w:left w:val="single" w:sz="4" w:space="0" w:color="auto"/>
              <w:bottom w:val="nil"/>
              <w:right w:val="single" w:sz="4" w:space="0" w:color="auto"/>
            </w:tcBorders>
          </w:tcPr>
          <w:p w14:paraId="2057918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8 (53%)</w:t>
            </w:r>
          </w:p>
        </w:tc>
        <w:tc>
          <w:tcPr>
            <w:tcW w:w="1120" w:type="dxa"/>
            <w:tcBorders>
              <w:top w:val="nil"/>
              <w:left w:val="single" w:sz="4" w:space="0" w:color="auto"/>
              <w:bottom w:val="nil"/>
              <w:right w:val="single" w:sz="4" w:space="0" w:color="auto"/>
            </w:tcBorders>
          </w:tcPr>
          <w:p w14:paraId="5A77AFDA"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191 (34%)</w:t>
            </w:r>
          </w:p>
        </w:tc>
      </w:tr>
      <w:tr w:rsidR="00BC0285" w:rsidRPr="006F1EB3" w14:paraId="4C4FF5EE" w14:textId="77777777" w:rsidTr="006B6274">
        <w:trPr>
          <w:trHeight w:val="106"/>
        </w:trPr>
        <w:tc>
          <w:tcPr>
            <w:tcW w:w="4480" w:type="dxa"/>
            <w:tcBorders>
              <w:top w:val="nil"/>
              <w:left w:val="single" w:sz="4" w:space="0" w:color="auto"/>
              <w:bottom w:val="nil"/>
              <w:right w:val="single" w:sz="4" w:space="0" w:color="auto"/>
            </w:tcBorders>
            <w:shd w:val="clear" w:color="auto" w:fill="auto"/>
            <w:noWrap/>
            <w:vAlign w:val="bottom"/>
            <w:hideMark/>
          </w:tcPr>
          <w:p w14:paraId="35665611"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Drooling</w:t>
            </w:r>
          </w:p>
        </w:tc>
        <w:tc>
          <w:tcPr>
            <w:tcW w:w="1175" w:type="dxa"/>
            <w:tcBorders>
              <w:top w:val="nil"/>
              <w:left w:val="single" w:sz="4" w:space="0" w:color="auto"/>
              <w:bottom w:val="nil"/>
              <w:right w:val="single" w:sz="4" w:space="0" w:color="auto"/>
            </w:tcBorders>
            <w:shd w:val="clear" w:color="auto" w:fill="auto"/>
            <w:noWrap/>
            <w:vAlign w:val="bottom"/>
            <w:hideMark/>
          </w:tcPr>
          <w:p w14:paraId="32009900"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216 (59%)</w:t>
            </w:r>
          </w:p>
        </w:tc>
        <w:tc>
          <w:tcPr>
            <w:tcW w:w="1065" w:type="dxa"/>
            <w:tcBorders>
              <w:top w:val="nil"/>
              <w:left w:val="single" w:sz="4" w:space="0" w:color="auto"/>
              <w:bottom w:val="nil"/>
              <w:right w:val="single" w:sz="4" w:space="0" w:color="auto"/>
            </w:tcBorders>
          </w:tcPr>
          <w:p w14:paraId="5BFA7222"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43 (51%)</w:t>
            </w:r>
          </w:p>
        </w:tc>
        <w:tc>
          <w:tcPr>
            <w:tcW w:w="1065" w:type="dxa"/>
            <w:tcBorders>
              <w:top w:val="nil"/>
              <w:left w:val="single" w:sz="4" w:space="0" w:color="auto"/>
              <w:bottom w:val="nil"/>
              <w:right w:val="single" w:sz="4" w:space="0" w:color="auto"/>
            </w:tcBorders>
          </w:tcPr>
          <w:p w14:paraId="31F97A17"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36 (65%)</w:t>
            </w:r>
          </w:p>
        </w:tc>
        <w:tc>
          <w:tcPr>
            <w:tcW w:w="1211" w:type="dxa"/>
            <w:tcBorders>
              <w:top w:val="nil"/>
              <w:left w:val="single" w:sz="4" w:space="0" w:color="auto"/>
              <w:bottom w:val="nil"/>
              <w:right w:val="single" w:sz="4" w:space="0" w:color="auto"/>
            </w:tcBorders>
          </w:tcPr>
          <w:p w14:paraId="4ACD81DF"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24 (67%)</w:t>
            </w:r>
          </w:p>
        </w:tc>
        <w:tc>
          <w:tcPr>
            <w:tcW w:w="1411" w:type="dxa"/>
            <w:tcBorders>
              <w:top w:val="nil"/>
              <w:left w:val="single" w:sz="4" w:space="0" w:color="auto"/>
              <w:bottom w:val="nil"/>
              <w:right w:val="single" w:sz="4" w:space="0" w:color="auto"/>
            </w:tcBorders>
          </w:tcPr>
          <w:p w14:paraId="48FC26B9"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9 (60%)</w:t>
            </w:r>
          </w:p>
        </w:tc>
        <w:tc>
          <w:tcPr>
            <w:tcW w:w="1120" w:type="dxa"/>
            <w:tcBorders>
              <w:top w:val="nil"/>
              <w:left w:val="single" w:sz="4" w:space="0" w:color="auto"/>
              <w:bottom w:val="nil"/>
              <w:right w:val="single" w:sz="4" w:space="0" w:color="auto"/>
            </w:tcBorders>
          </w:tcPr>
          <w:p w14:paraId="0C665177"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334 (59%)</w:t>
            </w:r>
          </w:p>
        </w:tc>
      </w:tr>
      <w:tr w:rsidR="00BC0285" w:rsidRPr="006F1EB3" w14:paraId="0A498C06" w14:textId="77777777" w:rsidTr="006B6274">
        <w:trPr>
          <w:trHeight w:val="106"/>
        </w:trPr>
        <w:tc>
          <w:tcPr>
            <w:tcW w:w="4480" w:type="dxa"/>
            <w:tcBorders>
              <w:top w:val="nil"/>
              <w:left w:val="single" w:sz="4" w:space="0" w:color="auto"/>
              <w:bottom w:val="nil"/>
              <w:right w:val="single" w:sz="4" w:space="0" w:color="auto"/>
            </w:tcBorders>
            <w:shd w:val="clear" w:color="auto" w:fill="auto"/>
            <w:noWrap/>
            <w:vAlign w:val="bottom"/>
            <w:hideMark/>
          </w:tcPr>
          <w:p w14:paraId="329A920A"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Gagging</w:t>
            </w:r>
          </w:p>
        </w:tc>
        <w:tc>
          <w:tcPr>
            <w:tcW w:w="1175" w:type="dxa"/>
            <w:tcBorders>
              <w:top w:val="nil"/>
              <w:left w:val="single" w:sz="4" w:space="0" w:color="auto"/>
              <w:bottom w:val="nil"/>
              <w:right w:val="single" w:sz="4" w:space="0" w:color="auto"/>
            </w:tcBorders>
            <w:shd w:val="clear" w:color="auto" w:fill="auto"/>
            <w:noWrap/>
            <w:vAlign w:val="bottom"/>
            <w:hideMark/>
          </w:tcPr>
          <w:p w14:paraId="6EE156A8"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160 (44%)</w:t>
            </w:r>
          </w:p>
        </w:tc>
        <w:tc>
          <w:tcPr>
            <w:tcW w:w="1065" w:type="dxa"/>
            <w:tcBorders>
              <w:top w:val="nil"/>
              <w:left w:val="single" w:sz="4" w:space="0" w:color="auto"/>
              <w:bottom w:val="nil"/>
              <w:right w:val="single" w:sz="4" w:space="0" w:color="auto"/>
            </w:tcBorders>
          </w:tcPr>
          <w:p w14:paraId="55C660B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39 (46%)</w:t>
            </w:r>
          </w:p>
        </w:tc>
        <w:tc>
          <w:tcPr>
            <w:tcW w:w="1065" w:type="dxa"/>
            <w:tcBorders>
              <w:top w:val="nil"/>
              <w:left w:val="single" w:sz="4" w:space="0" w:color="auto"/>
              <w:bottom w:val="nil"/>
              <w:right w:val="single" w:sz="4" w:space="0" w:color="auto"/>
            </w:tcBorders>
          </w:tcPr>
          <w:p w14:paraId="367A40A6"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23 (42%)</w:t>
            </w:r>
          </w:p>
        </w:tc>
        <w:tc>
          <w:tcPr>
            <w:tcW w:w="1211" w:type="dxa"/>
            <w:tcBorders>
              <w:top w:val="nil"/>
              <w:left w:val="single" w:sz="4" w:space="0" w:color="auto"/>
              <w:bottom w:val="nil"/>
              <w:right w:val="single" w:sz="4" w:space="0" w:color="auto"/>
            </w:tcBorders>
          </w:tcPr>
          <w:p w14:paraId="0B0F022A"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12 (33%)</w:t>
            </w:r>
          </w:p>
        </w:tc>
        <w:tc>
          <w:tcPr>
            <w:tcW w:w="1411" w:type="dxa"/>
            <w:tcBorders>
              <w:top w:val="nil"/>
              <w:left w:val="single" w:sz="4" w:space="0" w:color="auto"/>
              <w:bottom w:val="nil"/>
              <w:right w:val="single" w:sz="4" w:space="0" w:color="auto"/>
            </w:tcBorders>
          </w:tcPr>
          <w:p w14:paraId="59D2C146"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6 (40%)</w:t>
            </w:r>
          </w:p>
        </w:tc>
        <w:tc>
          <w:tcPr>
            <w:tcW w:w="1120" w:type="dxa"/>
            <w:tcBorders>
              <w:top w:val="nil"/>
              <w:left w:val="single" w:sz="4" w:space="0" w:color="auto"/>
              <w:bottom w:val="nil"/>
              <w:right w:val="single" w:sz="4" w:space="0" w:color="auto"/>
            </w:tcBorders>
          </w:tcPr>
          <w:p w14:paraId="054D873B"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246 (44%)</w:t>
            </w:r>
          </w:p>
        </w:tc>
      </w:tr>
      <w:tr w:rsidR="00BC0285" w:rsidRPr="006F1EB3" w14:paraId="41E926A5" w14:textId="77777777" w:rsidTr="006B6274">
        <w:trPr>
          <w:trHeight w:val="106"/>
        </w:trPr>
        <w:tc>
          <w:tcPr>
            <w:tcW w:w="4480" w:type="dxa"/>
            <w:tcBorders>
              <w:top w:val="nil"/>
              <w:left w:val="single" w:sz="4" w:space="0" w:color="auto"/>
              <w:bottom w:val="single" w:sz="4" w:space="0" w:color="auto"/>
              <w:right w:val="single" w:sz="4" w:space="0" w:color="auto"/>
            </w:tcBorders>
            <w:shd w:val="clear" w:color="auto" w:fill="auto"/>
            <w:noWrap/>
            <w:vAlign w:val="bottom"/>
            <w:hideMark/>
          </w:tcPr>
          <w:p w14:paraId="428D6E63" w14:textId="77777777" w:rsidR="00BC0285" w:rsidRPr="006F1EB3" w:rsidRDefault="00BC0285" w:rsidP="006B6274">
            <w:pPr>
              <w:spacing w:after="0" w:line="240" w:lineRule="auto"/>
              <w:rPr>
                <w:rFonts w:eastAsia="Times New Roman" w:cs="Arial"/>
                <w:color w:val="000000"/>
                <w:szCs w:val="20"/>
              </w:rPr>
            </w:pPr>
            <w:r w:rsidRPr="006F1EB3">
              <w:rPr>
                <w:rFonts w:eastAsia="Times New Roman" w:cs="Arial"/>
                <w:color w:val="000000"/>
                <w:szCs w:val="20"/>
              </w:rPr>
              <w:t xml:space="preserve">      GERD</w:t>
            </w:r>
          </w:p>
        </w:tc>
        <w:tc>
          <w:tcPr>
            <w:tcW w:w="1175" w:type="dxa"/>
            <w:tcBorders>
              <w:top w:val="nil"/>
              <w:left w:val="single" w:sz="4" w:space="0" w:color="auto"/>
              <w:bottom w:val="single" w:sz="4" w:space="0" w:color="auto"/>
              <w:right w:val="single" w:sz="4" w:space="0" w:color="auto"/>
            </w:tcBorders>
            <w:shd w:val="clear" w:color="auto" w:fill="auto"/>
            <w:noWrap/>
            <w:vAlign w:val="bottom"/>
            <w:hideMark/>
          </w:tcPr>
          <w:p w14:paraId="46D0AC3F"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132 (36%)</w:t>
            </w:r>
          </w:p>
        </w:tc>
        <w:tc>
          <w:tcPr>
            <w:tcW w:w="1065" w:type="dxa"/>
            <w:tcBorders>
              <w:top w:val="nil"/>
              <w:left w:val="single" w:sz="4" w:space="0" w:color="auto"/>
              <w:bottom w:val="single" w:sz="4" w:space="0" w:color="auto"/>
              <w:right w:val="single" w:sz="4" w:space="0" w:color="auto"/>
            </w:tcBorders>
          </w:tcPr>
          <w:p w14:paraId="4E6CD663"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32 (38%)</w:t>
            </w:r>
          </w:p>
        </w:tc>
        <w:tc>
          <w:tcPr>
            <w:tcW w:w="1065" w:type="dxa"/>
            <w:tcBorders>
              <w:top w:val="nil"/>
              <w:left w:val="single" w:sz="4" w:space="0" w:color="auto"/>
              <w:bottom w:val="single" w:sz="4" w:space="0" w:color="auto"/>
              <w:right w:val="single" w:sz="4" w:space="0" w:color="auto"/>
            </w:tcBorders>
          </w:tcPr>
          <w:p w14:paraId="40696437"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21 (38%)</w:t>
            </w:r>
          </w:p>
        </w:tc>
        <w:tc>
          <w:tcPr>
            <w:tcW w:w="1211" w:type="dxa"/>
            <w:tcBorders>
              <w:top w:val="nil"/>
              <w:left w:val="single" w:sz="4" w:space="0" w:color="auto"/>
              <w:bottom w:val="single" w:sz="4" w:space="0" w:color="auto"/>
              <w:right w:val="single" w:sz="4" w:space="0" w:color="auto"/>
            </w:tcBorders>
          </w:tcPr>
          <w:p w14:paraId="26365A10"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 (36%)</w:t>
            </w:r>
          </w:p>
        </w:tc>
        <w:tc>
          <w:tcPr>
            <w:tcW w:w="1411" w:type="dxa"/>
            <w:tcBorders>
              <w:top w:val="nil"/>
              <w:left w:val="single" w:sz="4" w:space="0" w:color="auto"/>
              <w:bottom w:val="single" w:sz="4" w:space="0" w:color="auto"/>
              <w:right w:val="single" w:sz="4" w:space="0" w:color="auto"/>
            </w:tcBorders>
          </w:tcPr>
          <w:p w14:paraId="0E29E79D"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 (20%)</w:t>
            </w:r>
          </w:p>
        </w:tc>
        <w:tc>
          <w:tcPr>
            <w:tcW w:w="1120" w:type="dxa"/>
            <w:tcBorders>
              <w:top w:val="nil"/>
              <w:left w:val="single" w:sz="4" w:space="0" w:color="auto"/>
              <w:bottom w:val="single" w:sz="4" w:space="0" w:color="auto"/>
              <w:right w:val="single" w:sz="4" w:space="0" w:color="auto"/>
            </w:tcBorders>
          </w:tcPr>
          <w:p w14:paraId="78A736AB"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206 (37%)</w:t>
            </w:r>
          </w:p>
        </w:tc>
      </w:tr>
      <w:tr w:rsidR="00BC0285" w:rsidRPr="006F1EB3" w14:paraId="1E900383" w14:textId="77777777" w:rsidTr="006B6274">
        <w:trPr>
          <w:trHeight w:val="106"/>
        </w:trPr>
        <w:tc>
          <w:tcPr>
            <w:tcW w:w="44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87C70C5" w14:textId="77777777" w:rsidR="00BC0285" w:rsidRPr="006F1EB3" w:rsidRDefault="00BC0285" w:rsidP="006B6274">
            <w:pPr>
              <w:spacing w:after="0" w:line="240" w:lineRule="auto"/>
              <w:rPr>
                <w:rFonts w:eastAsia="Times New Roman" w:cs="Arial"/>
                <w:b/>
                <w:bCs/>
                <w:color w:val="000000"/>
                <w:szCs w:val="20"/>
              </w:rPr>
            </w:pPr>
            <w:r w:rsidRPr="006F1EB3">
              <w:rPr>
                <w:rFonts w:eastAsia="Times New Roman" w:cs="Arial"/>
                <w:b/>
                <w:bCs/>
                <w:color w:val="000000"/>
                <w:szCs w:val="20"/>
              </w:rPr>
              <w:t>Reported Seizure Activity at Most Recent Visit</w:t>
            </w:r>
          </w:p>
        </w:tc>
        <w:tc>
          <w:tcPr>
            <w:tcW w:w="117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FEED76"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234 (64%)</w:t>
            </w:r>
          </w:p>
        </w:tc>
        <w:tc>
          <w:tcPr>
            <w:tcW w:w="1065" w:type="dxa"/>
            <w:tcBorders>
              <w:top w:val="single" w:sz="4" w:space="0" w:color="auto"/>
              <w:left w:val="single" w:sz="4" w:space="0" w:color="auto"/>
              <w:bottom w:val="single" w:sz="4" w:space="0" w:color="auto"/>
              <w:right w:val="single" w:sz="4" w:space="0" w:color="auto"/>
            </w:tcBorders>
          </w:tcPr>
          <w:p w14:paraId="76E8B509"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41 (49%)</w:t>
            </w:r>
          </w:p>
        </w:tc>
        <w:tc>
          <w:tcPr>
            <w:tcW w:w="1065" w:type="dxa"/>
            <w:tcBorders>
              <w:top w:val="single" w:sz="4" w:space="0" w:color="auto"/>
              <w:left w:val="single" w:sz="4" w:space="0" w:color="auto"/>
              <w:bottom w:val="single" w:sz="4" w:space="0" w:color="auto"/>
              <w:right w:val="single" w:sz="4" w:space="0" w:color="auto"/>
            </w:tcBorders>
          </w:tcPr>
          <w:p w14:paraId="58760D0F"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21 (38%)</w:t>
            </w:r>
          </w:p>
        </w:tc>
        <w:tc>
          <w:tcPr>
            <w:tcW w:w="1211" w:type="dxa"/>
            <w:tcBorders>
              <w:top w:val="single" w:sz="4" w:space="0" w:color="auto"/>
              <w:left w:val="single" w:sz="4" w:space="0" w:color="auto"/>
              <w:bottom w:val="single" w:sz="4" w:space="0" w:color="auto"/>
              <w:right w:val="single" w:sz="4" w:space="0" w:color="auto"/>
            </w:tcBorders>
          </w:tcPr>
          <w:p w14:paraId="43DFDCC7"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14 (39%)</w:t>
            </w:r>
          </w:p>
        </w:tc>
        <w:tc>
          <w:tcPr>
            <w:tcW w:w="1411" w:type="dxa"/>
            <w:tcBorders>
              <w:top w:val="single" w:sz="4" w:space="0" w:color="auto"/>
              <w:left w:val="single" w:sz="4" w:space="0" w:color="auto"/>
              <w:bottom w:val="single" w:sz="4" w:space="0" w:color="auto"/>
              <w:right w:val="single" w:sz="4" w:space="0" w:color="auto"/>
            </w:tcBorders>
          </w:tcPr>
          <w:p w14:paraId="7E25A072"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 (44%)</w:t>
            </w:r>
          </w:p>
        </w:tc>
        <w:tc>
          <w:tcPr>
            <w:tcW w:w="1120" w:type="dxa"/>
            <w:tcBorders>
              <w:top w:val="single" w:sz="4" w:space="0" w:color="auto"/>
              <w:left w:val="single" w:sz="4" w:space="0" w:color="auto"/>
              <w:bottom w:val="single" w:sz="4" w:space="0" w:color="auto"/>
              <w:right w:val="single" w:sz="4" w:space="0" w:color="auto"/>
            </w:tcBorders>
          </w:tcPr>
          <w:p w14:paraId="048933AC"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314 (56%)</w:t>
            </w:r>
          </w:p>
        </w:tc>
      </w:tr>
      <w:tr w:rsidR="00BC0285" w:rsidRPr="006F1EB3" w14:paraId="03477444" w14:textId="77777777" w:rsidTr="006B6274">
        <w:trPr>
          <w:trHeight w:val="106"/>
        </w:trPr>
        <w:tc>
          <w:tcPr>
            <w:tcW w:w="4480" w:type="dxa"/>
            <w:tcBorders>
              <w:top w:val="nil"/>
              <w:left w:val="single" w:sz="4" w:space="0" w:color="auto"/>
              <w:bottom w:val="single" w:sz="4" w:space="0" w:color="auto"/>
              <w:right w:val="single" w:sz="4" w:space="0" w:color="auto"/>
            </w:tcBorders>
            <w:shd w:val="clear" w:color="auto" w:fill="auto"/>
            <w:noWrap/>
            <w:vAlign w:val="bottom"/>
          </w:tcPr>
          <w:p w14:paraId="15E36AA5" w14:textId="77777777" w:rsidR="00BC0285" w:rsidRPr="006F1EB3" w:rsidRDefault="00BC0285" w:rsidP="006B6274">
            <w:pPr>
              <w:spacing w:after="0" w:line="240" w:lineRule="auto"/>
              <w:rPr>
                <w:rFonts w:eastAsia="Times New Roman" w:cs="Arial"/>
                <w:b/>
                <w:bCs/>
                <w:color w:val="000000"/>
                <w:szCs w:val="20"/>
              </w:rPr>
            </w:pPr>
            <w:r w:rsidRPr="006F1EB3">
              <w:rPr>
                <w:rFonts w:eastAsia="Times New Roman" w:cs="Arial"/>
                <w:b/>
                <w:bCs/>
                <w:color w:val="000000"/>
                <w:szCs w:val="20"/>
              </w:rPr>
              <w:t>Reported &gt;=1 GI Symptom &amp; Seizure Activity</w:t>
            </w:r>
          </w:p>
        </w:tc>
        <w:tc>
          <w:tcPr>
            <w:tcW w:w="1175" w:type="dxa"/>
            <w:tcBorders>
              <w:top w:val="nil"/>
              <w:left w:val="single" w:sz="4" w:space="0" w:color="auto"/>
              <w:bottom w:val="single" w:sz="4" w:space="0" w:color="auto"/>
              <w:right w:val="single" w:sz="4" w:space="0" w:color="auto"/>
            </w:tcBorders>
            <w:shd w:val="clear" w:color="auto" w:fill="auto"/>
            <w:noWrap/>
            <w:vAlign w:val="bottom"/>
          </w:tcPr>
          <w:p w14:paraId="507EFC4E"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208 (57%)</w:t>
            </w:r>
          </w:p>
        </w:tc>
        <w:tc>
          <w:tcPr>
            <w:tcW w:w="1065" w:type="dxa"/>
            <w:tcBorders>
              <w:top w:val="nil"/>
              <w:left w:val="single" w:sz="4" w:space="0" w:color="auto"/>
              <w:bottom w:val="single" w:sz="4" w:space="0" w:color="auto"/>
              <w:right w:val="single" w:sz="4" w:space="0" w:color="auto"/>
            </w:tcBorders>
          </w:tcPr>
          <w:p w14:paraId="32A2174D"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40 (48%)</w:t>
            </w:r>
          </w:p>
        </w:tc>
        <w:tc>
          <w:tcPr>
            <w:tcW w:w="1065" w:type="dxa"/>
            <w:tcBorders>
              <w:top w:val="nil"/>
              <w:left w:val="single" w:sz="4" w:space="0" w:color="auto"/>
              <w:bottom w:val="single" w:sz="4" w:space="0" w:color="auto"/>
              <w:right w:val="single" w:sz="4" w:space="0" w:color="auto"/>
            </w:tcBorders>
          </w:tcPr>
          <w:p w14:paraId="0F64AC15"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20 (36%)</w:t>
            </w:r>
          </w:p>
        </w:tc>
        <w:tc>
          <w:tcPr>
            <w:tcW w:w="1211" w:type="dxa"/>
            <w:tcBorders>
              <w:top w:val="nil"/>
              <w:left w:val="single" w:sz="4" w:space="0" w:color="auto"/>
              <w:bottom w:val="single" w:sz="4" w:space="0" w:color="auto"/>
              <w:right w:val="single" w:sz="4" w:space="0" w:color="auto"/>
            </w:tcBorders>
          </w:tcPr>
          <w:p w14:paraId="242A6391"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13 (36%)</w:t>
            </w:r>
          </w:p>
        </w:tc>
        <w:tc>
          <w:tcPr>
            <w:tcW w:w="1411" w:type="dxa"/>
            <w:tcBorders>
              <w:top w:val="nil"/>
              <w:left w:val="single" w:sz="4" w:space="0" w:color="auto"/>
              <w:bottom w:val="single" w:sz="4" w:space="0" w:color="auto"/>
              <w:right w:val="single" w:sz="4" w:space="0" w:color="auto"/>
            </w:tcBorders>
          </w:tcPr>
          <w:p w14:paraId="093A8586"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4 (44%)</w:t>
            </w:r>
          </w:p>
        </w:tc>
        <w:tc>
          <w:tcPr>
            <w:tcW w:w="1120" w:type="dxa"/>
            <w:tcBorders>
              <w:top w:val="nil"/>
              <w:left w:val="single" w:sz="4" w:space="0" w:color="auto"/>
              <w:bottom w:val="single" w:sz="4" w:space="0" w:color="auto"/>
              <w:right w:val="single" w:sz="4" w:space="0" w:color="auto"/>
            </w:tcBorders>
          </w:tcPr>
          <w:p w14:paraId="252122F9" w14:textId="77777777" w:rsidR="00BC0285" w:rsidRPr="006F1EB3" w:rsidRDefault="00BC0285" w:rsidP="006B6274">
            <w:pPr>
              <w:spacing w:after="0" w:line="240" w:lineRule="auto"/>
              <w:jc w:val="center"/>
              <w:rPr>
                <w:rFonts w:eastAsia="Times New Roman" w:cs="Arial"/>
                <w:color w:val="000000"/>
                <w:szCs w:val="20"/>
              </w:rPr>
            </w:pPr>
            <w:r w:rsidRPr="006F1EB3">
              <w:rPr>
                <w:rFonts w:eastAsia="Times New Roman" w:cs="Arial"/>
                <w:color w:val="000000"/>
                <w:szCs w:val="20"/>
              </w:rPr>
              <w:t>285 (51%)</w:t>
            </w:r>
          </w:p>
        </w:tc>
      </w:tr>
    </w:tbl>
    <w:p w14:paraId="674404F4" w14:textId="77777777" w:rsidR="00BC0285" w:rsidRPr="006F1EB3" w:rsidRDefault="00BC0285" w:rsidP="00BC0285">
      <w:pPr>
        <w:spacing w:after="0" w:line="240" w:lineRule="auto"/>
        <w:rPr>
          <w:rFonts w:cs="Arial"/>
          <w:b/>
          <w:bCs/>
          <w:i/>
          <w:iCs/>
          <w:szCs w:val="20"/>
        </w:rPr>
      </w:pPr>
      <w:r w:rsidRPr="006F1EB3">
        <w:rPr>
          <w:rFonts w:cs="Arial"/>
          <w:b/>
          <w:bCs/>
          <w:i/>
          <w:iCs/>
          <w:szCs w:val="20"/>
        </w:rPr>
        <w:t>Note. Nine subjects have confirmed abnormal DNA Methylation, but further testing is needed to determine molecular subtype.</w:t>
      </w:r>
    </w:p>
    <w:p w14:paraId="377F03F2" w14:textId="77777777" w:rsidR="00BC0285" w:rsidRPr="006F1EB3" w:rsidRDefault="00BC0285" w:rsidP="00BC0285">
      <w:pPr>
        <w:spacing w:after="0"/>
        <w:rPr>
          <w:rFonts w:cs="Arial"/>
          <w:szCs w:val="20"/>
        </w:rPr>
      </w:pPr>
    </w:p>
    <w:p w14:paraId="399081B3" w14:textId="75F440DC" w:rsidR="00BC0285" w:rsidRPr="006F1EB3" w:rsidRDefault="00BC0285" w:rsidP="00BC0285">
      <w:pPr>
        <w:spacing w:after="0"/>
        <w:rPr>
          <w:rFonts w:cs="Arial"/>
          <w:szCs w:val="20"/>
        </w:rPr>
      </w:pPr>
      <w:r w:rsidRPr="006F1EB3">
        <w:rPr>
          <w:rFonts w:cs="Arial"/>
          <w:szCs w:val="20"/>
        </w:rPr>
        <w:t xml:space="preserve">Across all subtypes, the most reported GI symptom was drooling (59%), followed by gagging (44%), GERD (37%), and constipation (34%). Seizures were most often reported for individuals with a Deletion (64%) and across all subtypes often with co-occurrence of at least 1 GI symptom (51%). Further analysis is necessary to gain a deeper understanding of the etiopathogenesis of these symptoms. </w:t>
      </w:r>
    </w:p>
    <w:p w14:paraId="7D0B3BD6" w14:textId="77777777" w:rsidR="00BC0285" w:rsidRPr="006F1EB3" w:rsidRDefault="00BC0285" w:rsidP="00BC0285">
      <w:pPr>
        <w:spacing w:after="0"/>
        <w:rPr>
          <w:rFonts w:cs="Arial"/>
          <w:szCs w:val="20"/>
        </w:rPr>
      </w:pPr>
    </w:p>
    <w:p w14:paraId="7AC48F54" w14:textId="2DB24094" w:rsidR="0064135E" w:rsidRPr="006F1EB3" w:rsidRDefault="0064135E" w:rsidP="0064135E">
      <w:pPr>
        <w:rPr>
          <w:rFonts w:cs="Arial"/>
          <w:szCs w:val="20"/>
        </w:rPr>
      </w:pPr>
      <w:r w:rsidRPr="006F1EB3">
        <w:rPr>
          <w:rFonts w:cs="Arial"/>
          <w:b/>
          <w:bCs/>
          <w:szCs w:val="20"/>
        </w:rPr>
        <w:t>Discussion</w:t>
      </w:r>
      <w:r w:rsidRPr="006F1EB3">
        <w:rPr>
          <w:rFonts w:cs="Arial"/>
          <w:szCs w:val="20"/>
        </w:rPr>
        <w:t xml:space="preserve">: </w:t>
      </w:r>
      <w:r w:rsidR="00BC0285" w:rsidRPr="006F1EB3">
        <w:rPr>
          <w:rFonts w:cs="Arial"/>
          <w:szCs w:val="20"/>
        </w:rPr>
        <w:t>Findings from the ASNHS underscore the pervasiveness of GI issues in individuals with AS of all molecular subtypes, and co-occurrence of GI symptoms with seizures. These observations suggest a complex relationship between GI issues and other health challenges. Leveraging data from the ASNHS can further enhance understanding of the full range of GI symptoms in individuals with AS.</w:t>
      </w:r>
    </w:p>
    <w:p w14:paraId="599CDB94" w14:textId="77777777" w:rsidR="00BC0285" w:rsidRPr="006F1EB3" w:rsidRDefault="0064135E" w:rsidP="0064135E">
      <w:pPr>
        <w:rPr>
          <w:rFonts w:cs="Arial"/>
          <w:szCs w:val="20"/>
        </w:rPr>
      </w:pPr>
      <w:r w:rsidRPr="006F1EB3">
        <w:rPr>
          <w:rFonts w:cs="Arial"/>
          <w:b/>
          <w:bCs/>
          <w:szCs w:val="20"/>
        </w:rPr>
        <w:t>References</w:t>
      </w:r>
      <w:r w:rsidRPr="006F1EB3">
        <w:rPr>
          <w:rFonts w:cs="Arial"/>
          <w:szCs w:val="20"/>
        </w:rPr>
        <w:t xml:space="preserve"> </w:t>
      </w:r>
    </w:p>
    <w:p w14:paraId="47B4D5AF" w14:textId="77777777" w:rsidR="00BC0285" w:rsidRPr="006F1EB3" w:rsidRDefault="00BC0285" w:rsidP="00BC0285">
      <w:pPr>
        <w:pStyle w:val="ListParagraph"/>
        <w:numPr>
          <w:ilvl w:val="0"/>
          <w:numId w:val="1"/>
        </w:numPr>
        <w:spacing w:after="0" w:line="240" w:lineRule="auto"/>
        <w:rPr>
          <w:rFonts w:cs="Arial"/>
          <w:szCs w:val="20"/>
        </w:rPr>
      </w:pPr>
      <w:r w:rsidRPr="006F1EB3">
        <w:rPr>
          <w:rFonts w:cs="Arial"/>
          <w:szCs w:val="20"/>
        </w:rPr>
        <w:t xml:space="preserve">Glassman, L. W., </w:t>
      </w:r>
      <w:proofErr w:type="spellStart"/>
      <w:r w:rsidRPr="006F1EB3">
        <w:rPr>
          <w:rFonts w:cs="Arial"/>
          <w:szCs w:val="20"/>
        </w:rPr>
        <w:t>Grocott</w:t>
      </w:r>
      <w:proofErr w:type="spellEnd"/>
      <w:r w:rsidRPr="006F1EB3">
        <w:rPr>
          <w:rFonts w:cs="Arial"/>
          <w:szCs w:val="20"/>
        </w:rPr>
        <w:t xml:space="preserve">, O. R., Kunz, P. A., Larson, A. M., Zella, G., Ganguli, K., &amp; </w:t>
      </w:r>
      <w:proofErr w:type="spellStart"/>
      <w:r w:rsidRPr="006F1EB3">
        <w:rPr>
          <w:rFonts w:cs="Arial"/>
          <w:szCs w:val="20"/>
        </w:rPr>
        <w:t>Thibert</w:t>
      </w:r>
      <w:proofErr w:type="spellEnd"/>
      <w:r w:rsidRPr="006F1EB3">
        <w:rPr>
          <w:rFonts w:cs="Arial"/>
          <w:szCs w:val="20"/>
        </w:rPr>
        <w:t xml:space="preserve">, R. L. (2017). Prevalence of gastrointestinal symptoms in Angelman syndrome. American Journal of Medical Genetics. Part A, 173(10), 2703–2709. </w:t>
      </w:r>
      <w:hyperlink r:id="rId15" w:history="1">
        <w:r w:rsidRPr="006F1EB3">
          <w:rPr>
            <w:rStyle w:val="Hyperlink"/>
            <w:rFonts w:cs="Arial"/>
            <w:szCs w:val="20"/>
          </w:rPr>
          <w:t>https://doi.org/10.1002/ajmg.a.38401</w:t>
        </w:r>
      </w:hyperlink>
    </w:p>
    <w:p w14:paraId="7F767024" w14:textId="77777777" w:rsidR="00BC0285" w:rsidRPr="006F1EB3" w:rsidRDefault="00BC0285" w:rsidP="00BC0285">
      <w:pPr>
        <w:pStyle w:val="ListParagraph"/>
        <w:spacing w:after="0" w:line="240" w:lineRule="auto"/>
        <w:ind w:left="1080"/>
        <w:rPr>
          <w:rFonts w:cs="Arial"/>
          <w:szCs w:val="20"/>
        </w:rPr>
      </w:pPr>
    </w:p>
    <w:p w14:paraId="7DB8FF8C" w14:textId="77777777" w:rsidR="00BC0285" w:rsidRPr="006F1EB3" w:rsidRDefault="00BC0285" w:rsidP="00BC0285">
      <w:pPr>
        <w:pStyle w:val="ListParagraph"/>
        <w:numPr>
          <w:ilvl w:val="0"/>
          <w:numId w:val="1"/>
        </w:numPr>
        <w:spacing w:after="0" w:line="240" w:lineRule="auto"/>
        <w:rPr>
          <w:rFonts w:cs="Arial"/>
          <w:szCs w:val="20"/>
        </w:rPr>
      </w:pPr>
      <w:r w:rsidRPr="006F1EB3">
        <w:rPr>
          <w:rFonts w:cs="Arial"/>
          <w:szCs w:val="20"/>
        </w:rPr>
        <w:t xml:space="preserve">Leader, G., Whelan, S., </w:t>
      </w:r>
      <w:proofErr w:type="spellStart"/>
      <w:r w:rsidRPr="006F1EB3">
        <w:rPr>
          <w:rFonts w:cs="Arial"/>
          <w:szCs w:val="20"/>
        </w:rPr>
        <w:t>Chonaill</w:t>
      </w:r>
      <w:proofErr w:type="spellEnd"/>
      <w:r w:rsidRPr="006F1EB3">
        <w:rPr>
          <w:rFonts w:cs="Arial"/>
          <w:szCs w:val="20"/>
        </w:rPr>
        <w:t xml:space="preserve">, N. N., Coyne, R., Tones, M., </w:t>
      </w:r>
      <w:proofErr w:type="spellStart"/>
      <w:r w:rsidRPr="006F1EB3">
        <w:rPr>
          <w:rFonts w:cs="Arial"/>
          <w:szCs w:val="20"/>
        </w:rPr>
        <w:t>Heussler</w:t>
      </w:r>
      <w:proofErr w:type="spellEnd"/>
      <w:r w:rsidRPr="006F1EB3">
        <w:rPr>
          <w:rFonts w:cs="Arial"/>
          <w:szCs w:val="20"/>
        </w:rPr>
        <w:t xml:space="preserve">, H., </w:t>
      </w:r>
      <w:proofErr w:type="spellStart"/>
      <w:r w:rsidRPr="006F1EB3">
        <w:rPr>
          <w:rFonts w:cs="Arial"/>
          <w:szCs w:val="20"/>
        </w:rPr>
        <w:t>Bellgard</w:t>
      </w:r>
      <w:proofErr w:type="spellEnd"/>
      <w:r w:rsidRPr="006F1EB3">
        <w:rPr>
          <w:rFonts w:cs="Arial"/>
          <w:szCs w:val="20"/>
        </w:rPr>
        <w:t>, M., &amp; Mannion, A. (2022). Association between early and current gastro</w:t>
      </w:r>
      <w:r w:rsidRPr="006F1EB3">
        <w:rPr>
          <w:rFonts w:ascii="Cambria Math" w:hAnsi="Cambria Math" w:cs="Cambria Math"/>
          <w:szCs w:val="20"/>
        </w:rPr>
        <w:t>‐</w:t>
      </w:r>
      <w:r w:rsidRPr="006F1EB3">
        <w:rPr>
          <w:rFonts w:cs="Arial"/>
          <w:szCs w:val="20"/>
        </w:rPr>
        <w:t>intestinal symptoms and co</w:t>
      </w:r>
      <w:r w:rsidRPr="006F1EB3">
        <w:rPr>
          <w:rFonts w:ascii="Cambria Math" w:hAnsi="Cambria Math" w:cs="Cambria Math"/>
          <w:szCs w:val="20"/>
        </w:rPr>
        <w:t>‐</w:t>
      </w:r>
      <w:r w:rsidRPr="006F1EB3">
        <w:rPr>
          <w:rFonts w:cs="Arial"/>
          <w:szCs w:val="20"/>
        </w:rPr>
        <w:t xml:space="preserve">morbidities in children and adolescents with Angelman syndrome. JIDR. Journal of Intellectual Disability Research, 66(11), 865–879. </w:t>
      </w:r>
      <w:hyperlink r:id="rId16" w:history="1">
        <w:r w:rsidRPr="006F1EB3">
          <w:rPr>
            <w:rStyle w:val="Hyperlink"/>
            <w:rFonts w:cs="Arial"/>
            <w:szCs w:val="20"/>
          </w:rPr>
          <w:t>https://doi.org/10.1111/jir.12975</w:t>
        </w:r>
      </w:hyperlink>
    </w:p>
    <w:p w14:paraId="3D30A268" w14:textId="77777777" w:rsidR="00BC0285" w:rsidRPr="006F1EB3" w:rsidRDefault="00BC0285" w:rsidP="00BC0285">
      <w:pPr>
        <w:pStyle w:val="ListParagraph"/>
        <w:spacing w:after="0" w:line="240" w:lineRule="auto"/>
        <w:ind w:left="1080"/>
        <w:rPr>
          <w:rFonts w:cs="Arial"/>
          <w:szCs w:val="20"/>
        </w:rPr>
      </w:pPr>
    </w:p>
    <w:p w14:paraId="0DD35610" w14:textId="6D50438C" w:rsidR="00BC0285" w:rsidRPr="006F1EB3" w:rsidRDefault="00BC0285" w:rsidP="00BC0285">
      <w:pPr>
        <w:pStyle w:val="ListParagraph"/>
        <w:numPr>
          <w:ilvl w:val="0"/>
          <w:numId w:val="1"/>
        </w:numPr>
        <w:spacing w:after="0" w:line="240" w:lineRule="auto"/>
        <w:rPr>
          <w:rFonts w:cs="Arial"/>
          <w:szCs w:val="20"/>
        </w:rPr>
      </w:pPr>
      <w:r w:rsidRPr="006F1EB3">
        <w:rPr>
          <w:rFonts w:cs="Arial"/>
          <w:szCs w:val="20"/>
        </w:rPr>
        <w:t xml:space="preserve">Tan, W.-H., </w:t>
      </w:r>
      <w:proofErr w:type="spellStart"/>
      <w:r w:rsidRPr="006F1EB3">
        <w:rPr>
          <w:rFonts w:cs="Arial"/>
          <w:szCs w:val="20"/>
        </w:rPr>
        <w:t>Bacino</w:t>
      </w:r>
      <w:proofErr w:type="spellEnd"/>
      <w:r w:rsidRPr="006F1EB3">
        <w:rPr>
          <w:rFonts w:cs="Arial"/>
          <w:szCs w:val="20"/>
        </w:rPr>
        <w:t>, C. A., Skinner, S. A., Anselm, I., Barbieri-</w:t>
      </w:r>
      <w:proofErr w:type="spellStart"/>
      <w:r w:rsidRPr="006F1EB3">
        <w:rPr>
          <w:rFonts w:cs="Arial"/>
          <w:szCs w:val="20"/>
        </w:rPr>
        <w:t>Welge</w:t>
      </w:r>
      <w:proofErr w:type="spellEnd"/>
      <w:r w:rsidRPr="006F1EB3">
        <w:rPr>
          <w:rFonts w:cs="Arial"/>
          <w:szCs w:val="20"/>
        </w:rPr>
        <w:t xml:space="preserve">, R., Bauer-Carlin, A., Beaudet, A. L., </w:t>
      </w:r>
      <w:proofErr w:type="spellStart"/>
      <w:r w:rsidRPr="006F1EB3">
        <w:rPr>
          <w:rFonts w:cs="Arial"/>
          <w:szCs w:val="20"/>
        </w:rPr>
        <w:t>Bichell</w:t>
      </w:r>
      <w:proofErr w:type="spellEnd"/>
      <w:r w:rsidRPr="006F1EB3">
        <w:rPr>
          <w:rFonts w:cs="Arial"/>
          <w:szCs w:val="20"/>
        </w:rPr>
        <w:t xml:space="preserve">, T. J., Gentile, J. K., Glaze, D. G., Horowitz, L. T., </w:t>
      </w:r>
      <w:proofErr w:type="spellStart"/>
      <w:r w:rsidRPr="006F1EB3">
        <w:rPr>
          <w:rFonts w:cs="Arial"/>
          <w:szCs w:val="20"/>
        </w:rPr>
        <w:t>Kothare</w:t>
      </w:r>
      <w:proofErr w:type="spellEnd"/>
      <w:r w:rsidRPr="006F1EB3">
        <w:rPr>
          <w:rFonts w:cs="Arial"/>
          <w:szCs w:val="20"/>
        </w:rPr>
        <w:t xml:space="preserve">, S. V., Lee, H.-S., </w:t>
      </w:r>
      <w:proofErr w:type="spellStart"/>
      <w:r w:rsidRPr="006F1EB3">
        <w:rPr>
          <w:rFonts w:cs="Arial"/>
          <w:szCs w:val="20"/>
        </w:rPr>
        <w:t>Nespeca</w:t>
      </w:r>
      <w:proofErr w:type="spellEnd"/>
      <w:r w:rsidRPr="006F1EB3">
        <w:rPr>
          <w:rFonts w:cs="Arial"/>
          <w:szCs w:val="20"/>
        </w:rPr>
        <w:t xml:space="preserve">, M. P., Peters, S. U., Sahoo, T., </w:t>
      </w:r>
      <w:proofErr w:type="spellStart"/>
      <w:r w:rsidRPr="006F1EB3">
        <w:rPr>
          <w:rFonts w:cs="Arial"/>
          <w:szCs w:val="20"/>
        </w:rPr>
        <w:t>Sarco</w:t>
      </w:r>
      <w:proofErr w:type="spellEnd"/>
      <w:r w:rsidRPr="006F1EB3">
        <w:rPr>
          <w:rFonts w:cs="Arial"/>
          <w:szCs w:val="20"/>
        </w:rPr>
        <w:t xml:space="preserve">, D., </w:t>
      </w:r>
      <w:proofErr w:type="spellStart"/>
      <w:r w:rsidRPr="006F1EB3">
        <w:rPr>
          <w:rFonts w:cs="Arial"/>
          <w:szCs w:val="20"/>
        </w:rPr>
        <w:t>Waisbren</w:t>
      </w:r>
      <w:proofErr w:type="spellEnd"/>
      <w:r w:rsidRPr="006F1EB3">
        <w:rPr>
          <w:rFonts w:cs="Arial"/>
          <w:szCs w:val="20"/>
        </w:rPr>
        <w:t xml:space="preserve">, S. E., &amp; Bird, L. M. (2011). Angelman syndrome: Mutations influence features in early childhood. American Journal of Medical Genetics Part A, 155(1), 81–90. </w:t>
      </w:r>
      <w:hyperlink r:id="rId17" w:history="1">
        <w:r w:rsidR="00A329CA" w:rsidRPr="006F1EB3">
          <w:rPr>
            <w:rStyle w:val="Hyperlink"/>
            <w:rFonts w:cs="Arial"/>
            <w:szCs w:val="20"/>
          </w:rPr>
          <w:t>https://doi.org/10.1002/ajmg.a.33775</w:t>
        </w:r>
      </w:hyperlink>
      <w:r w:rsidR="00A329CA" w:rsidRPr="006F1EB3">
        <w:rPr>
          <w:rFonts w:cs="Arial"/>
          <w:szCs w:val="20"/>
        </w:rPr>
        <w:t xml:space="preserve"> </w:t>
      </w:r>
    </w:p>
    <w:p w14:paraId="7F9954F6" w14:textId="77777777" w:rsidR="00BC0285" w:rsidRPr="006F1EB3" w:rsidRDefault="00BC0285" w:rsidP="00BC0285">
      <w:pPr>
        <w:spacing w:after="0" w:line="240" w:lineRule="auto"/>
        <w:rPr>
          <w:rFonts w:cs="Arial"/>
          <w:szCs w:val="20"/>
        </w:rPr>
      </w:pPr>
    </w:p>
    <w:p w14:paraId="385D6791" w14:textId="1A236BB0" w:rsidR="00BC0285" w:rsidRPr="006F1EB3" w:rsidRDefault="00BC0285" w:rsidP="00BC0285">
      <w:pPr>
        <w:pStyle w:val="ListParagraph"/>
        <w:numPr>
          <w:ilvl w:val="0"/>
          <w:numId w:val="1"/>
        </w:numPr>
        <w:spacing w:after="0" w:line="240" w:lineRule="auto"/>
        <w:rPr>
          <w:rFonts w:cs="Arial"/>
          <w:szCs w:val="20"/>
        </w:rPr>
      </w:pPr>
      <w:proofErr w:type="spellStart"/>
      <w:r w:rsidRPr="006F1EB3">
        <w:rPr>
          <w:rFonts w:cs="Arial"/>
          <w:szCs w:val="20"/>
        </w:rPr>
        <w:t>Thibert</w:t>
      </w:r>
      <w:proofErr w:type="spellEnd"/>
      <w:r w:rsidRPr="006F1EB3">
        <w:rPr>
          <w:rFonts w:cs="Arial"/>
          <w:szCs w:val="20"/>
        </w:rPr>
        <w:t xml:space="preserve">, R. L., Pfeifer, H. H., Larson, A. M., Raby, A. R., Reynolds, A. A., Morgan, A. K., &amp; Thiele, E. A. (2012). Low glycemic index treatment for seizures in Angelman syndrome. Epilepsia (Copenhagen), 53(9), 1498–1502. </w:t>
      </w:r>
      <w:hyperlink r:id="rId18" w:history="1">
        <w:r w:rsidR="00A329CA" w:rsidRPr="006F1EB3">
          <w:rPr>
            <w:rStyle w:val="Hyperlink"/>
            <w:rFonts w:cs="Arial"/>
            <w:szCs w:val="20"/>
          </w:rPr>
          <w:t>https://doi.org/10.1111/j.1528-1167.2012.03537.x</w:t>
        </w:r>
      </w:hyperlink>
      <w:r w:rsidR="00A329CA" w:rsidRPr="006F1EB3">
        <w:rPr>
          <w:rFonts w:cs="Arial"/>
          <w:szCs w:val="20"/>
        </w:rPr>
        <w:t xml:space="preserve"> </w:t>
      </w:r>
    </w:p>
    <w:p w14:paraId="725AE570" w14:textId="77777777" w:rsidR="00BC0285" w:rsidRPr="006F1EB3" w:rsidRDefault="00BC0285" w:rsidP="00BC0285">
      <w:pPr>
        <w:spacing w:after="0" w:line="240" w:lineRule="auto"/>
        <w:rPr>
          <w:rFonts w:cs="Arial"/>
          <w:szCs w:val="20"/>
        </w:rPr>
      </w:pPr>
    </w:p>
    <w:p w14:paraId="2420E9A2" w14:textId="77777777" w:rsidR="00BC0285" w:rsidRPr="006F1EB3" w:rsidRDefault="00BC0285" w:rsidP="00BC0285">
      <w:pPr>
        <w:pStyle w:val="ListParagraph"/>
        <w:numPr>
          <w:ilvl w:val="0"/>
          <w:numId w:val="1"/>
        </w:numPr>
        <w:spacing w:after="0" w:line="240" w:lineRule="auto"/>
        <w:rPr>
          <w:rFonts w:cs="Arial"/>
          <w:szCs w:val="20"/>
        </w:rPr>
      </w:pPr>
      <w:r w:rsidRPr="006F1EB3">
        <w:rPr>
          <w:rFonts w:cs="Arial"/>
          <w:szCs w:val="20"/>
        </w:rPr>
        <w:t xml:space="preserve">Williams, C. A., Beaudet, A. L., Clayton-Smith, J., Knoll, J. H., </w:t>
      </w:r>
      <w:proofErr w:type="spellStart"/>
      <w:r w:rsidRPr="006F1EB3">
        <w:rPr>
          <w:rFonts w:cs="Arial"/>
          <w:szCs w:val="20"/>
        </w:rPr>
        <w:t>Kyllerman</w:t>
      </w:r>
      <w:proofErr w:type="spellEnd"/>
      <w:r w:rsidRPr="006F1EB3">
        <w:rPr>
          <w:rFonts w:cs="Arial"/>
          <w:szCs w:val="20"/>
        </w:rPr>
        <w:t xml:space="preserve">, M., </w:t>
      </w:r>
      <w:proofErr w:type="spellStart"/>
      <w:r w:rsidRPr="006F1EB3">
        <w:rPr>
          <w:rFonts w:cs="Arial"/>
          <w:szCs w:val="20"/>
        </w:rPr>
        <w:t>Laan</w:t>
      </w:r>
      <w:proofErr w:type="spellEnd"/>
      <w:r w:rsidRPr="006F1EB3">
        <w:rPr>
          <w:rFonts w:cs="Arial"/>
          <w:szCs w:val="20"/>
        </w:rPr>
        <w:t xml:space="preserve">, L. A., </w:t>
      </w:r>
      <w:proofErr w:type="spellStart"/>
      <w:r w:rsidRPr="006F1EB3">
        <w:rPr>
          <w:rFonts w:cs="Arial"/>
          <w:szCs w:val="20"/>
        </w:rPr>
        <w:t>Magenis</w:t>
      </w:r>
      <w:proofErr w:type="spellEnd"/>
      <w:r w:rsidRPr="006F1EB3">
        <w:rPr>
          <w:rFonts w:cs="Arial"/>
          <w:szCs w:val="20"/>
        </w:rPr>
        <w:t xml:space="preserve">, R. E., </w:t>
      </w:r>
      <w:proofErr w:type="spellStart"/>
      <w:r w:rsidRPr="006F1EB3">
        <w:rPr>
          <w:rFonts w:cs="Arial"/>
          <w:szCs w:val="20"/>
        </w:rPr>
        <w:t>Moncla</w:t>
      </w:r>
      <w:proofErr w:type="spellEnd"/>
      <w:r w:rsidRPr="006F1EB3">
        <w:rPr>
          <w:rFonts w:cs="Arial"/>
          <w:szCs w:val="20"/>
        </w:rPr>
        <w:t xml:space="preserve">, A., </w:t>
      </w:r>
      <w:proofErr w:type="spellStart"/>
      <w:r w:rsidRPr="006F1EB3">
        <w:rPr>
          <w:rFonts w:cs="Arial"/>
          <w:szCs w:val="20"/>
        </w:rPr>
        <w:t>Schinzel</w:t>
      </w:r>
      <w:proofErr w:type="spellEnd"/>
      <w:r w:rsidRPr="006F1EB3">
        <w:rPr>
          <w:rFonts w:cs="Arial"/>
          <w:szCs w:val="20"/>
        </w:rPr>
        <w:t>, A. A., Summers, J. A., &amp; Wagstaff, J. (2006). Angelman syndrome 2005: Updated consensus for diagnostic criteria. American Journal of Medical</w:t>
      </w:r>
    </w:p>
    <w:p w14:paraId="5B037640" w14:textId="77777777" w:rsidR="00824CB9" w:rsidRPr="006F1EB3" w:rsidRDefault="00824CB9" w:rsidP="00824CB9">
      <w:pPr>
        <w:pStyle w:val="ListParagraph"/>
        <w:rPr>
          <w:rFonts w:cs="Arial"/>
          <w:szCs w:val="20"/>
        </w:rPr>
      </w:pPr>
    </w:p>
    <w:p w14:paraId="391865EA" w14:textId="77777777" w:rsidR="00824CB9" w:rsidRPr="006F1EB3" w:rsidRDefault="00824CB9" w:rsidP="00824CB9">
      <w:pPr>
        <w:pStyle w:val="ListParagraph"/>
        <w:spacing w:line="240" w:lineRule="auto"/>
        <w:ind w:left="0"/>
        <w:rPr>
          <w:rFonts w:cs="Arial"/>
          <w:b/>
          <w:bCs/>
          <w:szCs w:val="20"/>
        </w:rPr>
      </w:pPr>
      <w:r w:rsidRPr="006F1EB3">
        <w:rPr>
          <w:rFonts w:cs="Arial"/>
          <w:b/>
          <w:bCs/>
          <w:szCs w:val="20"/>
        </w:rPr>
        <w:t>* Angelman Syndrome Natural History Consortium Principal Investigators</w:t>
      </w:r>
    </w:p>
    <w:p w14:paraId="7D846429" w14:textId="780A9A45" w:rsidR="00824CB9" w:rsidRPr="006F1EB3" w:rsidRDefault="00824CB9" w:rsidP="00824CB9">
      <w:pPr>
        <w:spacing w:after="0" w:line="240" w:lineRule="auto"/>
        <w:rPr>
          <w:rFonts w:cs="Arial"/>
          <w:szCs w:val="20"/>
        </w:rPr>
      </w:pPr>
      <w:r w:rsidRPr="006F1EB3">
        <w:rPr>
          <w:rFonts w:cs="Arial"/>
          <w:szCs w:val="20"/>
        </w:rPr>
        <w:t xml:space="preserve">P.Y. Billie Au (Alberta Children's Hospital, University of Calgary), Carlos </w:t>
      </w:r>
      <w:proofErr w:type="spellStart"/>
      <w:r w:rsidRPr="006F1EB3">
        <w:rPr>
          <w:rFonts w:cs="Arial"/>
          <w:szCs w:val="20"/>
        </w:rPr>
        <w:t>Bacino</w:t>
      </w:r>
      <w:proofErr w:type="spellEnd"/>
      <w:r w:rsidRPr="006F1EB3">
        <w:rPr>
          <w:rFonts w:cs="Arial"/>
          <w:szCs w:val="20"/>
        </w:rPr>
        <w:t xml:space="preserve"> (Baylor College of Medicine), Elizabeth Berry-Kravis (Rush University Medical Center), Cyrus </w:t>
      </w:r>
      <w:proofErr w:type="spellStart"/>
      <w:r w:rsidRPr="006F1EB3">
        <w:rPr>
          <w:rFonts w:cs="Arial"/>
          <w:szCs w:val="20"/>
        </w:rPr>
        <w:t>Boelman</w:t>
      </w:r>
      <w:proofErr w:type="spellEnd"/>
      <w:r w:rsidRPr="006F1EB3">
        <w:rPr>
          <w:rFonts w:cs="Arial"/>
          <w:szCs w:val="20"/>
        </w:rPr>
        <w:t xml:space="preserve"> (British Columbia Children's Hospital, University of British Columbia), Robert Carson (Vanderbilt University Medical Center), Margaret </w:t>
      </w:r>
      <w:proofErr w:type="spellStart"/>
      <w:r w:rsidRPr="006F1EB3">
        <w:rPr>
          <w:rFonts w:cs="Arial"/>
          <w:szCs w:val="20"/>
        </w:rPr>
        <w:t>DeRamus</w:t>
      </w:r>
      <w:proofErr w:type="spellEnd"/>
      <w:r w:rsidRPr="006F1EB3">
        <w:rPr>
          <w:rFonts w:cs="Arial"/>
          <w:szCs w:val="20"/>
        </w:rPr>
        <w:t xml:space="preserve"> (University of North Carolina at Chapel Hill, Chapel Hill), Jessica Duis (Children's Hospital Colorado, University of Colorado Anschutz Medical Campus), Kara </w:t>
      </w:r>
      <w:proofErr w:type="spellStart"/>
      <w:r w:rsidRPr="006F1EB3">
        <w:rPr>
          <w:rFonts w:cs="Arial"/>
          <w:szCs w:val="20"/>
        </w:rPr>
        <w:t>Murias</w:t>
      </w:r>
      <w:proofErr w:type="spellEnd"/>
      <w:r w:rsidRPr="006F1EB3">
        <w:rPr>
          <w:rFonts w:cs="Arial"/>
          <w:szCs w:val="20"/>
        </w:rPr>
        <w:t xml:space="preserve"> (Alberta Children's Hospital, University of Calgary), Cesar Ochoa-</w:t>
      </w:r>
      <w:proofErr w:type="spellStart"/>
      <w:r w:rsidRPr="006F1EB3">
        <w:rPr>
          <w:rFonts w:cs="Arial"/>
          <w:szCs w:val="20"/>
        </w:rPr>
        <w:t>Lubinoff</w:t>
      </w:r>
      <w:proofErr w:type="spellEnd"/>
      <w:r w:rsidRPr="006F1EB3">
        <w:rPr>
          <w:rFonts w:cs="Arial"/>
          <w:szCs w:val="20"/>
        </w:rPr>
        <w:t xml:space="preserve"> (Rush University Medical Center), Erick Sell (Children's Hospital of Eastern Ontario Research Institute), Steven Skinner (Greenwood Genetic Center), Adriana Gomes (Rady Children’s Hospital San Diego) and Amy </w:t>
      </w:r>
      <w:proofErr w:type="spellStart"/>
      <w:r w:rsidRPr="006F1EB3">
        <w:rPr>
          <w:rFonts w:cs="Arial"/>
          <w:szCs w:val="20"/>
        </w:rPr>
        <w:t>Talboy</w:t>
      </w:r>
      <w:proofErr w:type="spellEnd"/>
      <w:r w:rsidRPr="006F1EB3">
        <w:rPr>
          <w:rFonts w:cs="Arial"/>
          <w:szCs w:val="20"/>
        </w:rPr>
        <w:t xml:space="preserve"> (Emory University School of Medicine)</w:t>
      </w:r>
    </w:p>
    <w:p w14:paraId="1D5F1D08" w14:textId="77777777" w:rsidR="00BC0285" w:rsidRPr="006F1EB3" w:rsidRDefault="00BC0285" w:rsidP="0064135E">
      <w:pPr>
        <w:jc w:val="center"/>
        <w:rPr>
          <w:rFonts w:cs="Arial"/>
          <w:b/>
          <w:bCs/>
          <w:szCs w:val="20"/>
        </w:rPr>
      </w:pPr>
    </w:p>
    <w:p w14:paraId="46304025" w14:textId="79E9E766" w:rsidR="0064135E" w:rsidRPr="006F1EB3" w:rsidRDefault="0064135E" w:rsidP="0064135E">
      <w:pPr>
        <w:jc w:val="center"/>
        <w:rPr>
          <w:rFonts w:cs="Arial"/>
          <w:b/>
          <w:bCs/>
          <w:szCs w:val="20"/>
        </w:rPr>
      </w:pPr>
      <w:r w:rsidRPr="006F1EB3">
        <w:rPr>
          <w:rFonts w:cs="Arial"/>
          <w:b/>
          <w:bCs/>
          <w:szCs w:val="20"/>
        </w:rPr>
        <w:t>Paper 3 of 4</w:t>
      </w:r>
    </w:p>
    <w:p w14:paraId="3BC9D6DA" w14:textId="77777777" w:rsidR="00BC0285" w:rsidRPr="006F1EB3" w:rsidRDefault="0064135E" w:rsidP="0064135E">
      <w:pPr>
        <w:rPr>
          <w:rStyle w:val="normaltextrun"/>
          <w:rFonts w:cs="Arial"/>
          <w:color w:val="000000"/>
          <w:szCs w:val="20"/>
          <w:bdr w:val="none" w:sz="0" w:space="0" w:color="auto" w:frame="1"/>
        </w:rPr>
      </w:pPr>
      <w:r w:rsidRPr="006F1EB3">
        <w:rPr>
          <w:rFonts w:cs="Arial"/>
          <w:b/>
          <w:bCs/>
          <w:szCs w:val="20"/>
        </w:rPr>
        <w:t>Paper Title</w:t>
      </w:r>
      <w:r w:rsidRPr="006F1EB3">
        <w:rPr>
          <w:rFonts w:cs="Arial"/>
          <w:szCs w:val="20"/>
        </w:rPr>
        <w:t xml:space="preserve">: </w:t>
      </w:r>
      <w:r w:rsidR="00BC0285" w:rsidRPr="006F1EB3">
        <w:rPr>
          <w:rStyle w:val="normaltextrun"/>
          <w:rFonts w:cs="Arial"/>
          <w:color w:val="000000"/>
          <w:szCs w:val="20"/>
          <w:bdr w:val="none" w:sz="0" w:space="0" w:color="auto" w:frame="1"/>
        </w:rPr>
        <w:t xml:space="preserve">Feeding practice and weight status of children with congenital Zika syndrome: A longitudinal study in </w:t>
      </w:r>
      <w:proofErr w:type="gramStart"/>
      <w:r w:rsidR="00BC0285" w:rsidRPr="006F1EB3">
        <w:rPr>
          <w:rStyle w:val="normaltextrun"/>
          <w:rFonts w:cs="Arial"/>
          <w:color w:val="000000"/>
          <w:szCs w:val="20"/>
          <w:bdr w:val="none" w:sz="0" w:space="0" w:color="auto" w:frame="1"/>
        </w:rPr>
        <w:t>Brazil</w:t>
      </w:r>
      <w:proofErr w:type="gramEnd"/>
    </w:p>
    <w:p w14:paraId="258ABC7A" w14:textId="401C336D" w:rsidR="0064135E" w:rsidRPr="006F1EB3" w:rsidRDefault="0064135E" w:rsidP="0064135E">
      <w:pPr>
        <w:rPr>
          <w:rFonts w:cs="Arial"/>
          <w:szCs w:val="20"/>
        </w:rPr>
      </w:pPr>
      <w:r w:rsidRPr="006F1EB3">
        <w:rPr>
          <w:rFonts w:cs="Arial"/>
          <w:b/>
          <w:bCs/>
          <w:szCs w:val="20"/>
        </w:rPr>
        <w:t>Authors</w:t>
      </w:r>
      <w:r w:rsidRPr="006F1EB3">
        <w:rPr>
          <w:rFonts w:cs="Arial"/>
          <w:szCs w:val="20"/>
        </w:rPr>
        <w:t xml:space="preserve">: </w:t>
      </w:r>
      <w:r w:rsidR="00E6317A" w:rsidRPr="006F1EB3">
        <w:rPr>
          <w:rFonts w:cs="Arial"/>
          <w:szCs w:val="20"/>
        </w:rPr>
        <w:t>Hannah E. Frawley</w:t>
      </w:r>
      <w:r w:rsidR="00E6317A" w:rsidRPr="006F1EB3">
        <w:rPr>
          <w:rFonts w:cs="Arial"/>
          <w:szCs w:val="20"/>
          <w:vertAlign w:val="superscript"/>
        </w:rPr>
        <w:t>1</w:t>
      </w:r>
      <w:r w:rsidR="00E6317A" w:rsidRPr="006F1EB3">
        <w:rPr>
          <w:rFonts w:cs="Arial"/>
          <w:szCs w:val="20"/>
        </w:rPr>
        <w:t>, Sara M. Andrews</w:t>
      </w:r>
      <w:r w:rsidR="00E6317A" w:rsidRPr="006F1EB3">
        <w:rPr>
          <w:rFonts w:cs="Arial"/>
          <w:szCs w:val="20"/>
          <w:vertAlign w:val="superscript"/>
        </w:rPr>
        <w:t>1</w:t>
      </w:r>
      <w:r w:rsidR="00E6317A" w:rsidRPr="006F1EB3">
        <w:rPr>
          <w:rFonts w:cs="Arial"/>
          <w:szCs w:val="20"/>
        </w:rPr>
        <w:t>, Anne C. Wheeler</w:t>
      </w:r>
      <w:r w:rsidR="00E6317A" w:rsidRPr="006F1EB3">
        <w:rPr>
          <w:rFonts w:cs="Arial"/>
          <w:szCs w:val="20"/>
          <w:vertAlign w:val="superscript"/>
        </w:rPr>
        <w:t>1</w:t>
      </w:r>
      <w:r w:rsidR="00E6317A" w:rsidRPr="006F1EB3">
        <w:rPr>
          <w:rFonts w:cs="Arial"/>
          <w:szCs w:val="20"/>
        </w:rPr>
        <w:t xml:space="preserve">, </w:t>
      </w:r>
      <w:r w:rsidR="00E6317A" w:rsidRPr="006F1EB3">
        <w:rPr>
          <w:rFonts w:cs="Arial"/>
          <w:szCs w:val="20"/>
          <w:lang w:val="pt-BR"/>
        </w:rPr>
        <w:t>Lucélia Lima Nobrega</w:t>
      </w:r>
      <w:r w:rsidR="002A64F0" w:rsidRPr="006F1EB3">
        <w:rPr>
          <w:rStyle w:val="FootnoteReference"/>
          <w:rFonts w:cs="Arial"/>
          <w:szCs w:val="20"/>
        </w:rPr>
        <w:footnoteReference w:id="6"/>
      </w:r>
      <w:r w:rsidR="002A64F0" w:rsidRPr="006F1EB3">
        <w:rPr>
          <w:rFonts w:cs="Arial"/>
          <w:szCs w:val="20"/>
        </w:rPr>
        <w:t xml:space="preserve">, </w:t>
      </w:r>
      <w:r w:rsidR="00E6317A" w:rsidRPr="006F1EB3">
        <w:rPr>
          <w:rFonts w:cs="Arial"/>
          <w:szCs w:val="20"/>
          <w:lang w:val="pt-BR"/>
        </w:rPr>
        <w:t>Raine Costa Borba Firmino</w:t>
      </w:r>
      <w:r w:rsidR="00B607F1" w:rsidRPr="006F1EB3">
        <w:rPr>
          <w:rFonts w:cs="Arial"/>
          <w:szCs w:val="20"/>
          <w:vertAlign w:val="superscript"/>
        </w:rPr>
        <w:t>6</w:t>
      </w:r>
      <w:r w:rsidR="00E6317A" w:rsidRPr="006F1EB3">
        <w:rPr>
          <w:rFonts w:cs="Arial"/>
          <w:szCs w:val="20"/>
        </w:rPr>
        <w:t xml:space="preserve">, </w:t>
      </w:r>
      <w:r w:rsidR="00E6317A" w:rsidRPr="006F1EB3">
        <w:rPr>
          <w:rFonts w:cs="Arial"/>
          <w:szCs w:val="20"/>
          <w:lang w:val="pt-BR"/>
        </w:rPr>
        <w:t>Claudia Marques da Silva</w:t>
      </w:r>
      <w:r w:rsidR="00B607F1" w:rsidRPr="006F1EB3">
        <w:rPr>
          <w:rFonts w:cs="Arial"/>
          <w:szCs w:val="20"/>
          <w:vertAlign w:val="superscript"/>
        </w:rPr>
        <w:t>6</w:t>
      </w:r>
      <w:r w:rsidR="00E6317A" w:rsidRPr="006F1EB3">
        <w:rPr>
          <w:rFonts w:cs="Arial"/>
          <w:szCs w:val="20"/>
        </w:rPr>
        <w:t xml:space="preserve">, </w:t>
      </w:r>
      <w:r w:rsidR="00E6317A" w:rsidRPr="006F1EB3">
        <w:rPr>
          <w:rFonts w:cs="Arial"/>
          <w:szCs w:val="20"/>
          <w:lang w:val="pt-BR"/>
        </w:rPr>
        <w:t>Pollyanna Bezerra</w:t>
      </w:r>
      <w:r w:rsidR="00B607F1" w:rsidRPr="006F1EB3">
        <w:rPr>
          <w:rFonts w:cs="Arial"/>
          <w:szCs w:val="20"/>
          <w:vertAlign w:val="superscript"/>
        </w:rPr>
        <w:t>6</w:t>
      </w:r>
      <w:r w:rsidR="00E6317A" w:rsidRPr="006F1EB3">
        <w:rPr>
          <w:rFonts w:cs="Arial"/>
          <w:szCs w:val="20"/>
        </w:rPr>
        <w:t xml:space="preserve">, </w:t>
      </w:r>
      <w:r w:rsidR="00E6317A" w:rsidRPr="006F1EB3">
        <w:rPr>
          <w:rFonts w:cs="Arial"/>
          <w:szCs w:val="20"/>
          <w:lang w:val="pt-BR"/>
        </w:rPr>
        <w:t>Camila V. Ventura</w:t>
      </w:r>
      <w:r w:rsidR="00B607F1" w:rsidRPr="006F1EB3">
        <w:rPr>
          <w:rFonts w:cs="Arial"/>
          <w:szCs w:val="20"/>
          <w:vertAlign w:val="superscript"/>
        </w:rPr>
        <w:t>6</w:t>
      </w:r>
      <w:r w:rsidR="00E6317A" w:rsidRPr="006F1EB3">
        <w:rPr>
          <w:rFonts w:cs="Arial"/>
          <w:szCs w:val="20"/>
        </w:rPr>
        <w:t xml:space="preserve">, </w:t>
      </w:r>
      <w:r w:rsidR="00E6317A" w:rsidRPr="006F1EB3">
        <w:rPr>
          <w:rFonts w:cs="Arial"/>
          <w:szCs w:val="20"/>
          <w:lang w:val="pt-BR"/>
        </w:rPr>
        <w:t>Andre Cavalcanti</w:t>
      </w:r>
      <w:r w:rsidR="00B607F1" w:rsidRPr="006F1EB3">
        <w:rPr>
          <w:rFonts w:cs="Arial"/>
          <w:szCs w:val="20"/>
          <w:vertAlign w:val="superscript"/>
        </w:rPr>
        <w:t>6</w:t>
      </w:r>
      <w:r w:rsidR="00E6317A" w:rsidRPr="006F1EB3">
        <w:rPr>
          <w:rFonts w:cs="Arial"/>
          <w:szCs w:val="20"/>
        </w:rPr>
        <w:t>, Jason Williams</w:t>
      </w:r>
      <w:r w:rsidR="00E6317A" w:rsidRPr="006F1EB3">
        <w:rPr>
          <w:rFonts w:cs="Arial"/>
          <w:szCs w:val="20"/>
          <w:vertAlign w:val="superscript"/>
        </w:rPr>
        <w:t>1</w:t>
      </w:r>
      <w:r w:rsidR="00E6317A" w:rsidRPr="006F1EB3">
        <w:rPr>
          <w:rFonts w:cs="Arial"/>
          <w:szCs w:val="20"/>
        </w:rPr>
        <w:t>, Valerie L. Flax</w:t>
      </w:r>
      <w:r w:rsidR="00E6317A" w:rsidRPr="006F1EB3">
        <w:rPr>
          <w:rFonts w:cs="Arial"/>
          <w:szCs w:val="20"/>
          <w:vertAlign w:val="superscript"/>
        </w:rPr>
        <w:t>1</w:t>
      </w:r>
      <w:r w:rsidR="00E6317A" w:rsidRPr="006F1EB3">
        <w:rPr>
          <w:rFonts w:cs="Arial"/>
          <w:szCs w:val="20"/>
        </w:rPr>
        <w:t xml:space="preserve"> </w:t>
      </w:r>
    </w:p>
    <w:p w14:paraId="566D6DA2" w14:textId="54A02243" w:rsidR="0064135E" w:rsidRPr="006F1EB3" w:rsidRDefault="0064135E" w:rsidP="0064135E">
      <w:pPr>
        <w:rPr>
          <w:rFonts w:cs="Arial"/>
          <w:szCs w:val="20"/>
        </w:rPr>
      </w:pPr>
      <w:r w:rsidRPr="006F1EB3">
        <w:rPr>
          <w:rFonts w:cs="Arial"/>
          <w:b/>
          <w:bCs/>
          <w:szCs w:val="20"/>
        </w:rPr>
        <w:t>Introduction</w:t>
      </w:r>
      <w:r w:rsidRPr="006F1EB3">
        <w:rPr>
          <w:rFonts w:cs="Arial"/>
          <w:szCs w:val="20"/>
        </w:rPr>
        <w:t xml:space="preserve">: </w:t>
      </w:r>
      <w:r w:rsidR="00E6317A" w:rsidRPr="006F1EB3">
        <w:rPr>
          <w:rFonts w:cs="Arial"/>
          <w:szCs w:val="20"/>
        </w:rPr>
        <w:t xml:space="preserve">From 2015-2016, approximately 3000 babies were born with congenital Zika syndrome (CZS) in Brazil. CZS results from in utero exposure to the Zika virus and is characterized by microcephaly, subcortical calcifications, ocular abnormalities, arthrogryposis, and hypertonia </w:t>
      </w:r>
      <w:r w:rsidR="00A97843" w:rsidRPr="006F1EB3">
        <w:rPr>
          <w:rFonts w:cs="Arial"/>
          <w:szCs w:val="20"/>
        </w:rPr>
        <w:t>(Moore et al., 2017</w:t>
      </w:r>
      <w:r w:rsidR="00E6317A" w:rsidRPr="006F1EB3">
        <w:rPr>
          <w:rFonts w:cs="Arial"/>
          <w:szCs w:val="20"/>
        </w:rPr>
        <w:t>).</w:t>
      </w:r>
      <w:r w:rsidR="00E6317A" w:rsidRPr="006F1EB3">
        <w:rPr>
          <w:rFonts w:cs="Arial"/>
          <w:szCs w:val="20"/>
        </w:rPr>
        <w:t xml:space="preserve"> </w:t>
      </w:r>
      <w:r w:rsidR="00E6317A" w:rsidRPr="006F1EB3">
        <w:rPr>
          <w:rFonts w:cs="Arial"/>
          <w:szCs w:val="20"/>
        </w:rPr>
        <w:t>While severity varies, children born with CZS face lifelong challenges including intellectual and developmental disability and increased health risks (</w:t>
      </w:r>
      <w:r w:rsidR="00A97843" w:rsidRPr="006F1EB3">
        <w:rPr>
          <w:rFonts w:cs="Arial"/>
          <w:szCs w:val="20"/>
        </w:rPr>
        <w:t>Satterfield-Nash et al., 2017; Wheeler et al., 2020</w:t>
      </w:r>
      <w:r w:rsidR="00E6317A" w:rsidRPr="006F1EB3">
        <w:rPr>
          <w:rFonts w:cs="Arial"/>
          <w:szCs w:val="20"/>
        </w:rPr>
        <w:t>). Early studies showed that in the first two years of life children with CZS experienced feeding difficulties, worsening nutritional status, and severe growth deficits (</w:t>
      </w:r>
      <w:r w:rsidR="00A97843" w:rsidRPr="006F1EB3">
        <w:rPr>
          <w:rFonts w:cs="Arial"/>
          <w:szCs w:val="20"/>
        </w:rPr>
        <w:t>Antoniou et al., 2023; Aguiar et al., 2022</w:t>
      </w:r>
      <w:r w:rsidR="00E6317A" w:rsidRPr="006F1EB3">
        <w:rPr>
          <w:rFonts w:cs="Arial"/>
          <w:szCs w:val="20"/>
        </w:rPr>
        <w:t>). Howeve</w:t>
      </w:r>
      <w:r w:rsidR="00E6317A" w:rsidRPr="006F1EB3">
        <w:rPr>
          <w:rFonts w:eastAsiaTheme="minorEastAsia" w:cs="Arial"/>
          <w:szCs w:val="20"/>
        </w:rPr>
        <w:t>r</w:t>
      </w:r>
      <w:r w:rsidR="00E6317A" w:rsidRPr="006F1EB3">
        <w:rPr>
          <w:rFonts w:cs="Arial"/>
          <w:szCs w:val="20"/>
        </w:rPr>
        <w:t>, there is limited knowledge on how CZS impacts feeding behaviors and growth as children age. This presentation will describe the progression of feeding practices and weight status over a five-year period in a cohort of children with CZS in northeastern Brazil.</w:t>
      </w:r>
    </w:p>
    <w:p w14:paraId="3F13CD79" w14:textId="2255B54E" w:rsidR="0064135E" w:rsidRPr="006F1EB3" w:rsidRDefault="0064135E" w:rsidP="0064135E">
      <w:pPr>
        <w:rPr>
          <w:rFonts w:cs="Arial"/>
          <w:szCs w:val="20"/>
        </w:rPr>
      </w:pPr>
      <w:r w:rsidRPr="006F1EB3">
        <w:rPr>
          <w:rFonts w:cs="Arial"/>
          <w:b/>
          <w:bCs/>
          <w:szCs w:val="20"/>
        </w:rPr>
        <w:t>Method</w:t>
      </w:r>
      <w:r w:rsidRPr="006F1EB3">
        <w:rPr>
          <w:rFonts w:cs="Arial"/>
          <w:szCs w:val="20"/>
        </w:rPr>
        <w:t xml:space="preserve">: </w:t>
      </w:r>
      <w:r w:rsidR="00E6317A" w:rsidRPr="006F1EB3">
        <w:rPr>
          <w:rFonts w:cs="Arial"/>
          <w:szCs w:val="20"/>
        </w:rPr>
        <w:t>Participants were children with confirmed or presumed CZS enrolled in a 5-year longitudinal study at the rehabilitation center of the Altino Ventura Foundation in Recife, Brazil. Data on feeding practices and weight status was collected from 156 children at five timepoints between 2018 and 2022. The average age of the children was 32.1 months at enrollment and 76.6 months at the fifth assessment. Multilevel models, with repeated observations nested within children, were used to estimate time related differences in each outcome.</w:t>
      </w:r>
    </w:p>
    <w:p w14:paraId="251538FC" w14:textId="7A29EEE8" w:rsidR="0064135E" w:rsidRPr="006F1EB3" w:rsidRDefault="0064135E" w:rsidP="0064135E">
      <w:pPr>
        <w:rPr>
          <w:rFonts w:cs="Arial"/>
          <w:szCs w:val="20"/>
        </w:rPr>
      </w:pPr>
      <w:r w:rsidRPr="006F1EB3">
        <w:rPr>
          <w:rFonts w:cs="Arial"/>
          <w:b/>
          <w:bCs/>
          <w:szCs w:val="20"/>
        </w:rPr>
        <w:t>Results</w:t>
      </w:r>
      <w:r w:rsidRPr="006F1EB3">
        <w:rPr>
          <w:rFonts w:cs="Arial"/>
          <w:szCs w:val="20"/>
        </w:rPr>
        <w:t xml:space="preserve">: </w:t>
      </w:r>
      <w:r w:rsidR="00E6317A" w:rsidRPr="006F1EB3">
        <w:rPr>
          <w:rFonts w:cs="Arial"/>
          <w:szCs w:val="20"/>
        </w:rPr>
        <w:t xml:space="preserve">Use of enteral feeding, such as gastrostomy, increased from 19.2% to 33.3% over 4 years (p &lt; .001). Among children who did not exclusively use an enteral feeding method, the percentage experiencing at least one dysphagia associated behavior, such as coughing or gagging, increased from 73.9% to 85.3% (p = .030) while consuming liquids </w:t>
      </w:r>
      <w:r w:rsidR="00E6317A" w:rsidRPr="006F1EB3">
        <w:rPr>
          <w:rFonts w:cs="Arial"/>
          <w:szCs w:val="20"/>
        </w:rPr>
        <w:lastRenderedPageBreak/>
        <w:t>and from 36.2% to 73.5% (p = .001) while consuming solids. Based on weight</w:t>
      </w:r>
      <w:r w:rsidR="00E6317A" w:rsidRPr="006F1EB3">
        <w:rPr>
          <w:rFonts w:ascii="Cambria Math" w:hAnsi="Cambria Math" w:cs="Cambria Math"/>
          <w:szCs w:val="20"/>
        </w:rPr>
        <w:t>‐</w:t>
      </w:r>
      <w:r w:rsidR="00E6317A" w:rsidRPr="006F1EB3">
        <w:rPr>
          <w:rFonts w:cs="Arial"/>
          <w:szCs w:val="20"/>
        </w:rPr>
        <w:t>for</w:t>
      </w:r>
      <w:r w:rsidR="00E6317A" w:rsidRPr="006F1EB3">
        <w:rPr>
          <w:rFonts w:ascii="Cambria Math" w:hAnsi="Cambria Math" w:cs="Cambria Math"/>
          <w:szCs w:val="20"/>
        </w:rPr>
        <w:t>‐</w:t>
      </w:r>
      <w:r w:rsidR="00E6317A" w:rsidRPr="006F1EB3">
        <w:rPr>
          <w:rFonts w:cs="Arial"/>
          <w:szCs w:val="20"/>
        </w:rPr>
        <w:t>age z</w:t>
      </w:r>
      <w:r w:rsidR="00E6317A" w:rsidRPr="006F1EB3">
        <w:rPr>
          <w:rFonts w:ascii="Cambria Math" w:hAnsi="Cambria Math" w:cs="Cambria Math"/>
          <w:szCs w:val="20"/>
        </w:rPr>
        <w:t>‐</w:t>
      </w:r>
      <w:r w:rsidR="00E6317A" w:rsidRPr="006F1EB3">
        <w:rPr>
          <w:rFonts w:cs="Arial"/>
          <w:szCs w:val="20"/>
        </w:rPr>
        <w:t>scores, the percentage of children who were moderately or severely underweight increased from 42.5% to 46.1% over the 4 years but was not statistically significant. Children exclusively using an enteral feeding method had significantly decreased odds of being underweight at assessments 3, 4, and 5.</w:t>
      </w:r>
    </w:p>
    <w:p w14:paraId="3A37D9AA" w14:textId="1D2BAA47" w:rsidR="0064135E" w:rsidRPr="006F1EB3" w:rsidRDefault="0064135E" w:rsidP="0064135E">
      <w:pPr>
        <w:rPr>
          <w:rFonts w:cs="Arial"/>
          <w:szCs w:val="20"/>
        </w:rPr>
      </w:pPr>
      <w:r w:rsidRPr="006F1EB3">
        <w:rPr>
          <w:rFonts w:cs="Arial"/>
          <w:b/>
          <w:bCs/>
          <w:szCs w:val="20"/>
        </w:rPr>
        <w:t>Discussion</w:t>
      </w:r>
      <w:r w:rsidRPr="006F1EB3">
        <w:rPr>
          <w:rFonts w:cs="Arial"/>
          <w:szCs w:val="20"/>
        </w:rPr>
        <w:t>:</w:t>
      </w:r>
      <w:r w:rsidR="002A64F0" w:rsidRPr="006F1EB3">
        <w:rPr>
          <w:rFonts w:cs="Arial"/>
          <w:szCs w:val="20"/>
        </w:rPr>
        <w:t xml:space="preserve"> </w:t>
      </w:r>
      <w:r w:rsidR="00E6317A" w:rsidRPr="006F1EB3">
        <w:rPr>
          <w:rFonts w:cs="Arial"/>
          <w:szCs w:val="20"/>
        </w:rPr>
        <w:t>These findings highlight that children with CZS experience increasing feeding difficulties as they age. Over a five-year period, symptoms of dysphagia and use of enteral feeding methods increased in this population. While nearly half of the cohort remained underweight at the final timepoint, children using enteral feeding were less likely to be underweight. Our findings elucidate the physiological reasons children with CZS may be underweight and point to intervention targets, such as enteral feeding, to improve their feeding practices.</w:t>
      </w:r>
    </w:p>
    <w:p w14:paraId="087BFB93" w14:textId="77777777" w:rsidR="00E6317A" w:rsidRPr="006F1EB3" w:rsidRDefault="0064135E" w:rsidP="0064135E">
      <w:pPr>
        <w:rPr>
          <w:rFonts w:cs="Arial"/>
          <w:szCs w:val="20"/>
        </w:rPr>
      </w:pPr>
      <w:r w:rsidRPr="006F1EB3">
        <w:rPr>
          <w:rFonts w:cs="Arial"/>
          <w:b/>
          <w:bCs/>
          <w:szCs w:val="20"/>
        </w:rPr>
        <w:t>References</w:t>
      </w:r>
      <w:r w:rsidRPr="006F1EB3">
        <w:rPr>
          <w:rFonts w:cs="Arial"/>
          <w:szCs w:val="20"/>
        </w:rPr>
        <w:t xml:space="preserve"> </w:t>
      </w:r>
    </w:p>
    <w:p w14:paraId="33FC5DF6" w14:textId="627C6FCF" w:rsidR="00285649" w:rsidRPr="006F1EB3" w:rsidRDefault="00285649" w:rsidP="00A97843">
      <w:pPr>
        <w:pStyle w:val="ListParagraph"/>
        <w:numPr>
          <w:ilvl w:val="0"/>
          <w:numId w:val="3"/>
        </w:numPr>
        <w:spacing w:after="0"/>
        <w:rPr>
          <w:rFonts w:cs="Arial"/>
          <w:szCs w:val="20"/>
        </w:rPr>
      </w:pPr>
      <w:r w:rsidRPr="006F1EB3">
        <w:rPr>
          <w:rFonts w:cs="Arial"/>
          <w:color w:val="212121"/>
          <w:szCs w:val="20"/>
          <w:shd w:val="clear" w:color="auto" w:fill="FFFFFF"/>
        </w:rPr>
        <w:t>Aguiar, E. B., Pone, S. M., Gomes Junior, S. C. D. S., Soares, F. V. M., Zin, A. A., Vasconcelos, Z. F. M., Ribeiro, C. T. M., Pereira Junior, J. P., Moreira, M. E. L., Nielsen-Saines, K., &amp; Pone, M. V. D. S. (2022). Anthropometric Parameters of Children with Congenital Zika Virus Exposure in the First Three Years of Life. </w:t>
      </w:r>
      <w:r w:rsidRPr="006F1EB3">
        <w:rPr>
          <w:rFonts w:cs="Arial"/>
          <w:i/>
          <w:iCs/>
          <w:color w:val="212121"/>
          <w:szCs w:val="20"/>
          <w:shd w:val="clear" w:color="auto" w:fill="FFFFFF"/>
        </w:rPr>
        <w:t>Viruses</w:t>
      </w:r>
      <w:r w:rsidRPr="006F1EB3">
        <w:rPr>
          <w:rFonts w:cs="Arial"/>
          <w:color w:val="212121"/>
          <w:szCs w:val="20"/>
          <w:shd w:val="clear" w:color="auto" w:fill="FFFFFF"/>
        </w:rPr>
        <w:t>, </w:t>
      </w:r>
      <w:r w:rsidRPr="006F1EB3">
        <w:rPr>
          <w:rFonts w:cs="Arial"/>
          <w:i/>
          <w:iCs/>
          <w:color w:val="212121"/>
          <w:szCs w:val="20"/>
          <w:shd w:val="clear" w:color="auto" w:fill="FFFFFF"/>
        </w:rPr>
        <w:t>14</w:t>
      </w:r>
      <w:r w:rsidRPr="006F1EB3">
        <w:rPr>
          <w:rFonts w:cs="Arial"/>
          <w:color w:val="212121"/>
          <w:szCs w:val="20"/>
          <w:shd w:val="clear" w:color="auto" w:fill="FFFFFF"/>
        </w:rPr>
        <w:t>(5), 876.</w:t>
      </w:r>
      <w:r w:rsidRPr="006F1EB3">
        <w:rPr>
          <w:rFonts w:cs="Arial"/>
          <w:color w:val="212121"/>
          <w:szCs w:val="20"/>
          <w:shd w:val="clear" w:color="auto" w:fill="FFFFFF"/>
        </w:rPr>
        <w:t xml:space="preserve"> </w:t>
      </w:r>
      <w:hyperlink r:id="rId19" w:history="1">
        <w:r w:rsidRPr="006F1EB3">
          <w:rPr>
            <w:rStyle w:val="Hyperlink"/>
            <w:rFonts w:cs="Arial"/>
            <w:szCs w:val="20"/>
            <w:shd w:val="clear" w:color="auto" w:fill="FFFFFF"/>
          </w:rPr>
          <w:t>https://doi.org/10.3390/v14050876</w:t>
        </w:r>
      </w:hyperlink>
      <w:r w:rsidRPr="006F1EB3">
        <w:rPr>
          <w:rFonts w:cs="Arial"/>
          <w:color w:val="212121"/>
          <w:szCs w:val="20"/>
          <w:shd w:val="clear" w:color="auto" w:fill="FFFFFF"/>
        </w:rPr>
        <w:t xml:space="preserve"> </w:t>
      </w:r>
      <w:r w:rsidRPr="006F1EB3">
        <w:rPr>
          <w:rFonts w:cs="Arial"/>
          <w:szCs w:val="20"/>
        </w:rPr>
        <w:t xml:space="preserve">  </w:t>
      </w:r>
    </w:p>
    <w:p w14:paraId="0B235D57" w14:textId="531B0069" w:rsidR="00285649" w:rsidRPr="006F1EB3" w:rsidRDefault="00285649" w:rsidP="00A97843">
      <w:pPr>
        <w:pStyle w:val="ListParagraph"/>
        <w:numPr>
          <w:ilvl w:val="0"/>
          <w:numId w:val="3"/>
        </w:numPr>
        <w:spacing w:after="0"/>
        <w:rPr>
          <w:rFonts w:cs="Arial"/>
          <w:szCs w:val="20"/>
        </w:rPr>
      </w:pPr>
      <w:r w:rsidRPr="006F1EB3">
        <w:rPr>
          <w:rFonts w:cs="Arial"/>
          <w:szCs w:val="20"/>
        </w:rPr>
        <w:t xml:space="preserve">Antoniou, E., </w:t>
      </w:r>
      <w:proofErr w:type="spellStart"/>
      <w:r w:rsidRPr="006F1EB3">
        <w:rPr>
          <w:rFonts w:cs="Arial"/>
          <w:szCs w:val="20"/>
        </w:rPr>
        <w:t>Andronikidi</w:t>
      </w:r>
      <w:proofErr w:type="spellEnd"/>
      <w:r w:rsidRPr="006F1EB3">
        <w:rPr>
          <w:rFonts w:cs="Arial"/>
          <w:szCs w:val="20"/>
        </w:rPr>
        <w:t xml:space="preserve">, P. E., </w:t>
      </w:r>
      <w:proofErr w:type="spellStart"/>
      <w:r w:rsidRPr="006F1EB3">
        <w:rPr>
          <w:rFonts w:cs="Arial"/>
          <w:szCs w:val="20"/>
        </w:rPr>
        <w:t>Eskitzis</w:t>
      </w:r>
      <w:proofErr w:type="spellEnd"/>
      <w:r w:rsidRPr="006F1EB3">
        <w:rPr>
          <w:rFonts w:cs="Arial"/>
          <w:szCs w:val="20"/>
        </w:rPr>
        <w:t xml:space="preserve">, P., </w:t>
      </w:r>
      <w:proofErr w:type="spellStart"/>
      <w:r w:rsidRPr="006F1EB3">
        <w:rPr>
          <w:rFonts w:cs="Arial"/>
          <w:szCs w:val="20"/>
        </w:rPr>
        <w:t>Iliadou</w:t>
      </w:r>
      <w:proofErr w:type="spellEnd"/>
      <w:r w:rsidRPr="006F1EB3">
        <w:rPr>
          <w:rFonts w:cs="Arial"/>
          <w:szCs w:val="20"/>
        </w:rPr>
        <w:t xml:space="preserve">, M., </w:t>
      </w:r>
      <w:proofErr w:type="spellStart"/>
      <w:r w:rsidRPr="006F1EB3">
        <w:rPr>
          <w:rFonts w:cs="Arial"/>
          <w:szCs w:val="20"/>
        </w:rPr>
        <w:t>Palaska</w:t>
      </w:r>
      <w:proofErr w:type="spellEnd"/>
      <w:r w:rsidRPr="006F1EB3">
        <w:rPr>
          <w:rFonts w:cs="Arial"/>
          <w:szCs w:val="20"/>
        </w:rPr>
        <w:t xml:space="preserve">, E., </w:t>
      </w:r>
      <w:proofErr w:type="spellStart"/>
      <w:r w:rsidRPr="006F1EB3">
        <w:rPr>
          <w:rFonts w:cs="Arial"/>
          <w:szCs w:val="20"/>
        </w:rPr>
        <w:t>Tzitiridou-Chatzopoulou</w:t>
      </w:r>
      <w:proofErr w:type="spellEnd"/>
      <w:r w:rsidRPr="006F1EB3">
        <w:rPr>
          <w:rFonts w:cs="Arial"/>
          <w:szCs w:val="20"/>
        </w:rPr>
        <w:t xml:space="preserve">, M., </w:t>
      </w:r>
      <w:proofErr w:type="spellStart"/>
      <w:r w:rsidRPr="006F1EB3">
        <w:rPr>
          <w:rFonts w:cs="Arial"/>
          <w:szCs w:val="20"/>
        </w:rPr>
        <w:t>Rigas</w:t>
      </w:r>
      <w:proofErr w:type="spellEnd"/>
      <w:r w:rsidRPr="006F1EB3">
        <w:rPr>
          <w:rFonts w:cs="Arial"/>
          <w:szCs w:val="20"/>
        </w:rPr>
        <w:t xml:space="preserve">, N., &amp; </w:t>
      </w:r>
      <w:proofErr w:type="spellStart"/>
      <w:r w:rsidRPr="006F1EB3">
        <w:rPr>
          <w:rFonts w:cs="Arial"/>
          <w:szCs w:val="20"/>
        </w:rPr>
        <w:t>Orovou</w:t>
      </w:r>
      <w:proofErr w:type="spellEnd"/>
      <w:r w:rsidRPr="006F1EB3">
        <w:rPr>
          <w:rFonts w:cs="Arial"/>
          <w:szCs w:val="20"/>
        </w:rPr>
        <w:t xml:space="preserve">, E. (2023). Congenital Zika Syndrome and Disabilities of Feeding and Breastfeeding in Early Childhood: A Systematic Review. </w:t>
      </w:r>
      <w:r w:rsidRPr="006F1EB3">
        <w:rPr>
          <w:rFonts w:cs="Arial"/>
          <w:i/>
          <w:iCs/>
          <w:szCs w:val="20"/>
        </w:rPr>
        <w:t>Viruses, 15</w:t>
      </w:r>
      <w:r w:rsidRPr="006F1EB3">
        <w:rPr>
          <w:rFonts w:cs="Arial"/>
          <w:szCs w:val="20"/>
        </w:rPr>
        <w:t xml:space="preserve">(3), 601. </w:t>
      </w:r>
      <w:hyperlink r:id="rId20" w:history="1">
        <w:r w:rsidRPr="006F1EB3">
          <w:rPr>
            <w:rStyle w:val="Hyperlink"/>
            <w:rFonts w:cs="Arial"/>
            <w:szCs w:val="20"/>
          </w:rPr>
          <w:t>https://doi.org/10.3390/v15030601</w:t>
        </w:r>
      </w:hyperlink>
      <w:r w:rsidRPr="006F1EB3">
        <w:rPr>
          <w:rFonts w:cs="Arial"/>
          <w:szCs w:val="20"/>
        </w:rPr>
        <w:t xml:space="preserve">  </w:t>
      </w:r>
    </w:p>
    <w:p w14:paraId="74BB7D1B" w14:textId="28F2ACBB" w:rsidR="00285649" w:rsidRPr="006F1EB3" w:rsidRDefault="00285649" w:rsidP="00A97843">
      <w:pPr>
        <w:pStyle w:val="ListParagraph"/>
        <w:numPr>
          <w:ilvl w:val="0"/>
          <w:numId w:val="3"/>
        </w:numPr>
        <w:spacing w:after="0"/>
        <w:rPr>
          <w:rFonts w:cs="Arial"/>
          <w:szCs w:val="20"/>
        </w:rPr>
      </w:pPr>
      <w:r w:rsidRPr="006F1EB3">
        <w:rPr>
          <w:rFonts w:cs="Arial"/>
          <w:szCs w:val="20"/>
        </w:rPr>
        <w:t xml:space="preserve">Frawley, H. E., Andrews, S. M., Wheeler, A. C., Nobrega, L. L., Firmino, R. C. B., da Silva, C. M., Bezerra, P., Ventura, C. V., Cavalcanti, A., Williams, J., &amp; Flax, V. L. (2024). Feeding practices and weight status of children with congenital Zika syndrome: A longitudinal study in Brazil. </w:t>
      </w:r>
      <w:r w:rsidRPr="006F1EB3">
        <w:rPr>
          <w:rFonts w:cs="Arial"/>
          <w:i/>
          <w:iCs/>
          <w:szCs w:val="20"/>
        </w:rPr>
        <w:t>Journal of pediatric gastroenterology and nutrition, 79</w:t>
      </w:r>
      <w:r w:rsidRPr="006F1EB3">
        <w:rPr>
          <w:rFonts w:cs="Arial"/>
          <w:szCs w:val="20"/>
        </w:rPr>
        <w:t xml:space="preserve">(3), 679–687. </w:t>
      </w:r>
      <w:hyperlink r:id="rId21" w:history="1">
        <w:r w:rsidR="00A97843" w:rsidRPr="006F1EB3">
          <w:rPr>
            <w:rStyle w:val="Hyperlink"/>
            <w:rFonts w:cs="Arial"/>
            <w:szCs w:val="20"/>
          </w:rPr>
          <w:t>https://doi.org/10.1002/jpn3.12304</w:t>
        </w:r>
      </w:hyperlink>
      <w:r w:rsidR="00A97843" w:rsidRPr="006F1EB3">
        <w:rPr>
          <w:rFonts w:cs="Arial"/>
          <w:szCs w:val="20"/>
        </w:rPr>
        <w:t xml:space="preserve"> </w:t>
      </w:r>
    </w:p>
    <w:p w14:paraId="625FBC27" w14:textId="468223C5" w:rsidR="00285649" w:rsidRPr="006F1EB3" w:rsidRDefault="00E6317A" w:rsidP="00A97843">
      <w:pPr>
        <w:pStyle w:val="ListParagraph"/>
        <w:numPr>
          <w:ilvl w:val="0"/>
          <w:numId w:val="3"/>
        </w:numPr>
        <w:spacing w:after="0"/>
        <w:rPr>
          <w:rFonts w:cs="Arial"/>
          <w:szCs w:val="20"/>
        </w:rPr>
      </w:pPr>
      <w:r w:rsidRPr="006F1EB3">
        <w:rPr>
          <w:rFonts w:cs="Arial"/>
          <w:szCs w:val="20"/>
        </w:rPr>
        <w:t xml:space="preserve">Moore CA, Staples JE, Dobyns WB, et al. </w:t>
      </w:r>
      <w:r w:rsidR="00285649" w:rsidRPr="006F1EB3">
        <w:rPr>
          <w:rFonts w:cs="Arial"/>
          <w:szCs w:val="20"/>
        </w:rPr>
        <w:t xml:space="preserve">Moore, C. A., Staples, J. E., Dobyns, W. B., Pessoa, A., Ventura, C. V., Fonseca, E. B., Ribeiro, E. M., Ventura, L. O., Neto, N. N., Arena, J. F., &amp; Rasmussen, S. A. (2017). Characterizing the Pattern of Anomalies in Congenital Zika Syndrome for Pediatric Clinicians. </w:t>
      </w:r>
      <w:r w:rsidR="00285649" w:rsidRPr="006F1EB3">
        <w:rPr>
          <w:rFonts w:cs="Arial"/>
          <w:i/>
          <w:iCs/>
          <w:szCs w:val="20"/>
        </w:rPr>
        <w:t>JAMA pediatrics, 171</w:t>
      </w:r>
      <w:r w:rsidR="00285649" w:rsidRPr="006F1EB3">
        <w:rPr>
          <w:rFonts w:cs="Arial"/>
          <w:szCs w:val="20"/>
        </w:rPr>
        <w:t xml:space="preserve">(3), 288–295. </w:t>
      </w:r>
      <w:hyperlink r:id="rId22" w:history="1">
        <w:r w:rsidR="00285649" w:rsidRPr="006F1EB3">
          <w:rPr>
            <w:rStyle w:val="Hyperlink"/>
            <w:rFonts w:cs="Arial"/>
            <w:szCs w:val="20"/>
          </w:rPr>
          <w:t>https://doi.org/10.1001/jamapediatrics.2016.3982</w:t>
        </w:r>
      </w:hyperlink>
      <w:r w:rsidR="00285649" w:rsidRPr="006F1EB3">
        <w:rPr>
          <w:rFonts w:cs="Arial"/>
          <w:szCs w:val="20"/>
        </w:rPr>
        <w:t xml:space="preserve"> </w:t>
      </w:r>
    </w:p>
    <w:p w14:paraId="665C0697" w14:textId="5C653B4E" w:rsidR="00A97843" w:rsidRPr="006F1EB3" w:rsidRDefault="00A97843" w:rsidP="00A97843">
      <w:pPr>
        <w:pStyle w:val="ListParagraph"/>
        <w:numPr>
          <w:ilvl w:val="0"/>
          <w:numId w:val="3"/>
        </w:numPr>
        <w:spacing w:after="0"/>
        <w:rPr>
          <w:rFonts w:cs="Arial"/>
          <w:color w:val="212121"/>
          <w:szCs w:val="20"/>
          <w:shd w:val="clear" w:color="auto" w:fill="FFFFFF"/>
        </w:rPr>
      </w:pPr>
      <w:r w:rsidRPr="006F1EB3">
        <w:rPr>
          <w:rFonts w:cs="Arial"/>
          <w:color w:val="212121"/>
          <w:szCs w:val="20"/>
          <w:shd w:val="clear" w:color="auto" w:fill="FFFFFF"/>
        </w:rPr>
        <w:t xml:space="preserve">Satterfield-Nash, A., </w:t>
      </w:r>
      <w:proofErr w:type="spellStart"/>
      <w:r w:rsidRPr="006F1EB3">
        <w:rPr>
          <w:rFonts w:cs="Arial"/>
          <w:color w:val="212121"/>
          <w:szCs w:val="20"/>
          <w:shd w:val="clear" w:color="auto" w:fill="FFFFFF"/>
        </w:rPr>
        <w:t>Kotzky</w:t>
      </w:r>
      <w:proofErr w:type="spellEnd"/>
      <w:r w:rsidRPr="006F1EB3">
        <w:rPr>
          <w:rFonts w:cs="Arial"/>
          <w:color w:val="212121"/>
          <w:szCs w:val="20"/>
          <w:shd w:val="clear" w:color="auto" w:fill="FFFFFF"/>
        </w:rPr>
        <w:t>, K., Allen, J., Bertolli, J., Moore, C. A., Pereira, I. O., Pessoa, A., Melo, F., Santelli, A. C. F. E. S., Boyle, C. A., &amp; Peacock, G. (2017). Health and Development at Age 19-24 Months of 19 Children Who Were Born with Microcephaly and Laboratory Evidence of Congenital Zika Virus Infection During the 2015 Zika Virus Outbreak - Brazil, 2017. </w:t>
      </w:r>
      <w:r w:rsidRPr="006F1EB3">
        <w:rPr>
          <w:rFonts w:cs="Arial"/>
          <w:i/>
          <w:iCs/>
          <w:color w:val="212121"/>
          <w:szCs w:val="20"/>
          <w:shd w:val="clear" w:color="auto" w:fill="FFFFFF"/>
        </w:rPr>
        <w:t>MMWR. Morbidity and mortality weekly report</w:t>
      </w:r>
      <w:r w:rsidRPr="006F1EB3">
        <w:rPr>
          <w:rFonts w:cs="Arial"/>
          <w:color w:val="212121"/>
          <w:szCs w:val="20"/>
          <w:shd w:val="clear" w:color="auto" w:fill="FFFFFF"/>
        </w:rPr>
        <w:t>, </w:t>
      </w:r>
      <w:r w:rsidRPr="006F1EB3">
        <w:rPr>
          <w:rFonts w:cs="Arial"/>
          <w:i/>
          <w:iCs/>
          <w:color w:val="212121"/>
          <w:szCs w:val="20"/>
          <w:shd w:val="clear" w:color="auto" w:fill="FFFFFF"/>
        </w:rPr>
        <w:t>66</w:t>
      </w:r>
      <w:r w:rsidRPr="006F1EB3">
        <w:rPr>
          <w:rFonts w:cs="Arial"/>
          <w:color w:val="212121"/>
          <w:szCs w:val="20"/>
          <w:shd w:val="clear" w:color="auto" w:fill="FFFFFF"/>
        </w:rPr>
        <w:t xml:space="preserve">(49), 1347–1351. </w:t>
      </w:r>
      <w:hyperlink r:id="rId23" w:history="1">
        <w:r w:rsidRPr="006F1EB3">
          <w:rPr>
            <w:rStyle w:val="Hyperlink"/>
            <w:rFonts w:cs="Arial"/>
            <w:szCs w:val="20"/>
            <w:shd w:val="clear" w:color="auto" w:fill="FFFFFF"/>
          </w:rPr>
          <w:t>https://doi.org/10.15585/mmwr.mm6649a2</w:t>
        </w:r>
      </w:hyperlink>
      <w:r w:rsidRPr="006F1EB3">
        <w:rPr>
          <w:rFonts w:cs="Arial"/>
          <w:color w:val="212121"/>
          <w:szCs w:val="20"/>
          <w:shd w:val="clear" w:color="auto" w:fill="FFFFFF"/>
        </w:rPr>
        <w:t xml:space="preserve"> </w:t>
      </w:r>
    </w:p>
    <w:p w14:paraId="61D4C845" w14:textId="77777777" w:rsidR="00E6317A" w:rsidRPr="006F1EB3" w:rsidRDefault="00E6317A" w:rsidP="00285649">
      <w:pPr>
        <w:rPr>
          <w:rFonts w:cs="Arial"/>
          <w:b/>
          <w:bCs/>
          <w:szCs w:val="20"/>
        </w:rPr>
      </w:pPr>
    </w:p>
    <w:p w14:paraId="3D273325" w14:textId="69B1B760" w:rsidR="0064135E" w:rsidRPr="006F1EB3" w:rsidRDefault="0064135E" w:rsidP="0064135E">
      <w:pPr>
        <w:jc w:val="center"/>
        <w:rPr>
          <w:rFonts w:cs="Arial"/>
          <w:b/>
          <w:bCs/>
          <w:szCs w:val="20"/>
        </w:rPr>
      </w:pPr>
      <w:r w:rsidRPr="006F1EB3">
        <w:rPr>
          <w:rFonts w:cs="Arial"/>
          <w:b/>
          <w:bCs/>
          <w:szCs w:val="20"/>
        </w:rPr>
        <w:t>Paper 4 of 4</w:t>
      </w:r>
    </w:p>
    <w:p w14:paraId="18952BCF" w14:textId="5972124B" w:rsidR="0064135E" w:rsidRPr="006F1EB3" w:rsidRDefault="0064135E" w:rsidP="0064135E">
      <w:pPr>
        <w:rPr>
          <w:rFonts w:cs="Arial"/>
          <w:szCs w:val="20"/>
        </w:rPr>
      </w:pPr>
      <w:r w:rsidRPr="006F1EB3">
        <w:rPr>
          <w:rFonts w:cs="Arial"/>
          <w:b/>
          <w:bCs/>
          <w:szCs w:val="20"/>
        </w:rPr>
        <w:t>Paper Title</w:t>
      </w:r>
      <w:r w:rsidRPr="006F1EB3">
        <w:rPr>
          <w:rFonts w:cs="Arial"/>
          <w:szCs w:val="20"/>
        </w:rPr>
        <w:t xml:space="preserve">: </w:t>
      </w:r>
      <w:r w:rsidR="0053362F" w:rsidRPr="006F1EB3">
        <w:rPr>
          <w:rFonts w:cs="Arial"/>
          <w:szCs w:val="20"/>
        </w:rPr>
        <w:t>Specificity of Early Childhood Hyperphagia Profiles in Neurogenetic Conditions</w:t>
      </w:r>
    </w:p>
    <w:p w14:paraId="2BA8898C" w14:textId="389A5864" w:rsidR="0064135E" w:rsidRPr="006F1EB3" w:rsidRDefault="0064135E" w:rsidP="0064135E">
      <w:pPr>
        <w:rPr>
          <w:rFonts w:cs="Arial"/>
          <w:szCs w:val="20"/>
        </w:rPr>
      </w:pPr>
      <w:r w:rsidRPr="006F1EB3">
        <w:rPr>
          <w:rFonts w:cs="Arial"/>
          <w:b/>
          <w:bCs/>
          <w:szCs w:val="20"/>
        </w:rPr>
        <w:lastRenderedPageBreak/>
        <w:t>Authors</w:t>
      </w:r>
      <w:r w:rsidRPr="006F1EB3">
        <w:rPr>
          <w:rFonts w:cs="Arial"/>
          <w:szCs w:val="20"/>
        </w:rPr>
        <w:t xml:space="preserve">: </w:t>
      </w:r>
      <w:r w:rsidR="0053362F" w:rsidRPr="006F1EB3">
        <w:rPr>
          <w:rFonts w:cs="Arial"/>
          <w:szCs w:val="20"/>
        </w:rPr>
        <w:t>Sara M. Andrews</w:t>
      </w:r>
      <w:r w:rsidR="0053362F" w:rsidRPr="006F1EB3">
        <w:rPr>
          <w:rFonts w:cs="Arial"/>
          <w:szCs w:val="20"/>
          <w:vertAlign w:val="superscript"/>
        </w:rPr>
        <w:t>1</w:t>
      </w:r>
      <w:r w:rsidR="0053362F" w:rsidRPr="006F1EB3">
        <w:rPr>
          <w:rFonts w:cs="Arial"/>
          <w:szCs w:val="20"/>
        </w:rPr>
        <w:t>, Anita A. Panjwani</w:t>
      </w:r>
      <w:r w:rsidR="002A64F0" w:rsidRPr="006F1EB3">
        <w:rPr>
          <w:rStyle w:val="FootnoteReference"/>
          <w:rFonts w:cs="Arial"/>
          <w:szCs w:val="20"/>
        </w:rPr>
        <w:footnoteReference w:id="7"/>
      </w:r>
      <w:r w:rsidRPr="006F1EB3">
        <w:rPr>
          <w:rFonts w:cs="Arial"/>
          <w:szCs w:val="20"/>
        </w:rPr>
        <w:t xml:space="preserve">, </w:t>
      </w:r>
      <w:r w:rsidR="0053362F" w:rsidRPr="006F1EB3">
        <w:rPr>
          <w:rFonts w:cs="Arial"/>
          <w:szCs w:val="20"/>
        </w:rPr>
        <w:t>Sara Nelson Potter</w:t>
      </w:r>
      <w:r w:rsidR="0053362F" w:rsidRPr="006F1EB3">
        <w:rPr>
          <w:rFonts w:cs="Arial"/>
          <w:szCs w:val="20"/>
          <w:vertAlign w:val="superscript"/>
        </w:rPr>
        <w:t>1</w:t>
      </w:r>
      <w:r w:rsidR="0053362F" w:rsidRPr="006F1EB3">
        <w:rPr>
          <w:rFonts w:cs="Arial"/>
          <w:szCs w:val="20"/>
        </w:rPr>
        <w:t>, Lisa R. Hamrick</w:t>
      </w:r>
      <w:r w:rsidR="00B607F1" w:rsidRPr="006F1EB3">
        <w:rPr>
          <w:rFonts w:cs="Arial"/>
          <w:szCs w:val="20"/>
          <w:vertAlign w:val="superscript"/>
        </w:rPr>
        <w:t>7</w:t>
      </w:r>
      <w:r w:rsidR="0053362F" w:rsidRPr="006F1EB3">
        <w:rPr>
          <w:rFonts w:cs="Arial"/>
          <w:szCs w:val="20"/>
        </w:rPr>
        <w:t>, Anne C. Wheeler</w:t>
      </w:r>
      <w:r w:rsidR="0053362F" w:rsidRPr="006F1EB3">
        <w:rPr>
          <w:rFonts w:cs="Arial"/>
          <w:szCs w:val="20"/>
          <w:vertAlign w:val="superscript"/>
        </w:rPr>
        <w:t>1</w:t>
      </w:r>
      <w:r w:rsidR="0053362F" w:rsidRPr="006F1EB3">
        <w:rPr>
          <w:rFonts w:cs="Arial"/>
          <w:szCs w:val="20"/>
        </w:rPr>
        <w:t>, Bridgette L. Kelleher</w:t>
      </w:r>
      <w:r w:rsidR="00B607F1" w:rsidRPr="006F1EB3">
        <w:rPr>
          <w:rFonts w:cs="Arial"/>
          <w:szCs w:val="20"/>
          <w:vertAlign w:val="superscript"/>
        </w:rPr>
        <w:t>7</w:t>
      </w:r>
      <w:r w:rsidR="0053362F" w:rsidRPr="006F1EB3">
        <w:rPr>
          <w:rFonts w:cs="Arial"/>
          <w:szCs w:val="20"/>
        </w:rPr>
        <w:t xml:space="preserve"> </w:t>
      </w:r>
    </w:p>
    <w:p w14:paraId="5FB8EFFD" w14:textId="7E775261" w:rsidR="0053362F" w:rsidRPr="006F1EB3" w:rsidRDefault="0064135E" w:rsidP="0053362F">
      <w:pPr>
        <w:rPr>
          <w:rFonts w:cs="Arial"/>
          <w:szCs w:val="20"/>
        </w:rPr>
      </w:pPr>
      <w:r w:rsidRPr="006F1EB3">
        <w:rPr>
          <w:rFonts w:cs="Arial"/>
          <w:b/>
          <w:bCs/>
          <w:szCs w:val="20"/>
        </w:rPr>
        <w:t>Introduction</w:t>
      </w:r>
      <w:r w:rsidRPr="006F1EB3">
        <w:rPr>
          <w:rFonts w:cs="Arial"/>
          <w:szCs w:val="20"/>
        </w:rPr>
        <w:t xml:space="preserve">: </w:t>
      </w:r>
      <w:r w:rsidR="0053362F" w:rsidRPr="006F1EB3">
        <w:rPr>
          <w:rFonts w:cs="Arial"/>
          <w:szCs w:val="20"/>
        </w:rPr>
        <w:t>Hyperphagia, defined as an extreme unsatisfied drive to consume food, is a concerning cause of childhood obesity associated with disruptive food-related thoughts and behaviors</w:t>
      </w:r>
      <w:r w:rsidR="00352B1C" w:rsidRPr="006F1EB3">
        <w:rPr>
          <w:rFonts w:cs="Arial"/>
          <w:szCs w:val="20"/>
        </w:rPr>
        <w:t xml:space="preserve"> (</w:t>
      </w:r>
      <w:proofErr w:type="spellStart"/>
      <w:r w:rsidR="00352B1C" w:rsidRPr="006F1EB3">
        <w:rPr>
          <w:rFonts w:cs="Arial"/>
          <w:szCs w:val="20"/>
        </w:rPr>
        <w:t>Heymsfield</w:t>
      </w:r>
      <w:proofErr w:type="spellEnd"/>
      <w:r w:rsidR="00352B1C" w:rsidRPr="006F1EB3">
        <w:rPr>
          <w:rFonts w:cs="Arial"/>
          <w:szCs w:val="20"/>
        </w:rPr>
        <w:t xml:space="preserve"> et al</w:t>
      </w:r>
      <w:r w:rsidR="00A329CA" w:rsidRPr="006F1EB3">
        <w:rPr>
          <w:rFonts w:cs="Arial"/>
          <w:szCs w:val="20"/>
        </w:rPr>
        <w:t>.,</w:t>
      </w:r>
      <w:r w:rsidR="00352B1C" w:rsidRPr="006F1EB3">
        <w:rPr>
          <w:rFonts w:cs="Arial"/>
          <w:szCs w:val="20"/>
        </w:rPr>
        <w:t xml:space="preserve"> 2014)</w:t>
      </w:r>
      <w:r w:rsidR="0053362F" w:rsidRPr="006F1EB3">
        <w:rPr>
          <w:rFonts w:cs="Arial"/>
          <w:szCs w:val="20"/>
        </w:rPr>
        <w:t>. Although once considered the defining symptom of Prader-Willi syndrome (PWS)</w:t>
      </w:r>
      <w:r w:rsidR="00036620" w:rsidRPr="006F1EB3">
        <w:rPr>
          <w:rFonts w:cs="Arial"/>
          <w:szCs w:val="20"/>
        </w:rPr>
        <w:t xml:space="preserve"> </w:t>
      </w:r>
      <w:r w:rsidR="00036620" w:rsidRPr="006F1EB3">
        <w:rPr>
          <w:rFonts w:cs="Arial"/>
          <w:szCs w:val="20"/>
        </w:rPr>
        <w:t>(</w:t>
      </w:r>
      <w:proofErr w:type="spellStart"/>
      <w:r w:rsidR="00036620" w:rsidRPr="006F1EB3">
        <w:rPr>
          <w:rFonts w:cs="Arial"/>
          <w:szCs w:val="20"/>
        </w:rPr>
        <w:t>Hodapp</w:t>
      </w:r>
      <w:proofErr w:type="spellEnd"/>
      <w:r w:rsidR="00036620" w:rsidRPr="006F1EB3">
        <w:rPr>
          <w:rFonts w:cs="Arial"/>
          <w:szCs w:val="20"/>
        </w:rPr>
        <w:t xml:space="preserve"> &amp; </w:t>
      </w:r>
      <w:proofErr w:type="spellStart"/>
      <w:r w:rsidR="00036620" w:rsidRPr="006F1EB3">
        <w:rPr>
          <w:rFonts w:cs="Arial"/>
          <w:szCs w:val="20"/>
        </w:rPr>
        <w:t>Dykens</w:t>
      </w:r>
      <w:proofErr w:type="spellEnd"/>
      <w:r w:rsidR="00036620" w:rsidRPr="006F1EB3">
        <w:rPr>
          <w:rFonts w:cs="Arial"/>
          <w:szCs w:val="20"/>
        </w:rPr>
        <w:t>, 2007</w:t>
      </w:r>
      <w:r w:rsidR="00036620" w:rsidRPr="006F1EB3">
        <w:rPr>
          <w:rFonts w:cs="Arial"/>
          <w:szCs w:val="20"/>
        </w:rPr>
        <w:t>)</w:t>
      </w:r>
      <w:r w:rsidR="0053362F" w:rsidRPr="006F1EB3">
        <w:rPr>
          <w:rFonts w:cs="Arial"/>
          <w:szCs w:val="20"/>
        </w:rPr>
        <w:t xml:space="preserve">, hyperphagia has increasingly been reported in other neurogenetic </w:t>
      </w:r>
      <w:r w:rsidR="00C14933" w:rsidRPr="006F1EB3">
        <w:rPr>
          <w:rFonts w:cs="Arial"/>
          <w:szCs w:val="20"/>
        </w:rPr>
        <w:t>conditions</w:t>
      </w:r>
      <w:r w:rsidR="0053362F" w:rsidRPr="006F1EB3">
        <w:rPr>
          <w:rFonts w:cs="Arial"/>
          <w:szCs w:val="20"/>
        </w:rPr>
        <w:t xml:space="preserve"> (NG</w:t>
      </w:r>
      <w:r w:rsidR="00C14933" w:rsidRPr="006F1EB3">
        <w:rPr>
          <w:rFonts w:cs="Arial"/>
          <w:szCs w:val="20"/>
        </w:rPr>
        <w:t>C</w:t>
      </w:r>
      <w:r w:rsidR="0053362F" w:rsidRPr="006F1EB3">
        <w:rPr>
          <w:rFonts w:cs="Arial"/>
          <w:szCs w:val="20"/>
        </w:rPr>
        <w:t>), including Angelman syndrome (AS)</w:t>
      </w:r>
      <w:r w:rsidR="00352B1C" w:rsidRPr="006F1EB3">
        <w:rPr>
          <w:rFonts w:cs="Arial"/>
          <w:szCs w:val="20"/>
        </w:rPr>
        <w:t>, with some studies reporting similar rates of symptoms in AS and PWS</w:t>
      </w:r>
      <w:r w:rsidR="00036620" w:rsidRPr="006F1EB3">
        <w:rPr>
          <w:rFonts w:cs="Arial"/>
          <w:szCs w:val="20"/>
        </w:rPr>
        <w:t xml:space="preserve"> (</w:t>
      </w:r>
      <w:r w:rsidR="00036620" w:rsidRPr="006F1EB3">
        <w:rPr>
          <w:rFonts w:cs="Arial"/>
          <w:szCs w:val="20"/>
        </w:rPr>
        <w:t>Mertz et al., 2014; Welham et al., 2015</w:t>
      </w:r>
      <w:r w:rsidR="00036620" w:rsidRPr="006F1EB3">
        <w:rPr>
          <w:rFonts w:cs="Arial"/>
          <w:szCs w:val="20"/>
        </w:rPr>
        <w:t>)</w:t>
      </w:r>
      <w:r w:rsidR="0053362F" w:rsidRPr="006F1EB3">
        <w:rPr>
          <w:rFonts w:cs="Arial"/>
          <w:szCs w:val="20"/>
        </w:rPr>
        <w:t>. However, there is limited data on hyperphagia in early childhood in neurogenetic groups. Additionally, associations between hyperphagia and other phenotypic characteristics shared by many children with NG</w:t>
      </w:r>
      <w:r w:rsidR="00C14933" w:rsidRPr="006F1EB3">
        <w:rPr>
          <w:rFonts w:cs="Arial"/>
          <w:szCs w:val="20"/>
        </w:rPr>
        <w:t>C</w:t>
      </w:r>
      <w:r w:rsidR="0053362F" w:rsidRPr="006F1EB3">
        <w:rPr>
          <w:rFonts w:cs="Arial"/>
          <w:szCs w:val="20"/>
        </w:rPr>
        <w:t xml:space="preserve">s (e.g., intellectual disability, autism symptomology, sensory sensitivity, challenging behavior) are not well understood within or across syndromes. </w:t>
      </w:r>
    </w:p>
    <w:p w14:paraId="7BB18E62" w14:textId="459A89AA" w:rsidR="0064135E" w:rsidRPr="006F1EB3" w:rsidRDefault="0053362F" w:rsidP="0053362F">
      <w:pPr>
        <w:rPr>
          <w:rFonts w:cs="Arial"/>
          <w:szCs w:val="20"/>
        </w:rPr>
      </w:pPr>
      <w:r w:rsidRPr="006F1EB3">
        <w:rPr>
          <w:rFonts w:cs="Arial"/>
          <w:szCs w:val="20"/>
        </w:rPr>
        <w:t>Establishing hyperphagia profiles in young children with NG</w:t>
      </w:r>
      <w:r w:rsidR="00C14933" w:rsidRPr="006F1EB3">
        <w:rPr>
          <w:rFonts w:cs="Arial"/>
          <w:szCs w:val="20"/>
        </w:rPr>
        <w:t>Cs</w:t>
      </w:r>
      <w:r w:rsidRPr="006F1EB3">
        <w:rPr>
          <w:rFonts w:cs="Arial"/>
          <w:szCs w:val="20"/>
        </w:rPr>
        <w:t xml:space="preserve"> may improve understanding of etiology and potential targeted interventions. </w:t>
      </w:r>
      <w:r w:rsidR="00036620" w:rsidRPr="006F1EB3">
        <w:rPr>
          <w:rFonts w:cs="Arial"/>
          <w:szCs w:val="20"/>
        </w:rPr>
        <w:t>This presentation reports on the results of our study exploring h</w:t>
      </w:r>
      <w:r w:rsidRPr="006F1EB3">
        <w:rPr>
          <w:rFonts w:cs="Arial"/>
          <w:szCs w:val="20"/>
        </w:rPr>
        <w:t>ow hyperphagic symptoms differ across NG</w:t>
      </w:r>
      <w:r w:rsidR="00C14933" w:rsidRPr="006F1EB3">
        <w:rPr>
          <w:rFonts w:cs="Arial"/>
          <w:szCs w:val="20"/>
        </w:rPr>
        <w:t>C</w:t>
      </w:r>
      <w:r w:rsidRPr="006F1EB3">
        <w:rPr>
          <w:rFonts w:cs="Arial"/>
          <w:szCs w:val="20"/>
        </w:rPr>
        <w:t>s in early childhood</w:t>
      </w:r>
      <w:r w:rsidR="00036620" w:rsidRPr="006F1EB3">
        <w:rPr>
          <w:rFonts w:cs="Arial"/>
          <w:szCs w:val="20"/>
        </w:rPr>
        <w:t xml:space="preserve"> and how</w:t>
      </w:r>
      <w:r w:rsidRPr="006F1EB3">
        <w:rPr>
          <w:rFonts w:cs="Arial"/>
          <w:szCs w:val="20"/>
        </w:rPr>
        <w:t xml:space="preserve"> hyperphagic symptoms relate to other clinical and developmental features in early childhood</w:t>
      </w:r>
      <w:r w:rsidR="00036620" w:rsidRPr="006F1EB3">
        <w:rPr>
          <w:rFonts w:cs="Arial"/>
          <w:szCs w:val="20"/>
        </w:rPr>
        <w:t>.</w:t>
      </w:r>
    </w:p>
    <w:p w14:paraId="65B02D3A" w14:textId="4C6EFFFE" w:rsidR="0064135E" w:rsidRPr="006F1EB3" w:rsidRDefault="0064135E" w:rsidP="0064135E">
      <w:pPr>
        <w:rPr>
          <w:rFonts w:cs="Arial"/>
          <w:szCs w:val="20"/>
        </w:rPr>
      </w:pPr>
      <w:r w:rsidRPr="006F1EB3">
        <w:rPr>
          <w:rFonts w:cs="Arial"/>
          <w:b/>
          <w:bCs/>
          <w:szCs w:val="20"/>
        </w:rPr>
        <w:t>Method</w:t>
      </w:r>
      <w:r w:rsidRPr="006F1EB3">
        <w:rPr>
          <w:rFonts w:cs="Arial"/>
          <w:szCs w:val="20"/>
        </w:rPr>
        <w:t xml:space="preserve">: </w:t>
      </w:r>
      <w:r w:rsidR="0067294B" w:rsidRPr="006F1EB3">
        <w:rPr>
          <w:rFonts w:cs="Arial"/>
          <w:szCs w:val="20"/>
        </w:rPr>
        <w:t>We analyzed scores from the Hyperphagia Questionnaire (HQ</w:t>
      </w:r>
      <w:r w:rsidR="00352B1C" w:rsidRPr="006F1EB3">
        <w:rPr>
          <w:rFonts w:cs="Arial"/>
          <w:szCs w:val="20"/>
        </w:rPr>
        <w:t>)</w:t>
      </w:r>
      <w:r w:rsidR="0067294B" w:rsidRPr="006F1EB3">
        <w:rPr>
          <w:rFonts w:cs="Arial"/>
          <w:szCs w:val="20"/>
        </w:rPr>
        <w:t xml:space="preserve"> and other clinical and developmental measures completed by caregivers about their 4-8-year-old children in the Purdue Early Phenotypes Study (PEPS). Children (N=99) represented three NG</w:t>
      </w:r>
      <w:r w:rsidR="00C14933" w:rsidRPr="006F1EB3">
        <w:rPr>
          <w:rFonts w:cs="Arial"/>
          <w:szCs w:val="20"/>
        </w:rPr>
        <w:t>C</w:t>
      </w:r>
      <w:r w:rsidR="0067294B" w:rsidRPr="006F1EB3">
        <w:rPr>
          <w:rFonts w:cs="Arial"/>
          <w:szCs w:val="20"/>
        </w:rPr>
        <w:t>s (AS, PWS, and Williams syndrome</w:t>
      </w:r>
      <w:r w:rsidR="00C14933" w:rsidRPr="006F1EB3">
        <w:rPr>
          <w:rFonts w:cs="Arial"/>
          <w:szCs w:val="20"/>
        </w:rPr>
        <w:t xml:space="preserve"> [WS]</w:t>
      </w:r>
      <w:r w:rsidR="0067294B" w:rsidRPr="006F1EB3">
        <w:rPr>
          <w:rFonts w:cs="Arial"/>
          <w:szCs w:val="20"/>
        </w:rPr>
        <w:t>) and a group of low-risk controls</w:t>
      </w:r>
      <w:r w:rsidR="00C14933" w:rsidRPr="006F1EB3">
        <w:rPr>
          <w:rFonts w:cs="Arial"/>
          <w:szCs w:val="20"/>
        </w:rPr>
        <w:t xml:space="preserve"> (LRC)</w:t>
      </w:r>
      <w:r w:rsidR="0067294B" w:rsidRPr="006F1EB3">
        <w:rPr>
          <w:rFonts w:cs="Arial"/>
          <w:szCs w:val="20"/>
        </w:rPr>
        <w:t xml:space="preserve">. </w:t>
      </w:r>
      <w:r w:rsidR="00C14933" w:rsidRPr="006F1EB3">
        <w:rPr>
          <w:rFonts w:cs="Arial"/>
          <w:szCs w:val="20"/>
        </w:rPr>
        <w:t>The HQ generates a Total score, where higher total represents more hyperphagic symptoms, as well as three domains: Behavior, Drive, and Severity</w:t>
      </w:r>
      <w:r w:rsidR="00352B1C" w:rsidRPr="006F1EB3">
        <w:rPr>
          <w:rFonts w:cs="Arial"/>
          <w:szCs w:val="20"/>
        </w:rPr>
        <w:t xml:space="preserve"> (</w:t>
      </w:r>
      <w:proofErr w:type="spellStart"/>
      <w:r w:rsidR="00352B1C" w:rsidRPr="006F1EB3">
        <w:rPr>
          <w:rFonts w:cs="Arial"/>
          <w:szCs w:val="20"/>
        </w:rPr>
        <w:t>Dykens</w:t>
      </w:r>
      <w:proofErr w:type="spellEnd"/>
      <w:r w:rsidR="00352B1C" w:rsidRPr="006F1EB3">
        <w:rPr>
          <w:rFonts w:cs="Arial"/>
          <w:szCs w:val="20"/>
        </w:rPr>
        <w:t xml:space="preserve"> et al., 2007)</w:t>
      </w:r>
      <w:r w:rsidR="00C14933" w:rsidRPr="006F1EB3">
        <w:rPr>
          <w:rFonts w:cs="Arial"/>
          <w:szCs w:val="20"/>
        </w:rPr>
        <w:t xml:space="preserve">. </w:t>
      </w:r>
      <w:r w:rsidR="0067294B" w:rsidRPr="006F1EB3">
        <w:rPr>
          <w:rFonts w:cs="Arial"/>
          <w:szCs w:val="20"/>
        </w:rPr>
        <w:t xml:space="preserve">We compared HQ </w:t>
      </w:r>
      <w:r w:rsidR="00C14933" w:rsidRPr="006F1EB3">
        <w:rPr>
          <w:rFonts w:cs="Arial"/>
          <w:szCs w:val="20"/>
        </w:rPr>
        <w:t xml:space="preserve">Total and domain </w:t>
      </w:r>
      <w:r w:rsidR="0067294B" w:rsidRPr="006F1EB3">
        <w:rPr>
          <w:rFonts w:cs="Arial"/>
          <w:szCs w:val="20"/>
        </w:rPr>
        <w:t>scores across the four groups</w:t>
      </w:r>
      <w:r w:rsidR="00C14933" w:rsidRPr="006F1EB3">
        <w:rPr>
          <w:rFonts w:cs="Arial"/>
          <w:szCs w:val="20"/>
        </w:rPr>
        <w:t xml:space="preserve">. We also examined </w:t>
      </w:r>
      <w:r w:rsidR="0067294B" w:rsidRPr="006F1EB3">
        <w:rPr>
          <w:rFonts w:cs="Arial"/>
          <w:szCs w:val="20"/>
        </w:rPr>
        <w:t>correlations between HQ Total scores and other clinical and developmental measures within each group and created a regression model to examine predictors of HQ Total score.</w:t>
      </w:r>
    </w:p>
    <w:p w14:paraId="32C3EC01" w14:textId="7F90DA0F" w:rsidR="0064135E" w:rsidRPr="006F1EB3" w:rsidRDefault="0064135E" w:rsidP="0064135E">
      <w:pPr>
        <w:rPr>
          <w:rFonts w:cs="Arial"/>
          <w:szCs w:val="20"/>
        </w:rPr>
      </w:pPr>
      <w:r w:rsidRPr="006F1EB3">
        <w:rPr>
          <w:rFonts w:cs="Arial"/>
          <w:b/>
          <w:bCs/>
          <w:szCs w:val="20"/>
        </w:rPr>
        <w:t>Results</w:t>
      </w:r>
      <w:r w:rsidRPr="006F1EB3">
        <w:rPr>
          <w:rFonts w:cs="Arial"/>
          <w:szCs w:val="20"/>
        </w:rPr>
        <w:t xml:space="preserve">: </w:t>
      </w:r>
      <w:r w:rsidR="0067294B" w:rsidRPr="006F1EB3">
        <w:rPr>
          <w:rFonts w:cs="Arial"/>
          <w:szCs w:val="20"/>
        </w:rPr>
        <w:t>Hyperphagic symptoms</w:t>
      </w:r>
      <w:r w:rsidR="00C14933" w:rsidRPr="006F1EB3">
        <w:rPr>
          <w:rFonts w:cs="Arial"/>
          <w:szCs w:val="20"/>
        </w:rPr>
        <w:t xml:space="preserve"> </w:t>
      </w:r>
      <w:r w:rsidR="0067294B" w:rsidRPr="006F1EB3">
        <w:rPr>
          <w:rFonts w:cs="Arial"/>
          <w:szCs w:val="20"/>
        </w:rPr>
        <w:t>varied across participants, with a range of 11-47 overall</w:t>
      </w:r>
      <w:r w:rsidR="00C14933" w:rsidRPr="006F1EB3">
        <w:rPr>
          <w:rFonts w:cs="Arial"/>
          <w:szCs w:val="20"/>
        </w:rPr>
        <w:t xml:space="preserve"> for HQ Total scores</w:t>
      </w:r>
      <w:r w:rsidR="0067294B" w:rsidRPr="006F1EB3">
        <w:rPr>
          <w:rFonts w:cs="Arial"/>
          <w:szCs w:val="20"/>
        </w:rPr>
        <w:t xml:space="preserve"> (AS: 13-37; PWS: 11-47; WS: 11-39; LRC: 11-28).</w:t>
      </w:r>
      <w:r w:rsidR="0067294B" w:rsidRPr="006F1EB3">
        <w:rPr>
          <w:rFonts w:cs="Arial"/>
          <w:szCs w:val="20"/>
        </w:rPr>
        <w:t xml:space="preserve"> </w:t>
      </w:r>
      <w:r w:rsidR="0067294B" w:rsidRPr="006F1EB3">
        <w:rPr>
          <w:rStyle w:val="normaltextrun"/>
          <w:rFonts w:cs="Arial"/>
          <w:color w:val="000000"/>
          <w:szCs w:val="20"/>
          <w:shd w:val="clear" w:color="auto" w:fill="FFFFFF"/>
        </w:rPr>
        <w:t>All NGC groups were significantly elevated in HQ Total and Behavior scores compared to LRC. Only AS and WS were significantly elevated in the Drive domain, and only PWS in the Severity domain. After controlling for externalizing behavior, HQ Total scores were higher for PWS relative to other groups.</w:t>
      </w:r>
    </w:p>
    <w:p w14:paraId="6E713001" w14:textId="06D9A176" w:rsidR="0064135E" w:rsidRPr="006F1EB3" w:rsidRDefault="0064135E" w:rsidP="0064135E">
      <w:pPr>
        <w:rPr>
          <w:rFonts w:cs="Arial"/>
          <w:szCs w:val="20"/>
        </w:rPr>
      </w:pPr>
      <w:r w:rsidRPr="006F1EB3">
        <w:rPr>
          <w:rFonts w:cs="Arial"/>
          <w:b/>
          <w:bCs/>
          <w:szCs w:val="20"/>
        </w:rPr>
        <w:t>Discussion</w:t>
      </w:r>
      <w:r w:rsidRPr="006F1EB3">
        <w:rPr>
          <w:rFonts w:cs="Arial"/>
          <w:szCs w:val="20"/>
        </w:rPr>
        <w:t xml:space="preserve">: </w:t>
      </w:r>
      <w:r w:rsidR="0067294B" w:rsidRPr="006F1EB3">
        <w:rPr>
          <w:rStyle w:val="normaltextrun"/>
          <w:rFonts w:cs="Arial"/>
          <w:color w:val="000000"/>
          <w:szCs w:val="20"/>
          <w:shd w:val="clear" w:color="auto" w:fill="FFFFFF"/>
        </w:rPr>
        <w:t>Hyperphagic symptoms may not differentiate PWS from other NGCs in early childhood. However, hyperphagic phenotypes may be most severe in PWS. Further investigation of these profiles may inform etiology and syndrome-specific treatments.</w:t>
      </w:r>
    </w:p>
    <w:p w14:paraId="074B8D0E" w14:textId="30EDD431" w:rsidR="0064135E" w:rsidRPr="006F1EB3" w:rsidRDefault="0064135E" w:rsidP="0064135E">
      <w:pPr>
        <w:rPr>
          <w:rFonts w:cs="Arial"/>
          <w:szCs w:val="20"/>
        </w:rPr>
      </w:pPr>
      <w:r w:rsidRPr="006F1EB3">
        <w:rPr>
          <w:rFonts w:cs="Arial"/>
          <w:b/>
          <w:bCs/>
          <w:szCs w:val="20"/>
        </w:rPr>
        <w:t>References</w:t>
      </w:r>
      <w:r w:rsidRPr="006F1EB3">
        <w:rPr>
          <w:rFonts w:cs="Arial"/>
          <w:szCs w:val="20"/>
        </w:rPr>
        <w:t xml:space="preserve"> </w:t>
      </w:r>
    </w:p>
    <w:p w14:paraId="3AD725C7" w14:textId="3320F114" w:rsidR="00036620" w:rsidRPr="006F1EB3" w:rsidRDefault="00036620" w:rsidP="00F92353">
      <w:pPr>
        <w:pStyle w:val="ListParagraph"/>
        <w:numPr>
          <w:ilvl w:val="0"/>
          <w:numId w:val="4"/>
        </w:numPr>
        <w:rPr>
          <w:rFonts w:cs="Arial"/>
          <w:szCs w:val="20"/>
        </w:rPr>
      </w:pPr>
      <w:proofErr w:type="spellStart"/>
      <w:r w:rsidRPr="006F1EB3">
        <w:rPr>
          <w:rFonts w:cs="Arial"/>
          <w:szCs w:val="20"/>
        </w:rPr>
        <w:t>Heymsfield</w:t>
      </w:r>
      <w:proofErr w:type="spellEnd"/>
      <w:r w:rsidRPr="006F1EB3">
        <w:rPr>
          <w:rFonts w:cs="Arial"/>
          <w:szCs w:val="20"/>
        </w:rPr>
        <w:t xml:space="preserve">, S. B., </w:t>
      </w:r>
      <w:proofErr w:type="spellStart"/>
      <w:r w:rsidRPr="006F1EB3">
        <w:rPr>
          <w:rFonts w:cs="Arial"/>
          <w:szCs w:val="20"/>
        </w:rPr>
        <w:t>Avena</w:t>
      </w:r>
      <w:proofErr w:type="spellEnd"/>
      <w:r w:rsidRPr="006F1EB3">
        <w:rPr>
          <w:rFonts w:cs="Arial"/>
          <w:szCs w:val="20"/>
        </w:rPr>
        <w:t xml:space="preserve">, N. M., Baier, L., Brantley, P., Bray, G. A., Burnett, L. C., Butler, M. G., Driscoll, D. J., </w:t>
      </w:r>
      <w:proofErr w:type="spellStart"/>
      <w:r w:rsidRPr="006F1EB3">
        <w:rPr>
          <w:rFonts w:cs="Arial"/>
          <w:szCs w:val="20"/>
        </w:rPr>
        <w:t>Egli</w:t>
      </w:r>
      <w:proofErr w:type="spellEnd"/>
      <w:r w:rsidRPr="006F1EB3">
        <w:rPr>
          <w:rFonts w:cs="Arial"/>
          <w:szCs w:val="20"/>
        </w:rPr>
        <w:t xml:space="preserve">, D., </w:t>
      </w:r>
      <w:proofErr w:type="spellStart"/>
      <w:r w:rsidRPr="006F1EB3">
        <w:rPr>
          <w:rFonts w:cs="Arial"/>
          <w:szCs w:val="20"/>
        </w:rPr>
        <w:t>Elmquist</w:t>
      </w:r>
      <w:proofErr w:type="spellEnd"/>
      <w:r w:rsidRPr="006F1EB3">
        <w:rPr>
          <w:rFonts w:cs="Arial"/>
          <w:szCs w:val="20"/>
        </w:rPr>
        <w:t xml:space="preserve">, J., Forster, J. L., Goldstone, A. P., </w:t>
      </w:r>
      <w:proofErr w:type="spellStart"/>
      <w:r w:rsidRPr="006F1EB3">
        <w:rPr>
          <w:rFonts w:cs="Arial"/>
          <w:szCs w:val="20"/>
        </w:rPr>
        <w:t>Gourash</w:t>
      </w:r>
      <w:proofErr w:type="spellEnd"/>
      <w:r w:rsidRPr="006F1EB3">
        <w:rPr>
          <w:rFonts w:cs="Arial"/>
          <w:szCs w:val="20"/>
        </w:rPr>
        <w:t xml:space="preserve">, L. M., Greenway, F. L., Han, J. C., Kane, J. G., </w:t>
      </w:r>
      <w:r w:rsidRPr="006F1EB3">
        <w:rPr>
          <w:rFonts w:cs="Arial"/>
          <w:szCs w:val="20"/>
        </w:rPr>
        <w:lastRenderedPageBreak/>
        <w:t xml:space="preserve">Leibel, R. L., Loos, R. J., Scheimann, A. O., Roth, C. L., … Zinn, A. R. (2014). Hyperphagia: current concepts and future directions proceedings of the 2nd international conference on hyperphagia. </w:t>
      </w:r>
      <w:r w:rsidRPr="006F1EB3">
        <w:rPr>
          <w:rFonts w:cs="Arial"/>
          <w:i/>
          <w:iCs/>
          <w:szCs w:val="20"/>
        </w:rPr>
        <w:t>Obesity (Silver Spring, Md.), 22 Suppl 1</w:t>
      </w:r>
      <w:r w:rsidRPr="006F1EB3">
        <w:rPr>
          <w:rFonts w:cs="Arial"/>
          <w:szCs w:val="20"/>
        </w:rPr>
        <w:t xml:space="preserve">(0 1), S1–S17. </w:t>
      </w:r>
      <w:hyperlink r:id="rId24" w:history="1">
        <w:r w:rsidRPr="006F1EB3">
          <w:rPr>
            <w:rStyle w:val="Hyperlink"/>
            <w:rFonts w:cs="Arial"/>
            <w:szCs w:val="20"/>
          </w:rPr>
          <w:t>https://doi.org/10.1002/oby.20646</w:t>
        </w:r>
      </w:hyperlink>
      <w:r w:rsidRPr="006F1EB3">
        <w:rPr>
          <w:rFonts w:cs="Arial"/>
          <w:szCs w:val="20"/>
        </w:rPr>
        <w:t xml:space="preserve"> </w:t>
      </w:r>
    </w:p>
    <w:p w14:paraId="43A9F173" w14:textId="7A98C3EA" w:rsidR="00036620" w:rsidRPr="006F1EB3" w:rsidRDefault="00036620" w:rsidP="00F92353">
      <w:pPr>
        <w:pStyle w:val="ListParagraph"/>
        <w:numPr>
          <w:ilvl w:val="0"/>
          <w:numId w:val="4"/>
        </w:numPr>
        <w:rPr>
          <w:rFonts w:cs="Arial"/>
          <w:szCs w:val="20"/>
        </w:rPr>
      </w:pPr>
      <w:proofErr w:type="spellStart"/>
      <w:r w:rsidRPr="006F1EB3">
        <w:rPr>
          <w:rFonts w:cs="Arial"/>
          <w:szCs w:val="20"/>
        </w:rPr>
        <w:t>Hodapp</w:t>
      </w:r>
      <w:proofErr w:type="spellEnd"/>
      <w:r w:rsidRPr="006F1EB3">
        <w:rPr>
          <w:rFonts w:cs="Arial"/>
          <w:szCs w:val="20"/>
        </w:rPr>
        <w:t xml:space="preserve">, R., &amp; </w:t>
      </w:r>
      <w:proofErr w:type="spellStart"/>
      <w:r w:rsidRPr="006F1EB3">
        <w:rPr>
          <w:rFonts w:cs="Arial"/>
          <w:szCs w:val="20"/>
        </w:rPr>
        <w:t>Dykens</w:t>
      </w:r>
      <w:proofErr w:type="spellEnd"/>
      <w:r w:rsidRPr="006F1EB3">
        <w:rPr>
          <w:rFonts w:cs="Arial"/>
          <w:szCs w:val="20"/>
        </w:rPr>
        <w:t xml:space="preserve">, E. (2007). </w:t>
      </w:r>
      <w:proofErr w:type="spellStart"/>
      <w:r w:rsidRPr="006F1EB3">
        <w:rPr>
          <w:rFonts w:cs="Arial"/>
          <w:szCs w:val="20"/>
        </w:rPr>
        <w:t>Behavioural</w:t>
      </w:r>
      <w:proofErr w:type="spellEnd"/>
      <w:r w:rsidRPr="006F1EB3">
        <w:rPr>
          <w:rFonts w:cs="Arial"/>
          <w:szCs w:val="20"/>
        </w:rPr>
        <w:t xml:space="preserve"> phenotypes: Growing understandings of psychiatric disorders in individuals with intellectual disabilities. </w:t>
      </w:r>
      <w:r w:rsidRPr="006F1EB3">
        <w:rPr>
          <w:rFonts w:cs="Arial"/>
          <w:i/>
          <w:iCs/>
          <w:szCs w:val="20"/>
        </w:rPr>
        <w:t xml:space="preserve">Psychiatric and </w:t>
      </w:r>
      <w:proofErr w:type="spellStart"/>
      <w:r w:rsidRPr="006F1EB3">
        <w:rPr>
          <w:rFonts w:cs="Arial"/>
          <w:i/>
          <w:iCs/>
          <w:szCs w:val="20"/>
        </w:rPr>
        <w:t>Behavioural</w:t>
      </w:r>
      <w:proofErr w:type="spellEnd"/>
      <w:r w:rsidRPr="006F1EB3">
        <w:rPr>
          <w:rFonts w:cs="Arial"/>
          <w:i/>
          <w:iCs/>
          <w:szCs w:val="20"/>
        </w:rPr>
        <w:t xml:space="preserve"> Disorders in Intellectual and Developmental Disabilities</w:t>
      </w:r>
      <w:r w:rsidRPr="006F1EB3">
        <w:rPr>
          <w:rFonts w:cs="Arial"/>
          <w:szCs w:val="20"/>
        </w:rPr>
        <w:t xml:space="preserve">, 202–214. </w:t>
      </w:r>
      <w:hyperlink r:id="rId25" w:history="1">
        <w:r w:rsidRPr="006F1EB3">
          <w:rPr>
            <w:rStyle w:val="Hyperlink"/>
            <w:rFonts w:cs="Arial"/>
            <w:szCs w:val="20"/>
          </w:rPr>
          <w:t>https://doi.org/10.1017/CBO9780511543616.013</w:t>
        </w:r>
      </w:hyperlink>
      <w:r w:rsidRPr="006F1EB3">
        <w:rPr>
          <w:rFonts w:cs="Arial"/>
          <w:szCs w:val="20"/>
        </w:rPr>
        <w:t xml:space="preserve"> </w:t>
      </w:r>
      <w:r w:rsidRPr="006F1EB3">
        <w:rPr>
          <w:rFonts w:cs="Arial"/>
          <w:szCs w:val="20"/>
        </w:rPr>
        <w:t xml:space="preserve"> </w:t>
      </w:r>
    </w:p>
    <w:p w14:paraId="3B9B5888" w14:textId="77E526BC" w:rsidR="00036620" w:rsidRPr="006F1EB3" w:rsidRDefault="00036620" w:rsidP="00F92353">
      <w:pPr>
        <w:pStyle w:val="ListParagraph"/>
        <w:numPr>
          <w:ilvl w:val="0"/>
          <w:numId w:val="4"/>
        </w:numPr>
        <w:rPr>
          <w:rFonts w:cs="Arial"/>
          <w:szCs w:val="20"/>
        </w:rPr>
      </w:pPr>
      <w:r w:rsidRPr="006F1EB3">
        <w:rPr>
          <w:rFonts w:cs="Arial"/>
          <w:szCs w:val="20"/>
        </w:rPr>
        <w:t xml:space="preserve">Mertz, L. G., Christensen, R., Vogel, I., Hertz, J. M., &amp; </w:t>
      </w:r>
      <w:proofErr w:type="spellStart"/>
      <w:r w:rsidRPr="006F1EB3">
        <w:rPr>
          <w:rFonts w:cs="Arial"/>
          <w:szCs w:val="20"/>
        </w:rPr>
        <w:t>Østergaard</w:t>
      </w:r>
      <w:proofErr w:type="spellEnd"/>
      <w:r w:rsidRPr="006F1EB3">
        <w:rPr>
          <w:rFonts w:cs="Arial"/>
          <w:szCs w:val="20"/>
        </w:rPr>
        <w:t xml:space="preserve">, J. R. (2014). Eating behavior, prenatal and postnatal growth in Angelman syndrome. </w:t>
      </w:r>
      <w:r w:rsidRPr="006F1EB3">
        <w:rPr>
          <w:rFonts w:cs="Arial"/>
          <w:i/>
          <w:iCs/>
          <w:szCs w:val="20"/>
        </w:rPr>
        <w:t>Research in Developmental Disabilities, 35</w:t>
      </w:r>
      <w:r w:rsidRPr="006F1EB3">
        <w:rPr>
          <w:rFonts w:cs="Arial"/>
          <w:szCs w:val="20"/>
        </w:rPr>
        <w:t xml:space="preserve">(11), 2681–2690. </w:t>
      </w:r>
      <w:hyperlink r:id="rId26" w:history="1">
        <w:r w:rsidRPr="006F1EB3">
          <w:rPr>
            <w:rStyle w:val="Hyperlink"/>
            <w:rFonts w:cs="Arial"/>
            <w:szCs w:val="20"/>
          </w:rPr>
          <w:t>https://doi.org/10.1016/j.ridd.2014.07.025</w:t>
        </w:r>
      </w:hyperlink>
      <w:r w:rsidRPr="006F1EB3">
        <w:rPr>
          <w:rFonts w:cs="Arial"/>
          <w:szCs w:val="20"/>
        </w:rPr>
        <w:t xml:space="preserve"> </w:t>
      </w:r>
    </w:p>
    <w:p w14:paraId="51A83B88" w14:textId="7E1C6685" w:rsidR="00036620" w:rsidRPr="006F1EB3" w:rsidRDefault="00036620" w:rsidP="00F92353">
      <w:pPr>
        <w:pStyle w:val="ListParagraph"/>
        <w:numPr>
          <w:ilvl w:val="0"/>
          <w:numId w:val="4"/>
        </w:numPr>
        <w:rPr>
          <w:rFonts w:cs="Arial"/>
          <w:szCs w:val="20"/>
        </w:rPr>
      </w:pPr>
      <w:r w:rsidRPr="006F1EB3">
        <w:rPr>
          <w:rFonts w:cs="Arial"/>
          <w:szCs w:val="20"/>
        </w:rPr>
        <w:t xml:space="preserve">Welham, A., Lau, J. K. L., Moss, J., Cullen, J., Higgs, S., Warren, G., Wilde, L., Marr, A., Cook, F., &amp; Oliver, C. (2015). Are Angelman and Prader-Willi syndromes more similar than we thought? Food-related behavior problems in Angelman, Cornelia de Lange, Fragile X, Prader-Willi and 1p36 deletion syndromes. </w:t>
      </w:r>
      <w:r w:rsidRPr="006F1EB3">
        <w:rPr>
          <w:rFonts w:cs="Arial"/>
          <w:i/>
          <w:iCs/>
          <w:szCs w:val="20"/>
        </w:rPr>
        <w:t>American Journal of Medical Genetics Part A, 167</w:t>
      </w:r>
      <w:r w:rsidRPr="006F1EB3">
        <w:rPr>
          <w:rFonts w:cs="Arial"/>
          <w:szCs w:val="20"/>
        </w:rPr>
        <w:t xml:space="preserve">(3), 572–578. </w:t>
      </w:r>
      <w:hyperlink r:id="rId27" w:history="1">
        <w:r w:rsidRPr="006F1EB3">
          <w:rPr>
            <w:rStyle w:val="Hyperlink"/>
            <w:rFonts w:cs="Arial"/>
            <w:szCs w:val="20"/>
          </w:rPr>
          <w:t>https://doi.org/10.1002/ajmg.a.36923</w:t>
        </w:r>
      </w:hyperlink>
      <w:r w:rsidRPr="006F1EB3">
        <w:rPr>
          <w:rFonts w:cs="Arial"/>
          <w:szCs w:val="20"/>
        </w:rPr>
        <w:t xml:space="preserve"> </w:t>
      </w:r>
    </w:p>
    <w:p w14:paraId="43F37D1A" w14:textId="77777777" w:rsidR="0064135E" w:rsidRPr="006F1EB3" w:rsidRDefault="0064135E" w:rsidP="009B17A1">
      <w:pPr>
        <w:rPr>
          <w:rFonts w:cs="Arial"/>
          <w:szCs w:val="20"/>
        </w:rPr>
      </w:pPr>
    </w:p>
    <w:sectPr w:rsidR="0064135E" w:rsidRPr="006F1EB3" w:rsidSect="00F01EB9">
      <w:headerReference w:type="even" r:id="rId28"/>
      <w:headerReference w:type="default" r:id="rId29"/>
      <w:footerReference w:type="even" r:id="rId30"/>
      <w:footerReference w:type="default" r:id="rId31"/>
      <w:headerReference w:type="first" r:id="rId32"/>
      <w:footerReference w:type="first" r:id="rId33"/>
      <w:endnotePr>
        <w:numFmt w:val="decimal"/>
      </w:endnotePr>
      <w:pgSz w:w="12240" w:h="15840"/>
      <w:pgMar w:top="1440" w:right="864" w:bottom="144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5BB43" w14:textId="77777777" w:rsidR="00E5054D" w:rsidRDefault="00E5054D" w:rsidP="00F01EB9">
      <w:pPr>
        <w:spacing w:after="0" w:line="240" w:lineRule="auto"/>
      </w:pPr>
      <w:r>
        <w:separator/>
      </w:r>
    </w:p>
  </w:endnote>
  <w:endnote w:type="continuationSeparator" w:id="0">
    <w:p w14:paraId="5CE52BAA" w14:textId="77777777" w:rsidR="00E5054D" w:rsidRDefault="00E5054D" w:rsidP="00F01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Kefa">
    <w:altName w:val="Nyala"/>
    <w:charset w:val="00"/>
    <w:family w:val="auto"/>
    <w:pitch w:val="variable"/>
    <w:sig w:usb0="800000AF" w:usb1="4000204B" w:usb2="000008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C7DB8" w14:textId="77777777" w:rsidR="00EA77BA" w:rsidRDefault="00EA77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3C01" w14:textId="77777777" w:rsidR="00F01EB9" w:rsidRPr="00F361B2" w:rsidRDefault="00000000" w:rsidP="00F01EB9">
    <w:pPr>
      <w:pStyle w:val="Footer"/>
      <w:jc w:val="center"/>
      <w:rPr>
        <w:b/>
        <w:szCs w:val="20"/>
      </w:rPr>
    </w:pPr>
    <w:sdt>
      <w:sdtPr>
        <w:rPr>
          <w:b/>
        </w:rPr>
        <w:id w:val="-1669238322"/>
        <w:docPartObj>
          <w:docPartGallery w:val="Page Numbers (Top of Page)"/>
          <w:docPartUnique/>
        </w:docPartObj>
      </w:sdtPr>
      <w:sdtContent>
        <w:r w:rsidR="00F01EB9" w:rsidRPr="00F361B2">
          <w:rPr>
            <w:b/>
            <w:szCs w:val="20"/>
          </w:rPr>
          <w:t xml:space="preserve">Page </w:t>
        </w:r>
        <w:r w:rsidR="00F01EB9" w:rsidRPr="00F361B2">
          <w:rPr>
            <w:b/>
            <w:bCs/>
          </w:rPr>
          <w:fldChar w:fldCharType="begin"/>
        </w:r>
        <w:r w:rsidR="00F01EB9" w:rsidRPr="00F361B2">
          <w:rPr>
            <w:b/>
            <w:bCs/>
          </w:rPr>
          <w:instrText xml:space="preserve"> PAGE </w:instrText>
        </w:r>
        <w:r w:rsidR="00F01EB9" w:rsidRPr="00F361B2">
          <w:rPr>
            <w:b/>
            <w:bCs/>
          </w:rPr>
          <w:fldChar w:fldCharType="separate"/>
        </w:r>
        <w:r w:rsidR="00F01EB9">
          <w:rPr>
            <w:b/>
            <w:bCs/>
          </w:rPr>
          <w:t>1</w:t>
        </w:r>
        <w:r w:rsidR="00F01EB9" w:rsidRPr="00F361B2">
          <w:rPr>
            <w:b/>
            <w:bCs/>
          </w:rPr>
          <w:fldChar w:fldCharType="end"/>
        </w:r>
        <w:r w:rsidR="00F01EB9" w:rsidRPr="00F361B2">
          <w:rPr>
            <w:b/>
            <w:szCs w:val="20"/>
          </w:rPr>
          <w:t xml:space="preserve"> of </w:t>
        </w:r>
        <w:r w:rsidR="00F01EB9" w:rsidRPr="00F361B2">
          <w:rPr>
            <w:b/>
            <w:bCs/>
          </w:rPr>
          <w:fldChar w:fldCharType="begin"/>
        </w:r>
        <w:r w:rsidR="00F01EB9" w:rsidRPr="00F361B2">
          <w:rPr>
            <w:b/>
            <w:bCs/>
          </w:rPr>
          <w:instrText xml:space="preserve"> NUMPAGES  </w:instrText>
        </w:r>
        <w:r w:rsidR="00F01EB9" w:rsidRPr="00F361B2">
          <w:rPr>
            <w:b/>
            <w:bCs/>
          </w:rPr>
          <w:fldChar w:fldCharType="separate"/>
        </w:r>
        <w:r w:rsidR="00F01EB9">
          <w:rPr>
            <w:b/>
            <w:bCs/>
          </w:rPr>
          <w:t>2</w:t>
        </w:r>
        <w:r w:rsidR="00F01EB9" w:rsidRPr="00F361B2">
          <w:rPr>
            <w:b/>
            <w:bCs/>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FC42" w14:textId="77777777" w:rsidR="00EA77BA" w:rsidRDefault="00EA77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26DA1" w14:textId="77777777" w:rsidR="00E5054D" w:rsidRDefault="00E5054D" w:rsidP="00F01EB9">
      <w:pPr>
        <w:spacing w:after="0" w:line="240" w:lineRule="auto"/>
      </w:pPr>
      <w:r>
        <w:separator/>
      </w:r>
    </w:p>
  </w:footnote>
  <w:footnote w:type="continuationSeparator" w:id="0">
    <w:p w14:paraId="4E2D8BA8" w14:textId="77777777" w:rsidR="00E5054D" w:rsidRDefault="00E5054D" w:rsidP="00F01EB9">
      <w:pPr>
        <w:spacing w:after="0" w:line="240" w:lineRule="auto"/>
      </w:pPr>
      <w:r>
        <w:continuationSeparator/>
      </w:r>
    </w:p>
  </w:footnote>
  <w:footnote w:id="1">
    <w:p w14:paraId="26A91D14" w14:textId="5FF5603A" w:rsidR="0064135E" w:rsidRDefault="0064135E">
      <w:pPr>
        <w:pStyle w:val="FootnoteText"/>
      </w:pPr>
      <w:r>
        <w:rPr>
          <w:rStyle w:val="FootnoteReference"/>
        </w:rPr>
        <w:footnoteRef/>
      </w:r>
      <w:r>
        <w:t xml:space="preserve"> </w:t>
      </w:r>
      <w:r w:rsidR="00037B99">
        <w:t>RTI International</w:t>
      </w:r>
    </w:p>
  </w:footnote>
  <w:footnote w:id="2">
    <w:p w14:paraId="470A6345" w14:textId="617AE3AE" w:rsidR="002A64F0" w:rsidRDefault="002A64F0">
      <w:pPr>
        <w:pStyle w:val="FootnoteText"/>
      </w:pPr>
      <w:r>
        <w:rPr>
          <w:rStyle w:val="FootnoteReference"/>
        </w:rPr>
        <w:footnoteRef/>
      </w:r>
      <w:r>
        <w:t xml:space="preserve"> </w:t>
      </w:r>
      <w:r w:rsidR="006E2965" w:rsidRPr="006E2965">
        <w:t>University of California San Diego</w:t>
      </w:r>
      <w:r w:rsidR="00B928B0">
        <w:t>/Rady Children’s Hospital</w:t>
      </w:r>
    </w:p>
  </w:footnote>
  <w:footnote w:id="3">
    <w:p w14:paraId="367F0393" w14:textId="217633DA" w:rsidR="002A64F0" w:rsidRDefault="002A64F0">
      <w:pPr>
        <w:pStyle w:val="FootnoteText"/>
      </w:pPr>
      <w:r>
        <w:rPr>
          <w:rStyle w:val="FootnoteReference"/>
        </w:rPr>
        <w:footnoteRef/>
      </w:r>
      <w:r>
        <w:t xml:space="preserve"> </w:t>
      </w:r>
      <w:r w:rsidR="00F626D2">
        <w:rPr>
          <w:rFonts w:eastAsia="Times New Roman"/>
        </w:rPr>
        <w:t>Department of Molecular Pathobiology, College of Dentistry, New York University (NYU)</w:t>
      </w:r>
    </w:p>
  </w:footnote>
  <w:footnote w:id="4">
    <w:p w14:paraId="7FFA5795" w14:textId="4AB44A35" w:rsidR="002A64F0" w:rsidRDefault="002A64F0">
      <w:pPr>
        <w:pStyle w:val="FootnoteText"/>
      </w:pPr>
      <w:r>
        <w:rPr>
          <w:rStyle w:val="FootnoteReference"/>
        </w:rPr>
        <w:footnoteRef/>
      </w:r>
      <w:r>
        <w:t xml:space="preserve"> </w:t>
      </w:r>
      <w:r w:rsidR="00F626D2">
        <w:rPr>
          <w:rFonts w:eastAsia="Times New Roman"/>
        </w:rPr>
        <w:t>NYU Grossman School of Medicine</w:t>
      </w:r>
    </w:p>
  </w:footnote>
  <w:footnote w:id="5">
    <w:p w14:paraId="42E7E06D" w14:textId="77777777" w:rsidR="00AD1D6C" w:rsidRDefault="00AD1D6C" w:rsidP="00AD1D6C">
      <w:pPr>
        <w:pStyle w:val="FootnoteText"/>
      </w:pPr>
      <w:r>
        <w:rPr>
          <w:rStyle w:val="FootnoteReference"/>
        </w:rPr>
        <w:footnoteRef/>
      </w:r>
      <w:r>
        <w:t xml:space="preserve"> Boston Children's Hospital</w:t>
      </w:r>
    </w:p>
  </w:footnote>
  <w:footnote w:id="6">
    <w:p w14:paraId="05465735" w14:textId="4852A3A1" w:rsidR="002A64F0" w:rsidRDefault="002A64F0">
      <w:pPr>
        <w:pStyle w:val="FootnoteText"/>
      </w:pPr>
      <w:r>
        <w:rPr>
          <w:rStyle w:val="FootnoteReference"/>
        </w:rPr>
        <w:footnoteRef/>
      </w:r>
      <w:r>
        <w:t xml:space="preserve"> </w:t>
      </w:r>
      <w:r w:rsidR="00E6317A">
        <w:t>Altin</w:t>
      </w:r>
      <w:r w:rsidR="00A97843">
        <w:t>o</w:t>
      </w:r>
      <w:r w:rsidR="00E6317A">
        <w:t xml:space="preserve"> Ventura Foundation</w:t>
      </w:r>
    </w:p>
  </w:footnote>
  <w:footnote w:id="7">
    <w:p w14:paraId="5F23EA42" w14:textId="35C0DFF3" w:rsidR="002A64F0" w:rsidRDefault="002A64F0">
      <w:pPr>
        <w:pStyle w:val="FootnoteText"/>
      </w:pPr>
      <w:r>
        <w:rPr>
          <w:rStyle w:val="FootnoteReference"/>
        </w:rPr>
        <w:footnoteRef/>
      </w:r>
      <w:r>
        <w:t xml:space="preserve"> </w:t>
      </w:r>
      <w:r w:rsidR="00352B1C">
        <w:t>Purdue University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ABD73" w14:textId="77777777" w:rsidR="00EA77BA" w:rsidRDefault="00EA77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4FE1F" w14:textId="2B4F3B86" w:rsidR="00F01EB9" w:rsidRDefault="00EA77BA" w:rsidP="00F01EB9">
    <w:pPr>
      <w:pStyle w:val="Header"/>
    </w:pPr>
    <w:r>
      <w:rPr>
        <w:noProof/>
      </w:rPr>
      <mc:AlternateContent>
        <mc:Choice Requires="wps">
          <w:drawing>
            <wp:anchor distT="0" distB="0" distL="114300" distR="114300" simplePos="0" relativeHeight="251659264" behindDoc="0" locked="0" layoutInCell="1" allowOverlap="1" wp14:anchorId="19AB5428" wp14:editId="556952A5">
              <wp:simplePos x="0" y="0"/>
              <wp:positionH relativeFrom="column">
                <wp:posOffset>-9467</wp:posOffset>
              </wp:positionH>
              <wp:positionV relativeFrom="paragraph">
                <wp:posOffset>-188191</wp:posOffset>
              </wp:positionV>
              <wp:extent cx="5371690" cy="349448"/>
              <wp:effectExtent l="12700" t="12700" r="13335" b="19050"/>
              <wp:wrapNone/>
              <wp:docPr id="226"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1690" cy="349448"/>
                      </a:xfrm>
                      <a:prstGeom prst="rect">
                        <a:avLst/>
                      </a:prstGeom>
                      <a:noFill/>
                      <a:ln w="25400">
                        <a:solidFill>
                          <a:srgbClr val="444C6A"/>
                        </a:solidFill>
                        <a:miter lim="800000"/>
                        <a:headEnd/>
                        <a:tailEnd/>
                      </a:ln>
                    </wps:spPr>
                    <wps:txbx>
                      <w:txbxContent>
                        <w:sdt>
                          <w:sdtPr>
                            <w:rPr>
                              <w:rFonts w:ascii="Kefa" w:hAnsi="Kefa"/>
                              <w:b/>
                              <w:color w:val="444C6A"/>
                              <w:sz w:val="32"/>
                              <w:szCs w:val="32"/>
                            </w:rPr>
                            <w:alias w:val="Title"/>
                            <w:id w:val="-1038195335"/>
                            <w:dataBinding w:prefixMappings="xmlns:ns0='http://schemas.openxmlformats.org/package/2006/metadata/core-properties' xmlns:ns1='http://purl.org/dc/elements/1.1/'" w:xpath="/ns0:coreProperties[1]/ns1:title[1]" w:storeItemID="{6C3C8BC8-F283-45AE-878A-BAB7291924A1}"/>
                            <w:text/>
                          </w:sdtPr>
                          <w:sdtContent>
                            <w:p w14:paraId="7F79B6D2" w14:textId="089F5A05" w:rsidR="00F01EB9" w:rsidRPr="00163A52" w:rsidRDefault="00EA77BA" w:rsidP="00F01EB9">
                              <w:pPr>
                                <w:pStyle w:val="Header"/>
                                <w:rPr>
                                  <w:rFonts w:ascii="Kefa" w:hAnsi="Kefa"/>
                                  <w:b/>
                                  <w:color w:val="444C6A"/>
                                  <w:sz w:val="32"/>
                                  <w:szCs w:val="32"/>
                                </w:rPr>
                              </w:pPr>
                              <w:r>
                                <w:rPr>
                                  <w:rFonts w:ascii="Kefa" w:hAnsi="Kefa"/>
                                  <w:b/>
                                  <w:color w:val="444C6A"/>
                                  <w:sz w:val="32"/>
                                  <w:szCs w:val="32"/>
                                </w:rPr>
                                <w:t>2024 Gatlinburg Conference Symposium Submission</w:t>
                              </w:r>
                            </w:p>
                          </w:sdtContent>
                        </w:sdt>
                      </w:txbxContent>
                    </wps:txbx>
                    <wps:bodyPr rot="0" vert="horz" wrap="square" lIns="91440" tIns="45720" rIns="91440" bIns="45720" anchor="ctr" anchorCtr="0" upright="1">
                      <a:noAutofit/>
                    </wps:bodyPr>
                  </wps:wsp>
                </a:graphicData>
              </a:graphic>
            </wp:anchor>
          </w:drawing>
        </mc:Choice>
        <mc:Fallback>
          <w:pict>
            <v:rect w14:anchorId="19AB5428" id="Rectangle 197" o:spid="_x0000_s1026" style="position:absolute;margin-left:-.75pt;margin-top:-14.8pt;width:422.95pt;height:2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" filled="f" strokecolor="#444c6a" strokeweight="2pt">
              <v:textbox>
                <w:txbxContent>
                  <w:sdt>
                    <w:sdtPr>
                      <w:rPr>
                        <w:rFonts w:ascii="Kefa" w:hAnsi="Kefa"/>
                        <w:b/>
                        <w:color w:val="444C6A"/>
                        <w:sz w:val="32"/>
                        <w:szCs w:val="32"/>
                      </w:rPr>
                      <w:alias w:val="Title"/>
                      <w:id w:val="-1038195335"/>
                      <w:dataBinding w:prefixMappings="xmlns:ns0='http://schemas.openxmlformats.org/package/2006/metadata/core-properties' xmlns:ns1='http://purl.org/dc/elements/1.1/'" w:xpath="/ns0:coreProperties[1]/ns1:title[1]" w:storeItemID="{6C3C8BC8-F283-45AE-878A-BAB7291924A1}"/>
                      <w:text/>
                    </w:sdtPr>
                    <w:sdtContent>
                      <w:p w14:paraId="7F79B6D2" w14:textId="089F5A05" w:rsidR="00F01EB9" w:rsidRPr="00163A52" w:rsidRDefault="00EA77BA" w:rsidP="00F01EB9">
                        <w:pPr>
                          <w:pStyle w:val="Header"/>
                          <w:rPr>
                            <w:rFonts w:ascii="Kefa" w:hAnsi="Kefa"/>
                            <w:b/>
                            <w:color w:val="444C6A"/>
                            <w:sz w:val="32"/>
                            <w:szCs w:val="32"/>
                          </w:rPr>
                        </w:pPr>
                        <w:r>
                          <w:rPr>
                            <w:rFonts w:ascii="Kefa" w:hAnsi="Kefa"/>
                            <w:b/>
                            <w:color w:val="444C6A"/>
                            <w:sz w:val="32"/>
                            <w:szCs w:val="32"/>
                          </w:rPr>
                          <w:t>2024 Gatlinburg Conference Symposium Submission</w:t>
                        </w:r>
                      </w:p>
                    </w:sdtContent>
                  </w:sdt>
                </w:txbxContent>
              </v:textbox>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F2BE1" w14:textId="77777777" w:rsidR="00EA77BA" w:rsidRDefault="00EA77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A71D7"/>
    <w:multiLevelType w:val="hybridMultilevel"/>
    <w:tmpl w:val="DFFE9828"/>
    <w:lvl w:ilvl="0" w:tplc="27AEAEAE">
      <w:start w:val="1"/>
      <w:numFmt w:val="decimal"/>
      <w:lvlText w:val="%1."/>
      <w:lvlJc w:val="left"/>
      <w:pPr>
        <w:ind w:left="720" w:hanging="360"/>
      </w:pPr>
      <w:rPr>
        <w:rFonts w:hint="default"/>
        <w:color w:val="2121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FD92E31"/>
    <w:multiLevelType w:val="hybridMultilevel"/>
    <w:tmpl w:val="E262659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612762B8"/>
    <w:multiLevelType w:val="hybridMultilevel"/>
    <w:tmpl w:val="B8ECB786"/>
    <w:lvl w:ilvl="0" w:tplc="0D3CF95A">
      <w:start w:val="1"/>
      <w:numFmt w:val="decimal"/>
      <w:lvlText w:val="%1."/>
      <w:lvlJc w:val="left"/>
      <w:pPr>
        <w:ind w:left="360" w:hanging="360"/>
      </w:pPr>
      <w:rPr>
        <w:rFonts w:hint="default"/>
        <w:color w:val="2121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FE33598"/>
    <w:multiLevelType w:val="hybridMultilevel"/>
    <w:tmpl w:val="A44436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7DB55B4E"/>
    <w:multiLevelType w:val="hybridMultilevel"/>
    <w:tmpl w:val="0398294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16cid:durableId="8545417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1977923">
    <w:abstractNumId w:val="1"/>
  </w:num>
  <w:num w:numId="3" w16cid:durableId="1203206996">
    <w:abstractNumId w:val="0"/>
  </w:num>
  <w:num w:numId="4" w16cid:durableId="1670132055">
    <w:abstractNumId w:val="2"/>
  </w:num>
  <w:num w:numId="5" w16cid:durableId="20131396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627"/>
    <w:rsid w:val="00036620"/>
    <w:rsid w:val="00037B99"/>
    <w:rsid w:val="00115D14"/>
    <w:rsid w:val="00163A52"/>
    <w:rsid w:val="001C6F6A"/>
    <w:rsid w:val="002755F9"/>
    <w:rsid w:val="00285649"/>
    <w:rsid w:val="002A64F0"/>
    <w:rsid w:val="002E7019"/>
    <w:rsid w:val="002F3DFB"/>
    <w:rsid w:val="003249B1"/>
    <w:rsid w:val="00352B1C"/>
    <w:rsid w:val="00373627"/>
    <w:rsid w:val="003E0F87"/>
    <w:rsid w:val="004047B0"/>
    <w:rsid w:val="00513E98"/>
    <w:rsid w:val="0053362F"/>
    <w:rsid w:val="00592497"/>
    <w:rsid w:val="0064135E"/>
    <w:rsid w:val="0064369F"/>
    <w:rsid w:val="0067294B"/>
    <w:rsid w:val="006E2965"/>
    <w:rsid w:val="006F1EB3"/>
    <w:rsid w:val="0076775C"/>
    <w:rsid w:val="007B5928"/>
    <w:rsid w:val="007D1618"/>
    <w:rsid w:val="00824CB9"/>
    <w:rsid w:val="008557B1"/>
    <w:rsid w:val="008A647B"/>
    <w:rsid w:val="009131E6"/>
    <w:rsid w:val="00935FEE"/>
    <w:rsid w:val="0098377A"/>
    <w:rsid w:val="00992210"/>
    <w:rsid w:val="009B17A1"/>
    <w:rsid w:val="009E30F9"/>
    <w:rsid w:val="00A25EDD"/>
    <w:rsid w:val="00A329CA"/>
    <w:rsid w:val="00A97843"/>
    <w:rsid w:val="00AD1D6C"/>
    <w:rsid w:val="00AE5022"/>
    <w:rsid w:val="00B607F1"/>
    <w:rsid w:val="00B928B0"/>
    <w:rsid w:val="00BC0285"/>
    <w:rsid w:val="00C14933"/>
    <w:rsid w:val="00D54B66"/>
    <w:rsid w:val="00E5054D"/>
    <w:rsid w:val="00E6317A"/>
    <w:rsid w:val="00EA77BA"/>
    <w:rsid w:val="00F01EB9"/>
    <w:rsid w:val="00F4300F"/>
    <w:rsid w:val="00F61353"/>
    <w:rsid w:val="00F626D2"/>
    <w:rsid w:val="00F92353"/>
    <w:rsid w:val="00FA3B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612A58"/>
  <w15:chartTrackingRefBased/>
  <w15:docId w15:val="{512F01A4-99F6-4E9E-8CEE-69E1BE0D4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17A1"/>
    <w:pPr>
      <w:spacing w:after="240" w:line="360" w:lineRule="auto"/>
    </w:pPr>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1EB9"/>
    <w:pPr>
      <w:tabs>
        <w:tab w:val="center" w:pos="4680"/>
        <w:tab w:val="right" w:pos="9360"/>
      </w:tabs>
      <w:spacing w:line="240" w:lineRule="auto"/>
    </w:pPr>
  </w:style>
  <w:style w:type="character" w:customStyle="1" w:styleId="HeaderChar">
    <w:name w:val="Header Char"/>
    <w:basedOn w:val="DefaultParagraphFont"/>
    <w:link w:val="Header"/>
    <w:uiPriority w:val="99"/>
    <w:rsid w:val="00F01EB9"/>
    <w:rPr>
      <w:rFonts w:ascii="Arial" w:hAnsi="Arial"/>
      <w:sz w:val="20"/>
    </w:rPr>
  </w:style>
  <w:style w:type="paragraph" w:styleId="Footer">
    <w:name w:val="footer"/>
    <w:basedOn w:val="Normal"/>
    <w:link w:val="FooterChar"/>
    <w:uiPriority w:val="99"/>
    <w:unhideWhenUsed/>
    <w:rsid w:val="00F01EB9"/>
    <w:pPr>
      <w:tabs>
        <w:tab w:val="center" w:pos="4680"/>
        <w:tab w:val="right" w:pos="9360"/>
      </w:tabs>
      <w:spacing w:line="240" w:lineRule="auto"/>
    </w:pPr>
  </w:style>
  <w:style w:type="character" w:customStyle="1" w:styleId="FooterChar">
    <w:name w:val="Footer Char"/>
    <w:basedOn w:val="DefaultParagraphFont"/>
    <w:link w:val="Footer"/>
    <w:uiPriority w:val="99"/>
    <w:rsid w:val="00F01EB9"/>
    <w:rPr>
      <w:rFonts w:ascii="Arial" w:hAnsi="Arial"/>
      <w:sz w:val="20"/>
    </w:rPr>
  </w:style>
  <w:style w:type="paragraph" w:styleId="EndnoteText">
    <w:name w:val="endnote text"/>
    <w:basedOn w:val="Normal"/>
    <w:link w:val="EndnoteTextChar"/>
    <w:uiPriority w:val="99"/>
    <w:semiHidden/>
    <w:unhideWhenUsed/>
    <w:rsid w:val="009B17A1"/>
    <w:pPr>
      <w:spacing w:after="0" w:line="240" w:lineRule="auto"/>
    </w:pPr>
    <w:rPr>
      <w:szCs w:val="20"/>
    </w:rPr>
  </w:style>
  <w:style w:type="character" w:customStyle="1" w:styleId="EndnoteTextChar">
    <w:name w:val="Endnote Text Char"/>
    <w:basedOn w:val="DefaultParagraphFont"/>
    <w:link w:val="EndnoteText"/>
    <w:uiPriority w:val="99"/>
    <w:semiHidden/>
    <w:rsid w:val="009B17A1"/>
    <w:rPr>
      <w:rFonts w:ascii="Arial" w:hAnsi="Arial"/>
      <w:sz w:val="20"/>
      <w:szCs w:val="20"/>
    </w:rPr>
  </w:style>
  <w:style w:type="character" w:styleId="EndnoteReference">
    <w:name w:val="endnote reference"/>
    <w:basedOn w:val="DefaultParagraphFont"/>
    <w:uiPriority w:val="99"/>
    <w:semiHidden/>
    <w:unhideWhenUsed/>
    <w:rsid w:val="009B17A1"/>
    <w:rPr>
      <w:vertAlign w:val="superscript"/>
    </w:rPr>
  </w:style>
  <w:style w:type="paragraph" w:styleId="FootnoteText">
    <w:name w:val="footnote text"/>
    <w:basedOn w:val="Normal"/>
    <w:link w:val="FootnoteTextChar"/>
    <w:uiPriority w:val="99"/>
    <w:semiHidden/>
    <w:unhideWhenUsed/>
    <w:rsid w:val="0064135E"/>
    <w:pPr>
      <w:spacing w:after="0" w:line="240" w:lineRule="auto"/>
    </w:pPr>
    <w:rPr>
      <w:szCs w:val="20"/>
    </w:rPr>
  </w:style>
  <w:style w:type="character" w:customStyle="1" w:styleId="FootnoteTextChar">
    <w:name w:val="Footnote Text Char"/>
    <w:basedOn w:val="DefaultParagraphFont"/>
    <w:link w:val="FootnoteText"/>
    <w:uiPriority w:val="99"/>
    <w:semiHidden/>
    <w:rsid w:val="0064135E"/>
    <w:rPr>
      <w:rFonts w:ascii="Arial" w:hAnsi="Arial"/>
      <w:sz w:val="20"/>
      <w:szCs w:val="20"/>
    </w:rPr>
  </w:style>
  <w:style w:type="character" w:styleId="FootnoteReference">
    <w:name w:val="footnote reference"/>
    <w:basedOn w:val="DefaultParagraphFont"/>
    <w:uiPriority w:val="99"/>
    <w:semiHidden/>
    <w:unhideWhenUsed/>
    <w:rsid w:val="0064135E"/>
    <w:rPr>
      <w:vertAlign w:val="superscript"/>
    </w:rPr>
  </w:style>
  <w:style w:type="character" w:styleId="CommentReference">
    <w:name w:val="annotation reference"/>
    <w:basedOn w:val="DefaultParagraphFont"/>
    <w:uiPriority w:val="99"/>
    <w:semiHidden/>
    <w:unhideWhenUsed/>
    <w:rsid w:val="004047B0"/>
    <w:rPr>
      <w:sz w:val="16"/>
      <w:szCs w:val="16"/>
    </w:rPr>
  </w:style>
  <w:style w:type="paragraph" w:styleId="CommentText">
    <w:name w:val="annotation text"/>
    <w:basedOn w:val="Normal"/>
    <w:link w:val="CommentTextChar"/>
    <w:uiPriority w:val="99"/>
    <w:unhideWhenUsed/>
    <w:rsid w:val="004047B0"/>
    <w:pPr>
      <w:spacing w:line="240" w:lineRule="auto"/>
    </w:pPr>
    <w:rPr>
      <w:szCs w:val="20"/>
    </w:rPr>
  </w:style>
  <w:style w:type="character" w:customStyle="1" w:styleId="CommentTextChar">
    <w:name w:val="Comment Text Char"/>
    <w:basedOn w:val="DefaultParagraphFont"/>
    <w:link w:val="CommentText"/>
    <w:uiPriority w:val="99"/>
    <w:rsid w:val="004047B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4047B0"/>
    <w:rPr>
      <w:b/>
      <w:bCs/>
    </w:rPr>
  </w:style>
  <w:style w:type="character" w:customStyle="1" w:styleId="CommentSubjectChar">
    <w:name w:val="Comment Subject Char"/>
    <w:basedOn w:val="CommentTextChar"/>
    <w:link w:val="CommentSubject"/>
    <w:uiPriority w:val="99"/>
    <w:semiHidden/>
    <w:rsid w:val="004047B0"/>
    <w:rPr>
      <w:rFonts w:ascii="Arial" w:hAnsi="Arial"/>
      <w:b/>
      <w:bCs/>
      <w:sz w:val="20"/>
      <w:szCs w:val="20"/>
    </w:rPr>
  </w:style>
  <w:style w:type="paragraph" w:styleId="ListParagraph">
    <w:name w:val="List Paragraph"/>
    <w:basedOn w:val="Normal"/>
    <w:uiPriority w:val="34"/>
    <w:qFormat/>
    <w:rsid w:val="00BC0285"/>
    <w:pPr>
      <w:ind w:left="720"/>
      <w:contextualSpacing/>
    </w:pPr>
  </w:style>
  <w:style w:type="character" w:styleId="Hyperlink">
    <w:name w:val="Hyperlink"/>
    <w:basedOn w:val="DefaultParagraphFont"/>
    <w:uiPriority w:val="99"/>
    <w:unhideWhenUsed/>
    <w:rsid w:val="00BC0285"/>
    <w:rPr>
      <w:color w:val="0563C1" w:themeColor="hyperlink"/>
      <w:u w:val="single"/>
    </w:rPr>
  </w:style>
  <w:style w:type="character" w:customStyle="1" w:styleId="normaltextrun">
    <w:name w:val="normaltextrun"/>
    <w:basedOn w:val="DefaultParagraphFont"/>
    <w:rsid w:val="00BC0285"/>
  </w:style>
  <w:style w:type="character" w:styleId="UnresolvedMention">
    <w:name w:val="Unresolved Mention"/>
    <w:basedOn w:val="DefaultParagraphFont"/>
    <w:uiPriority w:val="99"/>
    <w:semiHidden/>
    <w:unhideWhenUsed/>
    <w:rsid w:val="00F626D2"/>
    <w:rPr>
      <w:color w:val="605E5C"/>
      <w:shd w:val="clear" w:color="auto" w:fill="E1DFDD"/>
    </w:rPr>
  </w:style>
  <w:style w:type="character" w:customStyle="1" w:styleId="eop">
    <w:name w:val="eop"/>
    <w:basedOn w:val="DefaultParagraphFont"/>
    <w:rsid w:val="00F613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8394398">
      <w:bodyDiv w:val="1"/>
      <w:marLeft w:val="0"/>
      <w:marRight w:val="0"/>
      <w:marTop w:val="0"/>
      <w:marBottom w:val="0"/>
      <w:divBdr>
        <w:top w:val="none" w:sz="0" w:space="0" w:color="auto"/>
        <w:left w:val="none" w:sz="0" w:space="0" w:color="auto"/>
        <w:bottom w:val="none" w:sz="0" w:space="0" w:color="auto"/>
        <w:right w:val="none" w:sz="0" w:space="0" w:color="auto"/>
      </w:divBdr>
      <w:divsChild>
        <w:div w:id="1280453729">
          <w:marLeft w:val="0"/>
          <w:marRight w:val="0"/>
          <w:marTop w:val="0"/>
          <w:marBottom w:val="0"/>
          <w:divBdr>
            <w:top w:val="none" w:sz="0" w:space="0" w:color="auto"/>
            <w:left w:val="none" w:sz="0" w:space="0" w:color="auto"/>
            <w:bottom w:val="none" w:sz="0" w:space="0" w:color="auto"/>
            <w:right w:val="none" w:sz="0" w:space="0" w:color="auto"/>
          </w:divBdr>
        </w:div>
        <w:div w:id="660935402">
          <w:marLeft w:val="0"/>
          <w:marRight w:val="0"/>
          <w:marTop w:val="0"/>
          <w:marBottom w:val="0"/>
          <w:divBdr>
            <w:top w:val="none" w:sz="0" w:space="0" w:color="auto"/>
            <w:left w:val="none" w:sz="0" w:space="0" w:color="auto"/>
            <w:bottom w:val="none" w:sz="0" w:space="0" w:color="auto"/>
            <w:right w:val="none" w:sz="0" w:space="0" w:color="auto"/>
          </w:divBdr>
        </w:div>
      </w:divsChild>
    </w:div>
    <w:div w:id="814838317">
      <w:bodyDiv w:val="1"/>
      <w:marLeft w:val="0"/>
      <w:marRight w:val="0"/>
      <w:marTop w:val="0"/>
      <w:marBottom w:val="0"/>
      <w:divBdr>
        <w:top w:val="none" w:sz="0" w:space="0" w:color="auto"/>
        <w:left w:val="none" w:sz="0" w:space="0" w:color="auto"/>
        <w:bottom w:val="none" w:sz="0" w:space="0" w:color="auto"/>
        <w:right w:val="none" w:sz="0" w:space="0" w:color="auto"/>
      </w:divBdr>
      <w:divsChild>
        <w:div w:id="2059433141">
          <w:marLeft w:val="0"/>
          <w:marRight w:val="0"/>
          <w:marTop w:val="0"/>
          <w:marBottom w:val="0"/>
          <w:divBdr>
            <w:top w:val="none" w:sz="0" w:space="0" w:color="auto"/>
            <w:left w:val="none" w:sz="0" w:space="0" w:color="auto"/>
            <w:bottom w:val="none" w:sz="0" w:space="0" w:color="auto"/>
            <w:right w:val="none" w:sz="0" w:space="0" w:color="auto"/>
          </w:divBdr>
        </w:div>
        <w:div w:id="1874881361">
          <w:marLeft w:val="0"/>
          <w:marRight w:val="0"/>
          <w:marTop w:val="0"/>
          <w:marBottom w:val="0"/>
          <w:divBdr>
            <w:top w:val="none" w:sz="0" w:space="0" w:color="auto"/>
            <w:left w:val="none" w:sz="0" w:space="0" w:color="auto"/>
            <w:bottom w:val="none" w:sz="0" w:space="0" w:color="auto"/>
            <w:right w:val="none" w:sz="0" w:space="0" w:color="auto"/>
          </w:divBdr>
        </w:div>
      </w:divsChild>
    </w:div>
    <w:div w:id="991569256">
      <w:bodyDiv w:val="1"/>
      <w:marLeft w:val="0"/>
      <w:marRight w:val="0"/>
      <w:marTop w:val="0"/>
      <w:marBottom w:val="0"/>
      <w:divBdr>
        <w:top w:val="none" w:sz="0" w:space="0" w:color="auto"/>
        <w:left w:val="none" w:sz="0" w:space="0" w:color="auto"/>
        <w:bottom w:val="none" w:sz="0" w:space="0" w:color="auto"/>
        <w:right w:val="none" w:sz="0" w:space="0" w:color="auto"/>
      </w:divBdr>
      <w:divsChild>
        <w:div w:id="2114784403">
          <w:marLeft w:val="0"/>
          <w:marRight w:val="0"/>
          <w:marTop w:val="0"/>
          <w:marBottom w:val="0"/>
          <w:divBdr>
            <w:top w:val="single" w:sz="6" w:space="0" w:color="5B616B"/>
            <w:left w:val="single" w:sz="6" w:space="0" w:color="5B616B"/>
            <w:bottom w:val="single" w:sz="6" w:space="0" w:color="5B616B"/>
            <w:right w:val="single" w:sz="6" w:space="0" w:color="5B616B"/>
          </w:divBdr>
        </w:div>
      </w:divsChild>
    </w:div>
    <w:div w:id="2014605264">
      <w:bodyDiv w:val="1"/>
      <w:marLeft w:val="0"/>
      <w:marRight w:val="0"/>
      <w:marTop w:val="0"/>
      <w:marBottom w:val="0"/>
      <w:divBdr>
        <w:top w:val="none" w:sz="0" w:space="0" w:color="auto"/>
        <w:left w:val="none" w:sz="0" w:space="0" w:color="auto"/>
        <w:bottom w:val="none" w:sz="0" w:space="0" w:color="auto"/>
        <w:right w:val="none" w:sz="0" w:space="0" w:color="auto"/>
      </w:divBdr>
      <w:divsChild>
        <w:div w:id="204828030">
          <w:marLeft w:val="0"/>
          <w:marRight w:val="0"/>
          <w:marTop w:val="0"/>
          <w:marBottom w:val="0"/>
          <w:divBdr>
            <w:top w:val="single" w:sz="6" w:space="0" w:color="5B616B"/>
            <w:left w:val="single" w:sz="6" w:space="0" w:color="5B616B"/>
            <w:bottom w:val="single" w:sz="6" w:space="0" w:color="5B616B"/>
            <w:right w:val="single" w:sz="6" w:space="0" w:color="5B616B"/>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002/ajmg.a.61940%202" TargetMode="External"/><Relationship Id="rId18" Type="http://schemas.openxmlformats.org/officeDocument/2006/relationships/hyperlink" Target="https://doi.org/10.1111/j.1528-1167.2012.03537.x" TargetMode="External"/><Relationship Id="rId26" Type="http://schemas.openxmlformats.org/officeDocument/2006/relationships/hyperlink" Target="https://doi.org/10.1016/j.ridd.2014.07.025" TargetMode="External"/><Relationship Id="rId21" Type="http://schemas.openxmlformats.org/officeDocument/2006/relationships/hyperlink" Target="https://doi.org/10.1002/jpn3.12304"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oi.org/10.1002/ddrr.18" TargetMode="External"/><Relationship Id="rId17" Type="http://schemas.openxmlformats.org/officeDocument/2006/relationships/hyperlink" Target="https://doi.org/10.1002/ajmg.a.33775" TargetMode="External"/><Relationship Id="rId25" Type="http://schemas.openxmlformats.org/officeDocument/2006/relationships/hyperlink" Target="https://doi.org/10.1017/CBO9780511543616.013" TargetMode="External"/><Relationship Id="rId33" Type="http://schemas.openxmlformats.org/officeDocument/2006/relationships/footer" Target="footer3.xml"/><Relationship Id="rId38"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https://doi.org/10.1111/jir.12975" TargetMode="External"/><Relationship Id="rId20" Type="http://schemas.openxmlformats.org/officeDocument/2006/relationships/hyperlink" Target="https://doi.org/10.3390/v15030601"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177/2050312118823585" TargetMode="External"/><Relationship Id="rId24" Type="http://schemas.openxmlformats.org/officeDocument/2006/relationships/hyperlink" Target="https://doi.org/10.1002/oby.20646" TargetMode="External"/><Relationship Id="rId32" Type="http://schemas.openxmlformats.org/officeDocument/2006/relationships/header" Target="header3.xml"/><Relationship Id="rId37"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https://doi.org/10.1002/ajmg.a.38401" TargetMode="External"/><Relationship Id="rId23" Type="http://schemas.openxmlformats.org/officeDocument/2006/relationships/hyperlink" Target="https://doi.org/10.15585/mmwr.mm6649a2" TargetMode="External"/><Relationship Id="rId28" Type="http://schemas.openxmlformats.org/officeDocument/2006/relationships/header" Target="header1.xml"/><Relationship Id="rId36" Type="http://schemas.openxmlformats.org/officeDocument/2006/relationships/customXml" Target="../customXml/item2.xml"/><Relationship Id="rId10" Type="http://schemas.openxmlformats.org/officeDocument/2006/relationships/hyperlink" Target="https://doi.org/10.1002/oby.20646" TargetMode="External"/><Relationship Id="rId19" Type="http://schemas.openxmlformats.org/officeDocument/2006/relationships/hyperlink" Target="https://doi.org/10.3390/v14050876"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doi.org/10.1002/jpn3.12360" TargetMode="External"/><Relationship Id="rId14" Type="http://schemas.openxmlformats.org/officeDocument/2006/relationships/hyperlink" Target="https://doi.org/10.1111/jir.12975" TargetMode="External"/><Relationship Id="rId22" Type="http://schemas.openxmlformats.org/officeDocument/2006/relationships/hyperlink" Target="https://doi.org/10.1001/jamapediatrics.2016.3982" TargetMode="External"/><Relationship Id="rId27" Type="http://schemas.openxmlformats.org/officeDocument/2006/relationships/hyperlink" Target="https://doi.org/10.1002/ajmg.a.36923"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s://doi.org/10.1002/ddrr.19"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E11ABB3E504A945B7C7D972A09C49C0" ma:contentTypeVersion="17" ma:contentTypeDescription="Create a new document." ma:contentTypeScope="" ma:versionID="819b4ee962be2bddd2474e785d1181b8">
  <xsd:schema xmlns:xsd="http://www.w3.org/2001/XMLSchema" xmlns:xs="http://www.w3.org/2001/XMLSchema" xmlns:p="http://schemas.microsoft.com/office/2006/metadata/properties" xmlns:ns2="bfec5155-cd0c-46a7-a3ba-4de02cda8ac5" xmlns:ns3="ef7c5145-e159-46d3-924d-b50a59624be6" xmlns:ns4="19a4d83b-00ce-4127-a5b3-b065af9349eb" targetNamespace="http://schemas.microsoft.com/office/2006/metadata/properties" ma:root="true" ma:fieldsID="f34546f8b4ac1cec3bd81821bd59e526" ns2:_="" ns3:_="" ns4:_="">
    <xsd:import namespace="bfec5155-cd0c-46a7-a3ba-4de02cda8ac5"/>
    <xsd:import namespace="ef7c5145-e159-46d3-924d-b50a59624be6"/>
    <xsd:import namespace="19a4d83b-00ce-4127-a5b3-b065af9349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4: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ec5155-cd0c-46a7-a3ba-4de02cda8a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c2c5899-478d-4689-af14-80570c5f1ccc"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f7c5145-e159-46d3-924d-b50a59624be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9a4d83b-00ce-4127-a5b3-b065af9349e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a1f28c6-8888-4c4a-84f6-b5cc35d41f63}" ma:internalName="TaxCatchAll" ma:showField="CatchAllData" ma:web="19a4d83b-00ce-4127-a5b3-b065af9349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fec5155-cd0c-46a7-a3ba-4de02cda8ac5">
      <Terms xmlns="http://schemas.microsoft.com/office/infopath/2007/PartnerControls"/>
    </lcf76f155ced4ddcb4097134ff3c332f>
    <TaxCatchAll xmlns="19a4d83b-00ce-4127-a5b3-b065af9349eb" xsi:nil="true"/>
  </documentManagement>
</p:properties>
</file>

<file path=customXml/itemProps1.xml><?xml version="1.0" encoding="utf-8"?>
<ds:datastoreItem xmlns:ds="http://schemas.openxmlformats.org/officeDocument/2006/customXml" ds:itemID="{3BF7A4B2-441C-45FB-8822-085009B7B96F}">
  <ds:schemaRefs>
    <ds:schemaRef ds:uri="http://schemas.openxmlformats.org/officeDocument/2006/bibliography"/>
  </ds:schemaRefs>
</ds:datastoreItem>
</file>

<file path=customXml/itemProps2.xml><?xml version="1.0" encoding="utf-8"?>
<ds:datastoreItem xmlns:ds="http://schemas.openxmlformats.org/officeDocument/2006/customXml" ds:itemID="{67F5E7F1-9C5C-4332-924C-826E375E4FCB}"/>
</file>

<file path=customXml/itemProps3.xml><?xml version="1.0" encoding="utf-8"?>
<ds:datastoreItem xmlns:ds="http://schemas.openxmlformats.org/officeDocument/2006/customXml" ds:itemID="{ECA76A6C-B2A8-4717-ADA3-CB75F84E3B07}"/>
</file>

<file path=customXml/itemProps4.xml><?xml version="1.0" encoding="utf-8"?>
<ds:datastoreItem xmlns:ds="http://schemas.openxmlformats.org/officeDocument/2006/customXml" ds:itemID="{00C87FC5-AFC5-4806-9E39-D16007E8829C}"/>
</file>

<file path=docProps/app.xml><?xml version="1.0" encoding="utf-8"?>
<Properties xmlns="http://schemas.openxmlformats.org/officeDocument/2006/extended-properties" xmlns:vt="http://schemas.openxmlformats.org/officeDocument/2006/docPropsVTypes">
  <Template>Normal</Template>
  <TotalTime>4</TotalTime>
  <Pages>9</Pages>
  <Words>3988</Words>
  <Characters>22736</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2024 Gatlinburg Conference Symposium Submission</vt:lpstr>
    </vt:vector>
  </TitlesOfParts>
  <Company>University of Kansas</Company>
  <LinksUpToDate>false</LinksUpToDate>
  <CharactersWithSpaces>26671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Gatlinburg Conference Symposium Submission</dc:title>
  <dc:subject/>
  <dc:creator>Hallberg, Lisa K.</dc:creator>
  <cp:keywords/>
  <dc:description/>
  <cp:lastModifiedBy>Andrews, Sara</cp:lastModifiedBy>
  <cp:revision>3</cp:revision>
  <dcterms:created xsi:type="dcterms:W3CDTF">2024-11-05T06:57:00Z</dcterms:created>
  <dcterms:modified xsi:type="dcterms:W3CDTF">2024-11-05T06:58:00Z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0x0101003E11ABB3E504A945B7C7D972A09C49C0</vt:lpwstr>
  </property>
</Properties>
</file>