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AAF8D" w14:textId="3588BAAF" w:rsidR="37D38FA1" w:rsidRDefault="37D38FA1" w:rsidP="0891AA5B">
      <w:pPr>
        <w:rPr>
          <w:rFonts w:eastAsia="Arial" w:cs="Arial"/>
          <w:szCs w:val="20"/>
        </w:rPr>
      </w:pPr>
      <w:r w:rsidRPr="0891AA5B">
        <w:rPr>
          <w:rFonts w:eastAsia="Arial" w:cs="Arial"/>
          <w:b/>
          <w:bCs/>
          <w:szCs w:val="20"/>
        </w:rPr>
        <w:t>Symposium Title</w:t>
      </w:r>
      <w:r w:rsidRPr="0891AA5B">
        <w:rPr>
          <w:rFonts w:eastAsia="Arial" w:cs="Arial"/>
          <w:szCs w:val="20"/>
        </w:rPr>
        <w:t xml:space="preserve">: </w:t>
      </w:r>
      <w:r w:rsidR="74A413D2" w:rsidRPr="0891AA5B">
        <w:rPr>
          <w:rFonts w:eastAsia="Arial" w:cs="Arial"/>
          <w:szCs w:val="20"/>
        </w:rPr>
        <w:t>The Dynamic Interplay of Physical Health and Cognition Across Adulthood in People with IDD: Characterizing Modifiable Risk Factors</w:t>
      </w:r>
      <w:r w:rsidR="00A95B95">
        <w:rPr>
          <w:rFonts w:eastAsia="Arial" w:cs="Arial"/>
          <w:szCs w:val="20"/>
        </w:rPr>
        <w:t xml:space="preserve"> and </w:t>
      </w:r>
      <w:r w:rsidR="00A95B95" w:rsidRPr="0891AA5B">
        <w:rPr>
          <w:rFonts w:eastAsia="Arial" w:cs="Arial"/>
          <w:szCs w:val="20"/>
        </w:rPr>
        <w:t>Compensatory Strategies</w:t>
      </w:r>
    </w:p>
    <w:p w14:paraId="6C56770D" w14:textId="0FE30999" w:rsidR="37D38FA1" w:rsidRDefault="37D38FA1" w:rsidP="0891AA5B">
      <w:pPr>
        <w:rPr>
          <w:rFonts w:eastAsia="Arial" w:cs="Arial"/>
          <w:szCs w:val="20"/>
          <w:vertAlign w:val="superscript"/>
        </w:rPr>
      </w:pPr>
      <w:r w:rsidRPr="0891AA5B">
        <w:rPr>
          <w:rFonts w:eastAsia="Arial" w:cs="Arial"/>
          <w:b/>
          <w:bCs/>
          <w:szCs w:val="20"/>
        </w:rPr>
        <w:t>Chair</w:t>
      </w:r>
      <w:r w:rsidR="00244190">
        <w:rPr>
          <w:rFonts w:eastAsia="Arial" w:cs="Arial"/>
          <w:b/>
          <w:bCs/>
          <w:szCs w:val="20"/>
        </w:rPr>
        <w:t>s</w:t>
      </w:r>
      <w:r w:rsidRPr="0891AA5B">
        <w:rPr>
          <w:rFonts w:eastAsia="Arial" w:cs="Arial"/>
          <w:szCs w:val="20"/>
        </w:rPr>
        <w:t xml:space="preserve">: </w:t>
      </w:r>
      <w:r w:rsidR="4AD5A4AD" w:rsidRPr="0891AA5B">
        <w:rPr>
          <w:rFonts w:eastAsia="Arial" w:cs="Arial"/>
          <w:szCs w:val="20"/>
        </w:rPr>
        <w:t>Goldie A. McQuaid</w:t>
      </w:r>
      <w:r w:rsidR="00547B66">
        <w:rPr>
          <w:rStyle w:val="FootnoteReference"/>
          <w:rFonts w:eastAsia="Arial" w:cs="Arial"/>
          <w:szCs w:val="20"/>
        </w:rPr>
        <w:footnoteReference w:id="2"/>
      </w:r>
      <w:r w:rsidR="00E977D3">
        <w:rPr>
          <w:rFonts w:eastAsia="Arial" w:cs="Arial"/>
          <w:szCs w:val="20"/>
        </w:rPr>
        <w:t xml:space="preserve"> &amp;</w:t>
      </w:r>
      <w:r w:rsidR="18699386" w:rsidRPr="0891AA5B">
        <w:rPr>
          <w:rFonts w:eastAsia="Arial" w:cs="Arial"/>
          <w:szCs w:val="20"/>
        </w:rPr>
        <w:t xml:space="preserve"> Nancy </w:t>
      </w:r>
      <w:proofErr w:type="spellStart"/>
      <w:r w:rsidR="18699386" w:rsidRPr="0891AA5B">
        <w:rPr>
          <w:rFonts w:eastAsia="Arial" w:cs="Arial"/>
          <w:szCs w:val="20"/>
        </w:rPr>
        <w:t>Raitano</w:t>
      </w:r>
      <w:proofErr w:type="spellEnd"/>
      <w:r w:rsidR="18699386" w:rsidRPr="0891AA5B">
        <w:rPr>
          <w:rFonts w:eastAsia="Arial" w:cs="Arial"/>
          <w:szCs w:val="20"/>
        </w:rPr>
        <w:t xml:space="preserve"> Lee</w:t>
      </w:r>
      <w:r w:rsidR="00547B66">
        <w:rPr>
          <w:rStyle w:val="FootnoteReference"/>
          <w:rFonts w:eastAsia="Arial" w:cs="Arial"/>
          <w:szCs w:val="20"/>
        </w:rPr>
        <w:footnoteReference w:id="3"/>
      </w:r>
      <w:r w:rsidR="00547B66" w:rsidRPr="00E977D3">
        <w:rPr>
          <w:rStyle w:val="FootnoteReference"/>
          <w:rFonts w:eastAsia="Arial" w:cs="Arial"/>
          <w:color w:val="FFFFFF" w:themeColor="background1"/>
          <w:szCs w:val="20"/>
        </w:rPr>
        <w:footnoteReference w:id="4"/>
      </w:r>
    </w:p>
    <w:p w14:paraId="571A56F0" w14:textId="156907DC" w:rsidR="37D38FA1" w:rsidRDefault="37D38FA1" w:rsidP="0891AA5B">
      <w:pPr>
        <w:rPr>
          <w:rFonts w:eastAsia="Arial" w:cs="Arial"/>
          <w:szCs w:val="20"/>
          <w:vertAlign w:val="superscript"/>
        </w:rPr>
      </w:pPr>
      <w:r w:rsidRPr="3ABE9191">
        <w:rPr>
          <w:rFonts w:eastAsia="Arial" w:cs="Arial"/>
          <w:b/>
          <w:bCs/>
          <w:szCs w:val="20"/>
        </w:rPr>
        <w:t>Discussant</w:t>
      </w:r>
      <w:r w:rsidRPr="3ABE9191">
        <w:rPr>
          <w:rFonts w:eastAsia="Arial" w:cs="Arial"/>
          <w:szCs w:val="20"/>
        </w:rPr>
        <w:t xml:space="preserve">: </w:t>
      </w:r>
      <w:r w:rsidR="00E977D3">
        <w:rPr>
          <w:rFonts w:eastAsia="Arial" w:cs="Arial"/>
          <w:szCs w:val="20"/>
        </w:rPr>
        <w:t>Gregory L. Wallace</w:t>
      </w:r>
      <w:r w:rsidR="00E977D3" w:rsidRPr="00E977D3">
        <w:rPr>
          <w:rFonts w:eastAsia="Arial" w:cs="Arial"/>
          <w:szCs w:val="20"/>
          <w:vertAlign w:val="superscript"/>
        </w:rPr>
        <w:t>3</w:t>
      </w:r>
    </w:p>
    <w:p w14:paraId="2A738F14" w14:textId="1C63609D" w:rsidR="2BB6EF31" w:rsidRDefault="37D38FA1" w:rsidP="0891AA5B">
      <w:r w:rsidRPr="19987488">
        <w:rPr>
          <w:rFonts w:eastAsia="Arial" w:cs="Arial"/>
          <w:b/>
        </w:rPr>
        <w:t>Overview</w:t>
      </w:r>
      <w:r w:rsidRPr="19987488">
        <w:rPr>
          <w:rFonts w:eastAsia="Arial" w:cs="Arial"/>
        </w:rPr>
        <w:t>:</w:t>
      </w:r>
      <w:r w:rsidR="2BB6EF31">
        <w:t xml:space="preserve"> </w:t>
      </w:r>
      <w:r w:rsidR="63D07CE6">
        <w:t xml:space="preserve">While risk factors (Campbell et al., 2009) and compensatory strategies </w:t>
      </w:r>
      <w:r w:rsidR="0498DECF">
        <w:t xml:space="preserve">(Tomaszewski Farias et al., 2018) </w:t>
      </w:r>
      <w:r w:rsidR="63D07CE6">
        <w:t>related to aging in the general population</w:t>
      </w:r>
      <w:r w:rsidR="504243F6">
        <w:t xml:space="preserve"> are well delineated</w:t>
      </w:r>
      <w:r w:rsidR="63D07CE6">
        <w:t xml:space="preserve">, </w:t>
      </w:r>
      <w:r w:rsidR="76EA149D">
        <w:t xml:space="preserve">far less research has </w:t>
      </w:r>
      <w:r w:rsidR="33D0A9AB">
        <w:t>investigated these factors</w:t>
      </w:r>
      <w:r w:rsidR="1437B17E">
        <w:t xml:space="preserve"> </w:t>
      </w:r>
      <w:r w:rsidR="76EA149D">
        <w:t xml:space="preserve">in people with </w:t>
      </w:r>
      <w:r w:rsidR="008103AC">
        <w:t>intellectual and developmental disabilities (</w:t>
      </w:r>
      <w:r w:rsidR="76EA149D">
        <w:t>IDDs</w:t>
      </w:r>
      <w:r w:rsidR="5686549B">
        <w:t>)</w:t>
      </w:r>
      <w:r w:rsidR="3E73BD8F">
        <w:t xml:space="preserve"> a</w:t>
      </w:r>
      <w:r w:rsidR="0957ED9F">
        <w:t>cross adulthood</w:t>
      </w:r>
      <w:r w:rsidR="1437B17E">
        <w:t>.</w:t>
      </w:r>
      <w:r w:rsidR="76EA149D">
        <w:t xml:space="preserve"> </w:t>
      </w:r>
      <w:r w:rsidR="2A81082C">
        <w:t>This is despite a large corpus of research</w:t>
      </w:r>
      <w:r w:rsidR="6D219B81">
        <w:t xml:space="preserve"> </w:t>
      </w:r>
      <w:r w:rsidR="2A81082C">
        <w:t xml:space="preserve">documenting </w:t>
      </w:r>
      <w:r w:rsidR="04834E72">
        <w:t xml:space="preserve">highly elevated risk for developing </w:t>
      </w:r>
      <w:r w:rsidR="3729CDAF">
        <w:t>Alzheimer’s disease</w:t>
      </w:r>
      <w:r w:rsidR="0F4A7595">
        <w:t xml:space="preserve"> </w:t>
      </w:r>
      <w:r w:rsidR="792C5218">
        <w:t xml:space="preserve">among adults with Down syndrome </w:t>
      </w:r>
      <w:r w:rsidR="0F4A7595">
        <w:t>(</w:t>
      </w:r>
      <w:proofErr w:type="spellStart"/>
      <w:r w:rsidR="35A6F6B4" w:rsidRPr="0891AA5B">
        <w:rPr>
          <w:rFonts w:eastAsia="Arial" w:cs="Arial"/>
          <w:sz w:val="19"/>
          <w:szCs w:val="19"/>
        </w:rPr>
        <w:t>Fortea</w:t>
      </w:r>
      <w:proofErr w:type="spellEnd"/>
      <w:r w:rsidR="35A6F6B4" w:rsidRPr="0891AA5B">
        <w:rPr>
          <w:rFonts w:eastAsia="Arial" w:cs="Arial"/>
          <w:sz w:val="19"/>
          <w:szCs w:val="19"/>
        </w:rPr>
        <w:t xml:space="preserve"> et al., 2021</w:t>
      </w:r>
      <w:r w:rsidR="0F4A7595">
        <w:t>)</w:t>
      </w:r>
      <w:r w:rsidR="3729CDAF">
        <w:t xml:space="preserve"> </w:t>
      </w:r>
      <w:r w:rsidR="0FE56504">
        <w:t xml:space="preserve">and </w:t>
      </w:r>
      <w:r w:rsidR="39A88143">
        <w:t>e</w:t>
      </w:r>
      <w:r w:rsidR="3729CDAF">
        <w:t>merging evidence that autistic people a</w:t>
      </w:r>
      <w:r w:rsidR="13BA8961">
        <w:t xml:space="preserve">re </w:t>
      </w:r>
      <w:r w:rsidR="603ADD9C">
        <w:t xml:space="preserve">also </w:t>
      </w:r>
      <w:r w:rsidR="13BA8961">
        <w:t xml:space="preserve">at increased risk for </w:t>
      </w:r>
      <w:r w:rsidR="03354066">
        <w:t xml:space="preserve">experiencing </w:t>
      </w:r>
      <w:r w:rsidR="3838E920">
        <w:t>ag</w:t>
      </w:r>
      <w:r w:rsidR="00D706E3">
        <w:t>e-</w:t>
      </w:r>
      <w:r w:rsidR="3838E920">
        <w:t xml:space="preserve">related </w:t>
      </w:r>
      <w:r w:rsidR="13BA8961">
        <w:t>cognitive decline</w:t>
      </w:r>
      <w:r w:rsidR="1A64934C">
        <w:t xml:space="preserve"> (Klein et al., 2023)</w:t>
      </w:r>
      <w:r w:rsidR="13BA8961">
        <w:t xml:space="preserve"> and dementia</w:t>
      </w:r>
      <w:r w:rsidR="25452DF3">
        <w:t xml:space="preserve"> (</w:t>
      </w:r>
      <w:proofErr w:type="spellStart"/>
      <w:r w:rsidR="25452DF3">
        <w:t>Vivanti</w:t>
      </w:r>
      <w:proofErr w:type="spellEnd"/>
      <w:r w:rsidR="25452DF3">
        <w:t xml:space="preserve"> et al., 2021)</w:t>
      </w:r>
      <w:r w:rsidR="13BA8961">
        <w:t xml:space="preserve">. </w:t>
      </w:r>
      <w:r w:rsidR="1F278F8D">
        <w:t xml:space="preserve">Thus, </w:t>
      </w:r>
      <w:r w:rsidR="4F2060F6">
        <w:t>i</w:t>
      </w:r>
      <w:r w:rsidR="7CB0E7CF">
        <w:t xml:space="preserve">t is of </w:t>
      </w:r>
      <w:r w:rsidR="3D4C0B2B">
        <w:t xml:space="preserve">the </w:t>
      </w:r>
      <w:r w:rsidR="7CB0E7CF">
        <w:t xml:space="preserve">utmost importance to </w:t>
      </w:r>
      <w:r w:rsidR="3465CE3F">
        <w:t>identify possible</w:t>
      </w:r>
      <w:r w:rsidR="1AF6BAA5">
        <w:t xml:space="preserve"> </w:t>
      </w:r>
      <w:r w:rsidR="34C84284">
        <w:t xml:space="preserve">modifiable </w:t>
      </w:r>
      <w:r w:rsidR="1AF6BAA5">
        <w:t>risk factors and compensatory strategies</w:t>
      </w:r>
      <w:r w:rsidR="0C67949E">
        <w:t xml:space="preserve"> that could be harnessed to optimize aging trajectories among people with IDDs</w:t>
      </w:r>
      <w:r w:rsidR="70E5553A">
        <w:t xml:space="preserve">. </w:t>
      </w:r>
      <w:r w:rsidR="5D58E95A">
        <w:t>T</w:t>
      </w:r>
      <w:r w:rsidR="245EEAC6">
        <w:t>he</w:t>
      </w:r>
      <w:r w:rsidR="5D58E95A">
        <w:t xml:space="preserve"> proposed symposium </w:t>
      </w:r>
      <w:r w:rsidR="25551B10">
        <w:t xml:space="preserve">aims to address this </w:t>
      </w:r>
      <w:r w:rsidR="480E6E5D">
        <w:t xml:space="preserve">critical </w:t>
      </w:r>
      <w:r w:rsidR="25551B10">
        <w:t xml:space="preserve">knowledge gap </w:t>
      </w:r>
      <w:r w:rsidR="792E2E2A">
        <w:t>by e</w:t>
      </w:r>
      <w:r w:rsidR="0D191E27">
        <w:t xml:space="preserve">xamining </w:t>
      </w:r>
      <w:r w:rsidR="50CEBFE7">
        <w:t>health-related</w:t>
      </w:r>
      <w:r w:rsidR="0D191E27">
        <w:t xml:space="preserve"> risk factors (i.e., anticholinergic medication use)</w:t>
      </w:r>
      <w:r w:rsidR="4EBF4984">
        <w:t xml:space="preserve"> and</w:t>
      </w:r>
      <w:r w:rsidR="0D191E27">
        <w:t xml:space="preserve"> psychosocial protective factors (i.e., social engagement</w:t>
      </w:r>
      <w:r w:rsidR="599EE9D6">
        <w:t xml:space="preserve"> and compensatory cognitive skills</w:t>
      </w:r>
      <w:r w:rsidR="0D191E27">
        <w:t>)</w:t>
      </w:r>
      <w:r w:rsidR="1F1F4067">
        <w:t xml:space="preserve"> among adults with Down syndrome and autistic adults with higher support needs spanning young, middle, and older adulthood.</w:t>
      </w:r>
    </w:p>
    <w:p w14:paraId="1AB18FF1" w14:textId="073F80B7" w:rsidR="00163A52" w:rsidRPr="00163A52" w:rsidRDefault="00163A52" w:rsidP="00163A52">
      <w:pPr>
        <w:jc w:val="center"/>
        <w:rPr>
          <w:b/>
          <w:bCs/>
        </w:rPr>
      </w:pPr>
      <w:r w:rsidRPr="00163A52">
        <w:rPr>
          <w:b/>
          <w:bCs/>
        </w:rPr>
        <w:t xml:space="preserve">Paper 1 of </w:t>
      </w:r>
      <w:r w:rsidR="0064135E">
        <w:rPr>
          <w:b/>
          <w:bCs/>
        </w:rPr>
        <w:t>4</w:t>
      </w:r>
    </w:p>
    <w:p w14:paraId="3E5F90CC" w14:textId="0C4E26CA" w:rsidR="00163A52" w:rsidRDefault="00163A52" w:rsidP="00163A52">
      <w:r w:rsidRPr="002A64F0">
        <w:rPr>
          <w:b/>
          <w:bCs/>
        </w:rPr>
        <w:t>Paper Title</w:t>
      </w:r>
      <w:r>
        <w:t xml:space="preserve">: </w:t>
      </w:r>
      <w:r w:rsidR="00454C49">
        <w:t xml:space="preserve">Anticholinergic </w:t>
      </w:r>
      <w:r w:rsidR="00911DFF">
        <w:t>M</w:t>
      </w:r>
      <w:r w:rsidR="00454C49">
        <w:t xml:space="preserve">edication </w:t>
      </w:r>
      <w:r w:rsidR="00911DFF">
        <w:t>U</w:t>
      </w:r>
      <w:r w:rsidR="00454C49">
        <w:t xml:space="preserve">se </w:t>
      </w:r>
      <w:r w:rsidR="00911DFF">
        <w:t>A</w:t>
      </w:r>
      <w:r w:rsidR="00454C49">
        <w:t xml:space="preserve">mong </w:t>
      </w:r>
      <w:r w:rsidR="00911DFF">
        <w:t>Y</w:t>
      </w:r>
      <w:r w:rsidR="00454C49">
        <w:t xml:space="preserve">oung </w:t>
      </w:r>
      <w:r w:rsidR="00911DFF">
        <w:t>A</w:t>
      </w:r>
      <w:r w:rsidR="00454C49">
        <w:t xml:space="preserve">dults with Down </w:t>
      </w:r>
      <w:r w:rsidR="00911DFF">
        <w:t>S</w:t>
      </w:r>
      <w:r w:rsidR="00454C49">
        <w:t xml:space="preserve">yndrome: Relations with </w:t>
      </w:r>
      <w:r w:rsidR="00911DFF">
        <w:t>E</w:t>
      </w:r>
      <w:r w:rsidR="00454C49">
        <w:t xml:space="preserve">veryday </w:t>
      </w:r>
      <w:r w:rsidR="00911DFF">
        <w:t>E</w:t>
      </w:r>
      <w:r w:rsidR="00454C49">
        <w:t xml:space="preserve">xecutive </w:t>
      </w:r>
      <w:r w:rsidR="00911DFF">
        <w:t>F</w:t>
      </w:r>
      <w:r w:rsidR="00454C49">
        <w:t xml:space="preserve">unction and </w:t>
      </w:r>
      <w:r w:rsidR="00911DFF">
        <w:t>D</w:t>
      </w:r>
      <w:r w:rsidR="00454C49">
        <w:t xml:space="preserve">ementia </w:t>
      </w:r>
      <w:r w:rsidR="00911DFF">
        <w:t>S</w:t>
      </w:r>
      <w:r w:rsidR="00454C49">
        <w:t xml:space="preserve">creening </w:t>
      </w:r>
      <w:r w:rsidR="00911DFF">
        <w:t>Q</w:t>
      </w:r>
      <w:r w:rsidR="00454C49">
        <w:t xml:space="preserve">uestionnaire </w:t>
      </w:r>
      <w:r w:rsidR="00911DFF">
        <w:t>S</w:t>
      </w:r>
      <w:r w:rsidR="00454C49">
        <w:t>cores</w:t>
      </w:r>
    </w:p>
    <w:p w14:paraId="40445C80" w14:textId="10248CBA" w:rsidR="00163A52" w:rsidRDefault="12E4C878" w:rsidP="0891AA5B">
      <w:r w:rsidRPr="002A64F0">
        <w:rPr>
          <w:b/>
          <w:bCs/>
        </w:rPr>
        <w:t>Authors</w:t>
      </w:r>
      <w:r>
        <w:t xml:space="preserve">: </w:t>
      </w:r>
      <w:r w:rsidR="3AF019D6">
        <w:t xml:space="preserve">Nancy </w:t>
      </w:r>
      <w:proofErr w:type="spellStart"/>
      <w:r w:rsidR="3AF019D6">
        <w:t>Raitano</w:t>
      </w:r>
      <w:proofErr w:type="spellEnd"/>
      <w:r w:rsidR="3AF019D6">
        <w:t xml:space="preserve"> Lee</w:t>
      </w:r>
      <w:r w:rsidR="00547B66" w:rsidRPr="00547B66">
        <w:rPr>
          <w:vertAlign w:val="superscript"/>
        </w:rPr>
        <w:t>2</w:t>
      </w:r>
      <w:r>
        <w:t xml:space="preserve">, </w:t>
      </w:r>
      <w:r w:rsidR="3AF019D6">
        <w:t>Goldie McQuaid</w:t>
      </w:r>
      <w:r w:rsidR="00547B66" w:rsidRPr="00547B66">
        <w:rPr>
          <w:vertAlign w:val="superscript"/>
        </w:rPr>
        <w:t>1</w:t>
      </w:r>
      <w:r w:rsidR="3AF019D6">
        <w:t xml:space="preserve">, </w:t>
      </w:r>
      <w:proofErr w:type="spellStart"/>
      <w:r w:rsidR="3AF019D6">
        <w:t>Haila</w:t>
      </w:r>
      <w:proofErr w:type="spellEnd"/>
      <w:r w:rsidR="3AF019D6">
        <w:t xml:space="preserve"> Jiddou</w:t>
      </w:r>
      <w:r w:rsidR="00AE2124">
        <w:rPr>
          <w:vertAlign w:val="superscript"/>
        </w:rPr>
        <w:t>2</w:t>
      </w:r>
      <w:r w:rsidR="3AF019D6">
        <w:t>, Hannah Grosman</w:t>
      </w:r>
      <w:r w:rsidR="00547B66">
        <w:rPr>
          <w:vertAlign w:val="superscript"/>
        </w:rPr>
        <w:t>2</w:t>
      </w:r>
      <w:r w:rsidR="3AF019D6">
        <w:t>, Jessica McNulty</w:t>
      </w:r>
      <w:r w:rsidR="00547B66">
        <w:rPr>
          <w:vertAlign w:val="superscript"/>
        </w:rPr>
        <w:t>2</w:t>
      </w:r>
      <w:r w:rsidR="3AF019D6">
        <w:t xml:space="preserve">, </w:t>
      </w:r>
      <w:r w:rsidR="2625FF34">
        <w:t>Meghan O’Brien</w:t>
      </w:r>
      <w:r w:rsidR="00547B66">
        <w:rPr>
          <w:rStyle w:val="FootnoteReference"/>
        </w:rPr>
        <w:footnoteReference w:id="5"/>
      </w:r>
      <w:r w:rsidR="2625FF34">
        <w:t xml:space="preserve">, </w:t>
      </w:r>
      <w:r w:rsidR="3AF019D6">
        <w:t>&amp; Gregory L. Wallace</w:t>
      </w:r>
      <w:r w:rsidR="002B5B27" w:rsidRPr="002B5B27">
        <w:rPr>
          <w:vertAlign w:val="superscript"/>
        </w:rPr>
        <w:t>3</w:t>
      </w:r>
    </w:p>
    <w:p w14:paraId="50BCC3F6" w14:textId="610AADFF" w:rsidR="00163A52" w:rsidRDefault="12E4C878" w:rsidP="00163A52">
      <w:r w:rsidRPr="0891AA5B">
        <w:rPr>
          <w:b/>
          <w:bCs/>
        </w:rPr>
        <w:t>Introduction</w:t>
      </w:r>
      <w:r>
        <w:t xml:space="preserve">: </w:t>
      </w:r>
      <w:r w:rsidR="3AF019D6">
        <w:t>Both prescription and over-the-counter anticholinergic medications, which block</w:t>
      </w:r>
      <w:r w:rsidR="2D2671DD">
        <w:t xml:space="preserve"> or </w:t>
      </w:r>
      <w:r w:rsidR="3AF019D6">
        <w:t>inhibit acetylcholine’s activity at synapses in both the central and peripheral nervous system</w:t>
      </w:r>
      <w:r w:rsidR="5172A85D">
        <w:t>,</w:t>
      </w:r>
      <w:r w:rsidR="3AF019D6">
        <w:t xml:space="preserve"> are prescribed at higher rates in groups with intellectual disability (ID) than</w:t>
      </w:r>
      <w:r w:rsidR="3539F9B8">
        <w:t xml:space="preserve"> in</w:t>
      </w:r>
      <w:r w:rsidR="3AF019D6">
        <w:t xml:space="preserve"> the general population (</w:t>
      </w:r>
      <w:r w:rsidR="11083613">
        <w:t>Laura Ward et al., 2022)</w:t>
      </w:r>
      <w:r w:rsidR="3AF019D6">
        <w:t xml:space="preserve">. </w:t>
      </w:r>
      <w:r w:rsidR="26A8AB2B">
        <w:t>In the general population, older adults taking these medications demonstrate poorer cognitive outcomes (e.g., worse executive function) and higher incidence of dementia relative to older adults not taking these medic</w:t>
      </w:r>
      <w:r w:rsidR="00A656F8">
        <w:t>ations</w:t>
      </w:r>
      <w:r w:rsidR="26A8AB2B">
        <w:t xml:space="preserve"> </w:t>
      </w:r>
      <w:r w:rsidR="5172A85D">
        <w:t>(</w:t>
      </w:r>
      <w:r w:rsidR="11083613">
        <w:t xml:space="preserve">Coupland et al., 2019; </w:t>
      </w:r>
      <w:proofErr w:type="spellStart"/>
      <w:r w:rsidR="11083613">
        <w:t>Risacher</w:t>
      </w:r>
      <w:proofErr w:type="spellEnd"/>
      <w:r w:rsidR="11083613">
        <w:t xml:space="preserve"> et al., 2016</w:t>
      </w:r>
      <w:r w:rsidR="5172A85D">
        <w:t xml:space="preserve">). </w:t>
      </w:r>
      <w:r w:rsidR="05EFA058">
        <w:t xml:space="preserve">Yet, we know very little about </w:t>
      </w:r>
      <w:r w:rsidR="7AEF4BA7">
        <w:t xml:space="preserve">anticholinergic medication use (AMU) </w:t>
      </w:r>
      <w:r w:rsidR="74424350">
        <w:t xml:space="preserve">and </w:t>
      </w:r>
      <w:r w:rsidR="02316FE1">
        <w:t xml:space="preserve">its relation to </w:t>
      </w:r>
      <w:r w:rsidR="74424350">
        <w:t>cognition</w:t>
      </w:r>
      <w:r w:rsidR="5172A85D">
        <w:t>/</w:t>
      </w:r>
      <w:r w:rsidR="74424350">
        <w:t>behavior in specific groups with ID, such as Down syndrome (DS). As DS is associated with precocious</w:t>
      </w:r>
      <w:r w:rsidR="2D2671DD">
        <w:t>-onset</w:t>
      </w:r>
      <w:r w:rsidR="74424350">
        <w:t xml:space="preserve"> Alzheimer’s </w:t>
      </w:r>
      <w:r w:rsidR="2D2671DD">
        <w:t>d</w:t>
      </w:r>
      <w:r w:rsidR="74424350">
        <w:t>ementia (AD</w:t>
      </w:r>
      <w:r w:rsidR="0DC7B096">
        <w:t>;</w:t>
      </w:r>
      <w:r w:rsidR="11083613">
        <w:t xml:space="preserve"> </w:t>
      </w:r>
      <w:proofErr w:type="spellStart"/>
      <w:r w:rsidR="11083613">
        <w:t>Fortea</w:t>
      </w:r>
      <w:proofErr w:type="spellEnd"/>
      <w:r w:rsidR="11083613">
        <w:t xml:space="preserve"> et al., 2021</w:t>
      </w:r>
      <w:r w:rsidR="74424350">
        <w:t xml:space="preserve">), studies of </w:t>
      </w:r>
      <w:r w:rsidR="7AEF4BA7">
        <w:t>AMU</w:t>
      </w:r>
      <w:r w:rsidR="74424350">
        <w:t>, particularly in young adults with the syndrome</w:t>
      </w:r>
      <w:r w:rsidR="5172A85D">
        <w:t>,</w:t>
      </w:r>
      <w:r w:rsidR="74424350">
        <w:t xml:space="preserve"> could identify a </w:t>
      </w:r>
      <w:r w:rsidR="74424350">
        <w:lastRenderedPageBreak/>
        <w:t xml:space="preserve">modifiable risk factor for AD in this group. </w:t>
      </w:r>
      <w:r w:rsidR="5172A85D">
        <w:t>Thus, t</w:t>
      </w:r>
      <w:r w:rsidR="74424350">
        <w:t xml:space="preserve">he current research sought to examine associations between </w:t>
      </w:r>
      <w:r w:rsidR="7AEF4BA7">
        <w:t>AMU</w:t>
      </w:r>
      <w:r w:rsidR="5172A85D">
        <w:t xml:space="preserve"> </w:t>
      </w:r>
      <w:r w:rsidR="74424350">
        <w:t>and both executive dysfunction and dementia screening scores in a sample of young adults with DS.</w:t>
      </w:r>
    </w:p>
    <w:p w14:paraId="56DA41D9" w14:textId="773DA75F" w:rsidR="009B17A1" w:rsidRDefault="376B1179" w:rsidP="0891AA5B">
      <w:r w:rsidRPr="0891AA5B">
        <w:rPr>
          <w:b/>
          <w:bCs/>
        </w:rPr>
        <w:t>Method</w:t>
      </w:r>
      <w:r>
        <w:t xml:space="preserve">: </w:t>
      </w:r>
      <w:r w:rsidR="5172A85D">
        <w:t>Close family members of 111 young adults with DS (52 female; ages 18-39; M=27</w:t>
      </w:r>
      <w:r w:rsidR="3539F9B8">
        <w:t>,</w:t>
      </w:r>
      <w:r w:rsidR="5172A85D">
        <w:t xml:space="preserve"> SD=5) completed questionnaires about their health</w:t>
      </w:r>
      <w:r w:rsidR="7AEF4BA7">
        <w:t xml:space="preserve"> (</w:t>
      </w:r>
      <w:r w:rsidR="5172A85D">
        <w:t>including a questionnaire probing medication use</w:t>
      </w:r>
      <w:r w:rsidR="7AEF4BA7">
        <w:t>)</w:t>
      </w:r>
      <w:r w:rsidR="5172A85D">
        <w:t>,</w:t>
      </w:r>
      <w:r w:rsidR="7AEF4BA7">
        <w:t xml:space="preserve"> </w:t>
      </w:r>
      <w:r w:rsidR="5172A85D">
        <w:t>everyday executive function skills (Behavior Rating Inventory of Executive Function – A; BRIEF-A</w:t>
      </w:r>
      <w:r w:rsidR="7390C88B">
        <w:t>; data available for n=84</w:t>
      </w:r>
      <w:r w:rsidR="5172A85D">
        <w:t>)</w:t>
      </w:r>
      <w:r w:rsidR="7AEF4BA7">
        <w:t>,</w:t>
      </w:r>
      <w:r w:rsidR="5172A85D">
        <w:t xml:space="preserve"> and changes in cognition/behavior observed via a dementia screening question</w:t>
      </w:r>
      <w:r w:rsidR="3539F9B8">
        <w:t>naire</w:t>
      </w:r>
      <w:r w:rsidR="5172A85D">
        <w:t xml:space="preserve"> (Dementia Screening Questionnaire for Individuals with Intellectual </w:t>
      </w:r>
      <w:r w:rsidR="7390C88B">
        <w:t>Disabilities</w:t>
      </w:r>
      <w:r w:rsidR="5172A85D">
        <w:t>; DSQIID</w:t>
      </w:r>
      <w:r w:rsidR="7390C88B">
        <w:t>; data available for n=105</w:t>
      </w:r>
      <w:r w:rsidR="5172A85D">
        <w:t>)</w:t>
      </w:r>
      <w:r w:rsidR="7AEF4BA7">
        <w:t>. Medications were coded for their anticholinergic properties using the CRIDECO Anticholinergic Load</w:t>
      </w:r>
      <w:r w:rsidR="656178BC">
        <w:t xml:space="preserve"> </w:t>
      </w:r>
      <w:r w:rsidR="7AEF4BA7">
        <w:t>Scale (CALS)</w:t>
      </w:r>
      <w:r w:rsidR="4E03FDB2">
        <w:t>.</w:t>
      </w:r>
      <w:r w:rsidR="7AEF4BA7">
        <w:t xml:space="preserve"> Participants were then divided into groups based on their current AMU: AMU+ (taking at least one anticholinergic medication) and AMU- (not taking anticholinergic medications). </w:t>
      </w:r>
      <w:r w:rsidR="25248182">
        <w:t xml:space="preserve">Within the AMU+ group, medication type (i.e., psychotropic versus other) was </w:t>
      </w:r>
      <w:r w:rsidR="4488C205">
        <w:t xml:space="preserve">also </w:t>
      </w:r>
      <w:r w:rsidR="25248182">
        <w:t xml:space="preserve">coded. </w:t>
      </w:r>
      <w:r w:rsidR="5F6D8995">
        <w:t xml:space="preserve">Then </w:t>
      </w:r>
      <w:r w:rsidR="7AEF4BA7">
        <w:t xml:space="preserve">group comparisons on the BRIEF-A Behavior Regulation (BRI) and Metacognition (MI) Indices </w:t>
      </w:r>
      <w:r w:rsidR="6128BF87">
        <w:t>as well as the DSQIID total score were examined</w:t>
      </w:r>
      <w:r w:rsidR="2D2671DD">
        <w:t xml:space="preserve"> using independent samples t-tests</w:t>
      </w:r>
      <w:r w:rsidR="00D85DE0">
        <w:t>. This was done f</w:t>
      </w:r>
      <w:r w:rsidR="603E1E9A">
        <w:t xml:space="preserve">irst for the whole sample regardless of anticholinergic medication type and then </w:t>
      </w:r>
      <w:r w:rsidR="522202EF">
        <w:t xml:space="preserve">removing those participants who </w:t>
      </w:r>
      <w:r w:rsidR="5792668E">
        <w:t xml:space="preserve">were </w:t>
      </w:r>
      <w:r w:rsidR="522202EF">
        <w:t xml:space="preserve">taking </w:t>
      </w:r>
      <w:r w:rsidR="00430725">
        <w:t xml:space="preserve">only psychotropic </w:t>
      </w:r>
      <w:r w:rsidR="522202EF">
        <w:t>anticholinergic medications</w:t>
      </w:r>
      <w:r w:rsidR="45CBD32F">
        <w:t>.</w:t>
      </w:r>
    </w:p>
    <w:p w14:paraId="62F17B78" w14:textId="757EE2B3" w:rsidR="00B84D53" w:rsidRPr="000D0BFE" w:rsidRDefault="376B1179" w:rsidP="00B84D53">
      <w:r w:rsidRPr="0891AA5B">
        <w:rPr>
          <w:b/>
          <w:bCs/>
        </w:rPr>
        <w:t>Results</w:t>
      </w:r>
      <w:r>
        <w:t xml:space="preserve">: </w:t>
      </w:r>
      <w:r w:rsidR="6128BF87">
        <w:t xml:space="preserve">Just under half of the sample (n=46; 41.4%) </w:t>
      </w:r>
      <w:r w:rsidR="656178BC">
        <w:t>was</w:t>
      </w:r>
      <w:r w:rsidR="6128BF87">
        <w:t xml:space="preserve"> taking at least one anticholinergic medication. T-tests comparing the AMU+ and AMU- groups (which did not differ on age or sex ratio</w:t>
      </w:r>
      <w:r w:rsidR="73C4F28D">
        <w:t xml:space="preserve">; </w:t>
      </w:r>
      <w:proofErr w:type="spellStart"/>
      <w:r w:rsidR="73C4F28D" w:rsidRPr="0891AA5B">
        <w:rPr>
          <w:i/>
          <w:iCs/>
        </w:rPr>
        <w:t>p</w:t>
      </w:r>
      <w:r w:rsidR="73C4F28D">
        <w:t>s</w:t>
      </w:r>
      <w:proofErr w:type="spellEnd"/>
      <w:r w:rsidR="73C4F28D">
        <w:t>&gt;.7</w:t>
      </w:r>
      <w:r w:rsidR="6128BF87">
        <w:t xml:space="preserve">) revealed higher scores (indicating greater impairments) </w:t>
      </w:r>
      <w:r w:rsidR="42E51F33">
        <w:t>among those in the AMU+</w:t>
      </w:r>
      <w:r w:rsidR="10628DBD">
        <w:t xml:space="preserve"> (n=33)</w:t>
      </w:r>
      <w:r w:rsidR="42E51F33">
        <w:t xml:space="preserve"> than AM</w:t>
      </w:r>
      <w:r w:rsidR="3539F9B8">
        <w:t>U</w:t>
      </w:r>
      <w:r w:rsidR="42E51F33">
        <w:t>-</w:t>
      </w:r>
      <w:r w:rsidR="367A8BCC">
        <w:t xml:space="preserve"> (n=51)</w:t>
      </w:r>
      <w:r w:rsidR="42E51F33">
        <w:t xml:space="preserve"> group on the</w:t>
      </w:r>
      <w:r w:rsidR="6128BF87">
        <w:t xml:space="preserve"> BRIEF-</w:t>
      </w:r>
      <w:r w:rsidR="3539F9B8">
        <w:t>A</w:t>
      </w:r>
      <w:r w:rsidR="6128BF87">
        <w:t xml:space="preserve"> BRI (</w:t>
      </w:r>
      <w:r w:rsidR="73C4F28D" w:rsidRPr="0891AA5B">
        <w:rPr>
          <w:i/>
          <w:iCs/>
        </w:rPr>
        <w:t>t</w:t>
      </w:r>
      <w:r w:rsidR="73C4F28D">
        <w:t>=</w:t>
      </w:r>
      <w:r w:rsidR="6B2897F0">
        <w:t>2.61</w:t>
      </w:r>
      <w:r w:rsidR="23AB0062">
        <w:t>,</w:t>
      </w:r>
      <w:r w:rsidR="73C4F28D">
        <w:t xml:space="preserve"> </w:t>
      </w:r>
      <w:r w:rsidR="73C4F28D" w:rsidRPr="0891AA5B">
        <w:rPr>
          <w:i/>
          <w:iCs/>
        </w:rPr>
        <w:t>p</w:t>
      </w:r>
      <w:r w:rsidR="73C4F28D">
        <w:t>&lt;</w:t>
      </w:r>
      <w:r w:rsidR="6B2897F0">
        <w:t>.0</w:t>
      </w:r>
      <w:r w:rsidR="1A5C8BAF">
        <w:t>2,</w:t>
      </w:r>
      <w:r w:rsidR="75F73881">
        <w:t xml:space="preserve"> </w:t>
      </w:r>
      <w:r w:rsidR="75F73881" w:rsidRPr="0891AA5B">
        <w:rPr>
          <w:i/>
          <w:iCs/>
        </w:rPr>
        <w:t>d</w:t>
      </w:r>
      <w:r w:rsidR="75F73881">
        <w:t>=</w:t>
      </w:r>
      <w:r w:rsidR="5D272DF0">
        <w:t>.58</w:t>
      </w:r>
      <w:r w:rsidR="6128BF87">
        <w:t xml:space="preserve">) and MI </w:t>
      </w:r>
      <w:r w:rsidR="489D02A9">
        <w:t>(</w:t>
      </w:r>
      <w:r w:rsidR="489D02A9" w:rsidRPr="0891AA5B">
        <w:rPr>
          <w:i/>
          <w:iCs/>
        </w:rPr>
        <w:t>t</w:t>
      </w:r>
      <w:r w:rsidR="489D02A9">
        <w:t>=</w:t>
      </w:r>
      <w:r w:rsidR="6B2897F0">
        <w:t>2.43</w:t>
      </w:r>
      <w:r w:rsidR="13B38B19">
        <w:t>,</w:t>
      </w:r>
      <w:r w:rsidR="489D02A9">
        <w:t xml:space="preserve"> </w:t>
      </w:r>
      <w:r w:rsidR="489D02A9" w:rsidRPr="0891AA5B">
        <w:rPr>
          <w:i/>
          <w:iCs/>
        </w:rPr>
        <w:t>p</w:t>
      </w:r>
      <w:r w:rsidR="489D02A9">
        <w:t>&lt;</w:t>
      </w:r>
      <w:r w:rsidR="6B2897F0">
        <w:t>.0</w:t>
      </w:r>
      <w:r w:rsidR="01855F61">
        <w:t>2</w:t>
      </w:r>
      <w:r w:rsidR="6E8CECC2">
        <w:t>,</w:t>
      </w:r>
      <w:r w:rsidR="3BB0A16D">
        <w:t xml:space="preserve"> </w:t>
      </w:r>
      <w:r w:rsidR="3BB0A16D" w:rsidRPr="0891AA5B">
        <w:rPr>
          <w:i/>
          <w:iCs/>
        </w:rPr>
        <w:t>d</w:t>
      </w:r>
      <w:r w:rsidR="3BB0A16D">
        <w:t>=</w:t>
      </w:r>
      <w:r w:rsidR="3485772C">
        <w:t>.54</w:t>
      </w:r>
      <w:r w:rsidR="489D02A9">
        <w:t>)</w:t>
      </w:r>
      <w:r w:rsidR="3FD0F957">
        <w:t xml:space="preserve">. </w:t>
      </w:r>
      <w:r w:rsidR="2F08A94F">
        <w:t xml:space="preserve">Similarly, higher scores were observed in </w:t>
      </w:r>
      <w:r w:rsidR="00C16460">
        <w:t xml:space="preserve">the </w:t>
      </w:r>
      <w:r w:rsidR="3FD0F957">
        <w:t>AMU+</w:t>
      </w:r>
      <w:r w:rsidR="6128BF87">
        <w:t xml:space="preserve"> </w:t>
      </w:r>
      <w:r w:rsidR="00D56587">
        <w:t xml:space="preserve">group </w:t>
      </w:r>
      <w:r w:rsidR="7CCDAF8C">
        <w:t>(n=</w:t>
      </w:r>
      <w:r w:rsidR="17197138">
        <w:t>43</w:t>
      </w:r>
      <w:r w:rsidR="7CCDAF8C">
        <w:t xml:space="preserve">) than AMU- </w:t>
      </w:r>
      <w:r w:rsidR="00D56587">
        <w:t xml:space="preserve">group </w:t>
      </w:r>
      <w:r w:rsidR="7CCDAF8C">
        <w:t>(n=</w:t>
      </w:r>
      <w:r w:rsidR="1E427C19">
        <w:t>62</w:t>
      </w:r>
      <w:r w:rsidR="7CCDAF8C">
        <w:t xml:space="preserve">) on the </w:t>
      </w:r>
      <w:r w:rsidR="6128BF87">
        <w:t xml:space="preserve">DSQIID </w:t>
      </w:r>
      <w:r w:rsidR="55809DA3">
        <w:t>(</w:t>
      </w:r>
      <w:r w:rsidR="55809DA3" w:rsidRPr="0891AA5B">
        <w:rPr>
          <w:i/>
          <w:iCs/>
        </w:rPr>
        <w:t>t</w:t>
      </w:r>
      <w:r w:rsidR="55809DA3">
        <w:t>=</w:t>
      </w:r>
      <w:r w:rsidR="6B2897F0">
        <w:t>3.15</w:t>
      </w:r>
      <w:r w:rsidR="35EACC37">
        <w:t>,</w:t>
      </w:r>
      <w:r w:rsidR="55809DA3">
        <w:t xml:space="preserve"> </w:t>
      </w:r>
      <w:r w:rsidR="55809DA3" w:rsidRPr="0891AA5B">
        <w:rPr>
          <w:i/>
          <w:iCs/>
        </w:rPr>
        <w:t>p</w:t>
      </w:r>
      <w:r w:rsidR="55809DA3">
        <w:t>&lt;</w:t>
      </w:r>
      <w:r w:rsidR="6B2897F0">
        <w:t>.00</w:t>
      </w:r>
      <w:r w:rsidR="3DAFB423">
        <w:t>4</w:t>
      </w:r>
      <w:r w:rsidR="765B5471">
        <w:t>,</w:t>
      </w:r>
      <w:r w:rsidR="37EB9131">
        <w:t xml:space="preserve"> </w:t>
      </w:r>
      <w:r w:rsidR="37EB9131" w:rsidRPr="0891AA5B">
        <w:rPr>
          <w:i/>
          <w:iCs/>
        </w:rPr>
        <w:t>d</w:t>
      </w:r>
      <w:r w:rsidR="37EB9131">
        <w:t>=</w:t>
      </w:r>
      <w:r w:rsidR="65B2EFB8">
        <w:t>.73</w:t>
      </w:r>
      <w:r w:rsidR="55809DA3">
        <w:t>)</w:t>
      </w:r>
      <w:r w:rsidR="6128BF87">
        <w:t xml:space="preserve">. </w:t>
      </w:r>
      <w:r w:rsidR="00175FAF" w:rsidRPr="000D0BFE">
        <w:t xml:space="preserve">Because individuals with psychiatric and neurological conditions </w:t>
      </w:r>
      <w:r w:rsidR="4192FB68">
        <w:t xml:space="preserve">that </w:t>
      </w:r>
      <w:r w:rsidR="00175FAF">
        <w:t>necessitate</w:t>
      </w:r>
      <w:r w:rsidR="00175FAF" w:rsidRPr="000D0BFE">
        <w:t xml:space="preserve"> medication may have more cognitive challenges, </w:t>
      </w:r>
      <w:r w:rsidR="00DA04F3" w:rsidRPr="000D0BFE">
        <w:t xml:space="preserve">those participants who </w:t>
      </w:r>
      <w:r w:rsidR="00304F87" w:rsidRPr="000D0BFE">
        <w:t xml:space="preserve">were taking </w:t>
      </w:r>
      <w:r w:rsidR="00F92B5B" w:rsidRPr="000D0BFE">
        <w:t xml:space="preserve">only </w:t>
      </w:r>
      <w:r w:rsidR="001C6D5E" w:rsidRPr="000D0BFE">
        <w:t xml:space="preserve">psychotropic </w:t>
      </w:r>
      <w:r w:rsidR="00304F87" w:rsidRPr="000D0BFE">
        <w:t>anticholinergic medications we</w:t>
      </w:r>
      <w:r w:rsidR="7AE10992" w:rsidRPr="000D0BFE">
        <w:t>re</w:t>
      </w:r>
      <w:r w:rsidR="00304F87" w:rsidRPr="000D0BFE">
        <w:t xml:space="preserve"> removed</w:t>
      </w:r>
      <w:r w:rsidR="00A14737" w:rsidRPr="000D0BFE">
        <w:t>. A</w:t>
      </w:r>
      <w:r w:rsidR="00175FAF" w:rsidRPr="000D0BFE">
        <w:t>nalyses were</w:t>
      </w:r>
      <w:r w:rsidR="00970522" w:rsidRPr="000D0BFE">
        <w:t xml:space="preserve"> then</w:t>
      </w:r>
      <w:r w:rsidR="00175FAF" w:rsidRPr="000D0BFE">
        <w:t xml:space="preserve"> re-run with </w:t>
      </w:r>
      <w:r w:rsidR="00983D91" w:rsidRPr="000D0BFE">
        <w:t>the</w:t>
      </w:r>
      <w:r w:rsidR="00175FAF" w:rsidRPr="000D0BFE">
        <w:t xml:space="preserve"> subsample of AMU+ participants who were taking at least one </w:t>
      </w:r>
      <w:r w:rsidR="00D91057" w:rsidRPr="000D0BFE">
        <w:t xml:space="preserve">non-psychotropic </w:t>
      </w:r>
      <w:r w:rsidR="00175FAF" w:rsidRPr="000D0BFE">
        <w:t xml:space="preserve">anticholinergic medication </w:t>
      </w:r>
      <w:r w:rsidR="00966423" w:rsidRPr="000D0BFE">
        <w:t>(n=19 for BRIEF-A; n=26 for DSQIID).</w:t>
      </w:r>
      <w:r w:rsidR="00B84D53" w:rsidRPr="000D0BFE">
        <w:t xml:space="preserve"> When this more conservative subsample of participants was examined</w:t>
      </w:r>
      <w:r w:rsidR="00B82381" w:rsidRPr="000D0BFE">
        <w:t xml:space="preserve"> relative to peers in the AMU- group</w:t>
      </w:r>
      <w:r w:rsidR="00B84D53" w:rsidRPr="000D0BFE">
        <w:t>, results for the BRIEF-A BRI (</w:t>
      </w:r>
      <w:r w:rsidR="00B84D53" w:rsidRPr="000D0BFE">
        <w:rPr>
          <w:i/>
          <w:iCs/>
        </w:rPr>
        <w:t>t</w:t>
      </w:r>
      <w:r w:rsidR="00B84D53" w:rsidRPr="000D0BFE">
        <w:t xml:space="preserve">=1.49, </w:t>
      </w:r>
      <w:r w:rsidR="00B84D53" w:rsidRPr="000D0BFE">
        <w:rPr>
          <w:i/>
          <w:iCs/>
        </w:rPr>
        <w:t>p</w:t>
      </w:r>
      <w:r w:rsidR="00B84D53" w:rsidRPr="000D0BFE">
        <w:t xml:space="preserve">=.14, </w:t>
      </w:r>
      <w:r w:rsidR="00B84D53" w:rsidRPr="000D0BFE">
        <w:rPr>
          <w:i/>
          <w:iCs/>
        </w:rPr>
        <w:t>d</w:t>
      </w:r>
      <w:r w:rsidR="00B84D53" w:rsidRPr="000D0BFE">
        <w:t>=.40) and MI (</w:t>
      </w:r>
      <w:r w:rsidR="00B84D53" w:rsidRPr="000D0BFE">
        <w:rPr>
          <w:i/>
          <w:iCs/>
        </w:rPr>
        <w:t>t</w:t>
      </w:r>
      <w:r w:rsidR="00B84D53" w:rsidRPr="000D0BFE">
        <w:t xml:space="preserve">=1.45, </w:t>
      </w:r>
      <w:r w:rsidR="00B84D53" w:rsidRPr="000D0BFE">
        <w:rPr>
          <w:i/>
          <w:iCs/>
        </w:rPr>
        <w:t>p</w:t>
      </w:r>
      <w:r w:rsidR="00B84D53" w:rsidRPr="000D0BFE">
        <w:t xml:space="preserve">=.15, </w:t>
      </w:r>
      <w:r w:rsidR="00B84D53" w:rsidRPr="000D0BFE">
        <w:rPr>
          <w:i/>
          <w:iCs/>
        </w:rPr>
        <w:t>d</w:t>
      </w:r>
      <w:r w:rsidR="00B84D53" w:rsidRPr="000D0BFE">
        <w:t>=.39) were no longer statistically significant (but continued to favor the AMU- group). In contrast, group differences on the DSQIID remained (</w:t>
      </w:r>
      <w:r w:rsidR="00B84D53" w:rsidRPr="000D0BFE">
        <w:rPr>
          <w:i/>
          <w:iCs/>
        </w:rPr>
        <w:t>t</w:t>
      </w:r>
      <w:r w:rsidR="00B84D53" w:rsidRPr="000D0BFE">
        <w:t xml:space="preserve">=2.68, </w:t>
      </w:r>
      <w:r w:rsidR="00B84D53" w:rsidRPr="000D0BFE">
        <w:rPr>
          <w:i/>
          <w:iCs/>
        </w:rPr>
        <w:t>p</w:t>
      </w:r>
      <w:r w:rsidR="00B84D53" w:rsidRPr="000D0BFE">
        <w:t xml:space="preserve">&lt;007, </w:t>
      </w:r>
      <w:r w:rsidR="00B84D53" w:rsidRPr="000D0BFE">
        <w:rPr>
          <w:i/>
          <w:iCs/>
        </w:rPr>
        <w:t>d</w:t>
      </w:r>
      <w:r w:rsidR="00B84D53" w:rsidRPr="000D0BFE">
        <w:t>=.82).</w:t>
      </w:r>
    </w:p>
    <w:p w14:paraId="032FECF5" w14:textId="148F60F5" w:rsidR="00F97924" w:rsidRDefault="376B1179" w:rsidP="008D14F7">
      <w:r w:rsidRPr="000D0BFE">
        <w:rPr>
          <w:b/>
          <w:bCs/>
        </w:rPr>
        <w:t>Discussion</w:t>
      </w:r>
      <w:r w:rsidRPr="000D0BFE">
        <w:t xml:space="preserve">: </w:t>
      </w:r>
      <w:r w:rsidR="42E51F33" w:rsidRPr="000D0BFE">
        <w:t xml:space="preserve">As DS is associated with elevated rates of precocious onset dementia and prior research in the general population has documented a link between AMU and </w:t>
      </w:r>
      <w:r w:rsidR="4B3F5341" w:rsidRPr="000D0BFE">
        <w:t>dementia risk</w:t>
      </w:r>
      <w:r w:rsidR="42E51F33" w:rsidRPr="000D0BFE">
        <w:t xml:space="preserve">, the current research sought to examine this relationship in a group of young adults (ages 18-39 years) with DS. Consistent with research in the general population, AMU was associated with greater caregiver reported executive dysfunction and greater reports of </w:t>
      </w:r>
      <w:r w:rsidR="3CD63D88" w:rsidRPr="000D0BFE">
        <w:t xml:space="preserve">declines </w:t>
      </w:r>
      <w:r w:rsidR="42E51F33" w:rsidRPr="000D0BFE">
        <w:t>in cognition and behavior on a dementia screening questionnaire</w:t>
      </w:r>
      <w:r w:rsidR="686659BD">
        <w:t xml:space="preserve"> among young adults with DS</w:t>
      </w:r>
      <w:r w:rsidR="42E51F33">
        <w:t>.</w:t>
      </w:r>
      <w:r w:rsidR="42E51F33" w:rsidRPr="000D0BFE">
        <w:t xml:space="preserve"> </w:t>
      </w:r>
      <w:r w:rsidR="00A14814" w:rsidRPr="000D0BFE">
        <w:t xml:space="preserve">However, when participants who were taking only psychotropic anticholinergic medications were removed from </w:t>
      </w:r>
      <w:r w:rsidR="00097195" w:rsidRPr="000D0BFE">
        <w:t>analyses</w:t>
      </w:r>
      <w:r w:rsidR="00A14814" w:rsidRPr="000D0BFE">
        <w:t xml:space="preserve">, observed executive dysfunction differences were reduced to trend-level findings, but dementia screening questionnaire scores continued to differ between the groups. These results highlight the importance of systematic investigations into AMU and their </w:t>
      </w:r>
      <w:r w:rsidR="00A14814" w:rsidRPr="000D0BFE">
        <w:lastRenderedPageBreak/>
        <w:t>concomitant risk for AD among individuals with DS, as anticholinergic medication exposure represents a modifiable risk factor for AD.</w:t>
      </w:r>
    </w:p>
    <w:p w14:paraId="74153AA9" w14:textId="77777777" w:rsidR="00E3209B" w:rsidRDefault="009B17A1" w:rsidP="3E6AB33C">
      <w:pPr>
        <w:spacing w:after="0"/>
      </w:pPr>
      <w:r w:rsidRPr="007B5928">
        <w:rPr>
          <w:b/>
          <w:bCs/>
        </w:rPr>
        <w:t>References</w:t>
      </w:r>
      <w:r>
        <w:t xml:space="preserve"> </w:t>
      </w:r>
    </w:p>
    <w:p w14:paraId="67F77CBE" w14:textId="14792975" w:rsidR="00E3209B" w:rsidRDefault="11083613" w:rsidP="000351CF">
      <w:pPr>
        <w:spacing w:after="0" w:line="240" w:lineRule="auto"/>
        <w:ind w:left="720" w:hanging="720"/>
      </w:pPr>
      <w:r>
        <w:t xml:space="preserve">Coupland, C. A., Hill, T., Dening, T., Morriss, R., Moore, M., &amp; </w:t>
      </w:r>
      <w:proofErr w:type="spellStart"/>
      <w:r>
        <w:t>Hippisley</w:t>
      </w:r>
      <w:proofErr w:type="spellEnd"/>
      <w:r>
        <w:t>-Cox, J. (2019). Anticholinergic drug exposure and the risk of dementia: a nested case-control study. </w:t>
      </w:r>
      <w:r w:rsidRPr="0891AA5B">
        <w:rPr>
          <w:i/>
          <w:iCs/>
        </w:rPr>
        <w:t xml:space="preserve">JAMA </w:t>
      </w:r>
      <w:r w:rsidR="43AD0BA8" w:rsidRPr="0891AA5B">
        <w:rPr>
          <w:i/>
          <w:iCs/>
        </w:rPr>
        <w:t>I</w:t>
      </w:r>
      <w:r w:rsidRPr="0891AA5B">
        <w:rPr>
          <w:i/>
          <w:iCs/>
        </w:rPr>
        <w:t xml:space="preserve">nternal </w:t>
      </w:r>
      <w:r w:rsidR="0009D56A" w:rsidRPr="0891AA5B">
        <w:rPr>
          <w:i/>
          <w:iCs/>
        </w:rPr>
        <w:t>M</w:t>
      </w:r>
      <w:r w:rsidRPr="0891AA5B">
        <w:rPr>
          <w:i/>
          <w:iCs/>
        </w:rPr>
        <w:t>edicine</w:t>
      </w:r>
      <w:r>
        <w:t>, </w:t>
      </w:r>
      <w:r w:rsidRPr="0891AA5B">
        <w:rPr>
          <w:i/>
          <w:iCs/>
        </w:rPr>
        <w:t>179</w:t>
      </w:r>
      <w:r>
        <w:t>(8), 1084-1093.</w:t>
      </w:r>
    </w:p>
    <w:p w14:paraId="7B97F941" w14:textId="77777777" w:rsidR="00E3209B" w:rsidRDefault="00E3209B" w:rsidP="000351CF">
      <w:pPr>
        <w:spacing w:after="0" w:line="240" w:lineRule="auto"/>
        <w:ind w:left="720" w:hanging="720"/>
      </w:pPr>
      <w:proofErr w:type="spellStart"/>
      <w:r w:rsidRPr="00E3209B">
        <w:t>Fortea</w:t>
      </w:r>
      <w:proofErr w:type="spellEnd"/>
      <w:r w:rsidRPr="00E3209B">
        <w:t xml:space="preserve">, J., Zaman, S. H., Hartley, S., </w:t>
      </w:r>
      <w:proofErr w:type="spellStart"/>
      <w:r w:rsidRPr="00E3209B">
        <w:t>Rafii</w:t>
      </w:r>
      <w:proofErr w:type="spellEnd"/>
      <w:r w:rsidRPr="00E3209B">
        <w:t>, M. S., Head, E., &amp; Carmona-</w:t>
      </w:r>
      <w:proofErr w:type="spellStart"/>
      <w:r w:rsidRPr="00E3209B">
        <w:t>Iragui</w:t>
      </w:r>
      <w:proofErr w:type="spellEnd"/>
      <w:r w:rsidRPr="00E3209B">
        <w:t>, M. (2021). Alzheimer's disease associated with Down syndrome: a genetic form of dementia. </w:t>
      </w:r>
      <w:r w:rsidRPr="00E3209B">
        <w:rPr>
          <w:i/>
          <w:iCs/>
        </w:rPr>
        <w:t>The Lancet Neurology</w:t>
      </w:r>
      <w:r w:rsidRPr="00E3209B">
        <w:t>, </w:t>
      </w:r>
      <w:r w:rsidRPr="00E3209B">
        <w:rPr>
          <w:i/>
          <w:iCs/>
        </w:rPr>
        <w:t>20</w:t>
      </w:r>
      <w:r w:rsidRPr="00E3209B">
        <w:t>(11), 930-942.</w:t>
      </w:r>
    </w:p>
    <w:p w14:paraId="5B4BB34C" w14:textId="5B3E232F" w:rsidR="00E3209B" w:rsidRDefault="11083613" w:rsidP="000351CF">
      <w:pPr>
        <w:spacing w:after="0" w:line="240" w:lineRule="auto"/>
        <w:ind w:left="720" w:hanging="720"/>
      </w:pPr>
      <w:r>
        <w:t xml:space="preserve">Laura Ward, M., Cooper, S. A., Henderson, A., Stanley, B., </w:t>
      </w:r>
      <w:proofErr w:type="spellStart"/>
      <w:r>
        <w:t>Greenlaw</w:t>
      </w:r>
      <w:proofErr w:type="spellEnd"/>
      <w:r>
        <w:t xml:space="preserve">, N., </w:t>
      </w:r>
      <w:proofErr w:type="spellStart"/>
      <w:r>
        <w:t>Pacitti</w:t>
      </w:r>
      <w:proofErr w:type="spellEnd"/>
      <w:r>
        <w:t>, C., &amp; Cairns, D. (2022). A study on prescriptions contributing to the risk of high anticholinergic burden in adults with intellectual disabilities: retrospective record linkage study. </w:t>
      </w:r>
      <w:r w:rsidRPr="0891AA5B">
        <w:rPr>
          <w:i/>
          <w:iCs/>
        </w:rPr>
        <w:t xml:space="preserve">Annals of </w:t>
      </w:r>
      <w:r w:rsidR="53261C68" w:rsidRPr="0891AA5B">
        <w:rPr>
          <w:i/>
          <w:iCs/>
        </w:rPr>
        <w:t>G</w:t>
      </w:r>
      <w:r w:rsidRPr="0891AA5B">
        <w:rPr>
          <w:i/>
          <w:iCs/>
        </w:rPr>
        <w:t xml:space="preserve">eneral </w:t>
      </w:r>
      <w:r w:rsidR="3AAEA62E" w:rsidRPr="0891AA5B">
        <w:rPr>
          <w:i/>
          <w:iCs/>
        </w:rPr>
        <w:t>P</w:t>
      </w:r>
      <w:r w:rsidRPr="0891AA5B">
        <w:rPr>
          <w:i/>
          <w:iCs/>
        </w:rPr>
        <w:t>sychiatry</w:t>
      </w:r>
      <w:r>
        <w:t>, </w:t>
      </w:r>
      <w:r w:rsidRPr="0891AA5B">
        <w:rPr>
          <w:i/>
          <w:iCs/>
        </w:rPr>
        <w:t>21</w:t>
      </w:r>
      <w:r>
        <w:t>(1), 41.</w:t>
      </w:r>
    </w:p>
    <w:p w14:paraId="43D3DA70" w14:textId="50EDAA7E" w:rsidR="00F736E8" w:rsidRDefault="429D8B2A" w:rsidP="039B1B16">
      <w:pPr>
        <w:spacing w:after="0" w:line="240" w:lineRule="auto"/>
        <w:ind w:left="720" w:hanging="720"/>
      </w:pPr>
      <w:proofErr w:type="spellStart"/>
      <w:r>
        <w:t>Risacher</w:t>
      </w:r>
      <w:proofErr w:type="spellEnd"/>
      <w:r>
        <w:t xml:space="preserve">, S. L., McDonald, B. C., Tallman, E. F., West, J. D., Farlow, M. R., </w:t>
      </w:r>
      <w:proofErr w:type="spellStart"/>
      <w:r>
        <w:t>Unverzagt</w:t>
      </w:r>
      <w:proofErr w:type="spellEnd"/>
      <w:r>
        <w:t>, F. W., ... &amp; Alzheimer’s Disease Neuroimaging Initiative. (2016). Association between anticholinergic medication use and cognition, brain metabolism, and brain atrophy in cognitively normal older adults. </w:t>
      </w:r>
      <w:r w:rsidRPr="039B1B16">
        <w:rPr>
          <w:i/>
          <w:iCs/>
        </w:rPr>
        <w:t xml:space="preserve">JAMA </w:t>
      </w:r>
      <w:r w:rsidR="1A47DCE4" w:rsidRPr="039B1B16">
        <w:rPr>
          <w:i/>
          <w:iCs/>
        </w:rPr>
        <w:t>N</w:t>
      </w:r>
      <w:r w:rsidRPr="039B1B16">
        <w:rPr>
          <w:i/>
          <w:iCs/>
        </w:rPr>
        <w:t>eurology</w:t>
      </w:r>
      <w:r>
        <w:t>, </w:t>
      </w:r>
      <w:r w:rsidRPr="039B1B16">
        <w:rPr>
          <w:i/>
          <w:iCs/>
        </w:rPr>
        <w:t>73</w:t>
      </w:r>
      <w:r>
        <w:t>(6), 721-732.</w:t>
      </w:r>
    </w:p>
    <w:p w14:paraId="22C9C74C" w14:textId="18064D2F" w:rsidR="039B1B16" w:rsidRDefault="039B1B16" w:rsidP="039B1B16">
      <w:pPr>
        <w:spacing w:after="0" w:line="240" w:lineRule="auto"/>
        <w:ind w:left="720" w:hanging="720"/>
      </w:pPr>
    </w:p>
    <w:p w14:paraId="427CA510" w14:textId="1D88F423" w:rsidR="00374248" w:rsidRPr="00F736E8" w:rsidRDefault="253A698E" w:rsidP="00F736E8">
      <w:pPr>
        <w:jc w:val="center"/>
        <w:rPr>
          <w:b/>
          <w:bCs/>
        </w:rPr>
      </w:pPr>
      <w:r w:rsidRPr="0891AA5B">
        <w:rPr>
          <w:b/>
          <w:bCs/>
        </w:rPr>
        <w:t>Paper 2 of 4</w:t>
      </w:r>
    </w:p>
    <w:p w14:paraId="16A74D5A" w14:textId="77777777" w:rsidR="00374248" w:rsidRDefault="00374248" w:rsidP="00374248">
      <w:r w:rsidRPr="0891AA5B">
        <w:rPr>
          <w:b/>
          <w:bCs/>
        </w:rPr>
        <w:t>Paper Title</w:t>
      </w:r>
      <w:r>
        <w:t>: Anticholinergic Medication Use and Associations with Everyday Memory Problems and Cognitive Decline in Autistic Adults with Higher Support Needs</w:t>
      </w:r>
    </w:p>
    <w:p w14:paraId="2B4F3FF3" w14:textId="4444E60A" w:rsidR="00374248" w:rsidRDefault="00374248" w:rsidP="00374248">
      <w:pPr>
        <w:rPr>
          <w:highlight w:val="green"/>
        </w:rPr>
      </w:pPr>
      <w:r w:rsidRPr="002A64F0">
        <w:rPr>
          <w:b/>
          <w:bCs/>
        </w:rPr>
        <w:t>Authors</w:t>
      </w:r>
      <w:r>
        <w:t>: Goldie A. McQuaid</w:t>
      </w:r>
      <w:r w:rsidRPr="005F0C4F">
        <w:rPr>
          <w:vertAlign w:val="superscript"/>
        </w:rPr>
        <w:t>1</w:t>
      </w:r>
      <w:r>
        <w:t xml:space="preserve">, Nancy </w:t>
      </w:r>
      <w:proofErr w:type="spellStart"/>
      <w:r>
        <w:t>Raitano</w:t>
      </w:r>
      <w:proofErr w:type="spellEnd"/>
      <w:r>
        <w:t xml:space="preserve"> Lee</w:t>
      </w:r>
      <w:r w:rsidRPr="005F0C4F">
        <w:rPr>
          <w:vertAlign w:val="superscript"/>
        </w:rPr>
        <w:t>2</w:t>
      </w:r>
      <w:r>
        <w:t xml:space="preserve">, </w:t>
      </w:r>
      <w:proofErr w:type="spellStart"/>
      <w:r>
        <w:t>Annissa</w:t>
      </w:r>
      <w:proofErr w:type="spellEnd"/>
      <w:r>
        <w:t xml:space="preserve"> DeSilva</w:t>
      </w:r>
      <w:r w:rsidR="005F0C4F" w:rsidRPr="005F0C4F">
        <w:rPr>
          <w:vertAlign w:val="superscript"/>
        </w:rPr>
        <w:t>3</w:t>
      </w:r>
      <w:r>
        <w:t>, Nicolette Cure</w:t>
      </w:r>
      <w:r w:rsidR="005F0C4F" w:rsidRPr="005F0C4F">
        <w:rPr>
          <w:vertAlign w:val="superscript"/>
        </w:rPr>
        <w:t>3</w:t>
      </w:r>
      <w:r>
        <w:t>, Sophia Cluen</w:t>
      </w:r>
      <w:r w:rsidR="005F0C4F" w:rsidRPr="005F0C4F">
        <w:rPr>
          <w:vertAlign w:val="superscript"/>
        </w:rPr>
        <w:t>3</w:t>
      </w:r>
      <w:r w:rsidRPr="005F0C4F">
        <w:t>,</w:t>
      </w:r>
      <w:r>
        <w:t xml:space="preserve"> &amp; Gregory L. Wallace</w:t>
      </w:r>
      <w:r w:rsidR="005F0C4F" w:rsidRPr="005F0C4F">
        <w:rPr>
          <w:vertAlign w:val="superscript"/>
        </w:rPr>
        <w:t>3</w:t>
      </w:r>
    </w:p>
    <w:p w14:paraId="1A552758" w14:textId="77777777" w:rsidR="00374248" w:rsidRDefault="00374248" w:rsidP="00374248">
      <w:r w:rsidRPr="0891AA5B">
        <w:rPr>
          <w:b/>
          <w:bCs/>
        </w:rPr>
        <w:t>Introduction</w:t>
      </w:r>
      <w:r>
        <w:t>: Many commonly used prescription and over-the-counter medications have potent anticholinergic (AC) effects (</w:t>
      </w:r>
      <w:proofErr w:type="spellStart"/>
      <w:r>
        <w:t>Gerretsen</w:t>
      </w:r>
      <w:proofErr w:type="spellEnd"/>
      <w:r>
        <w:t xml:space="preserve"> &amp; Pollock, 2011). Among older adults in the general population, use of these AC medications is associated with declines in cognitive functioning as assessed via the Mini Mental State Examination (Sargent et al., 2020) and via performance-based measures of memory (</w:t>
      </w:r>
      <w:proofErr w:type="spellStart"/>
      <w:r>
        <w:t>Risacher</w:t>
      </w:r>
      <w:proofErr w:type="spellEnd"/>
      <w:r>
        <w:t xml:space="preserve"> et al., 2016). Moreover, AC medications are associated with acute and chronic cognitive impairment (</w:t>
      </w:r>
      <w:proofErr w:type="spellStart"/>
      <w:r>
        <w:t>Boustani</w:t>
      </w:r>
      <w:proofErr w:type="spellEnd"/>
      <w:r>
        <w:t xml:space="preserve"> et al., 2008; Fox et al., 2011), increased risk for delirium (Egberts et al., 2021), dementia (Cai et al., 2013; Mur et al., 2022), mild cognitive impairment (Cai et al., 2013), and Alzheimer’s Disease (Gray et al., 2015). These associations of AC medication use with cognitive problems are collectively referred to as anticholinergic cognitive burden (ACB). Because of high rates of medical conditions (Hand et al., 2020; Lai et al., 2019; Weir et al., 2021) and polypharmacy (Frazier et al., 2011; Mandell et al., 2008; </w:t>
      </w:r>
      <w:proofErr w:type="spellStart"/>
      <w:r>
        <w:t>Esbensen</w:t>
      </w:r>
      <w:proofErr w:type="spellEnd"/>
      <w:r>
        <w:t xml:space="preserve"> et al., 2009; Ritter et al., 2021; </w:t>
      </w:r>
      <w:proofErr w:type="spellStart"/>
      <w:r>
        <w:t>Jobski</w:t>
      </w:r>
      <w:proofErr w:type="spellEnd"/>
      <w:r>
        <w:t xml:space="preserve"> et al., 2017; Vohra et al., 2016; </w:t>
      </w:r>
      <w:proofErr w:type="spellStart"/>
      <w:r>
        <w:t>Rast</w:t>
      </w:r>
      <w:proofErr w:type="spellEnd"/>
      <w:r>
        <w:t xml:space="preserve"> et al., 2023) across the lifespan, autistic adults likely have particularly high AC exposure, and thus ACB risk (McQuaid et al., 2024). Nevertheless, no research has characterized AC exposure nor its associations with memory problems or cognitive functioning in autistic adults with higher support needs. Thus, in a large sample of autistic adults with higher support needs, we sought to </w:t>
      </w:r>
      <w:proofErr w:type="spellStart"/>
      <w:r>
        <w:t>i</w:t>
      </w:r>
      <w:proofErr w:type="spellEnd"/>
      <w:r>
        <w:t xml:space="preserve">) characterize AC medicine use, and ii) examine its associations with caregiver-rated memory problems and changes in cognition and behavior that have been linked with cognitive decline. </w:t>
      </w:r>
    </w:p>
    <w:p w14:paraId="4FD31B2F" w14:textId="0887C20F" w:rsidR="00374248" w:rsidRDefault="00374248" w:rsidP="00374248">
      <w:r w:rsidRPr="0891AA5B">
        <w:rPr>
          <w:b/>
          <w:bCs/>
        </w:rPr>
        <w:t>Method</w:t>
      </w:r>
      <w:r>
        <w:t xml:space="preserve">: Caregivers of 512 autistic adults (aged 18-68 years, mean age=31.2 years; 20.1% assigned female sex) recruited via the Simons Powering Autism Research (SPARK; The SPARK Consortium, 2018) Research Match service completed an online battery of surveys. They reported on prescription and over-the-counter medications used. Medications were coded based on the CRIDECO Anticholinergic Load Scale (CALS; Ramos et al., 2022) as follows: </w:t>
      </w:r>
      <w:r>
        <w:lastRenderedPageBreak/>
        <w:t>0=no ACB, 1=low ACB, 2=moderate ACB, 3=high ACB. Two indices of ACB were computed: Total ACB score (sum of AC medications), and an ACB score ≥3, a cutoff identified as a clinically meaningful level of ACB (Carnahan et al., 2006; Rudolph et al., 2008). Caregivers of autistic adults also completed the Observer Memory Questionnaire (</w:t>
      </w:r>
      <w:r w:rsidRPr="0891AA5B">
        <w:rPr>
          <w:i/>
          <w:iCs/>
        </w:rPr>
        <w:t>N</w:t>
      </w:r>
      <w:r>
        <w:t>=469; OMQ; G</w:t>
      </w:r>
      <w:r w:rsidRPr="0891AA5B">
        <w:rPr>
          <w:rFonts w:eastAsia="Arial" w:cs="Arial"/>
          <w:color w:val="000000" w:themeColor="text1"/>
          <w:sz w:val="19"/>
          <w:szCs w:val="19"/>
        </w:rPr>
        <w:t>onzalez et al., 2008)</w:t>
      </w:r>
      <w:r>
        <w:t xml:space="preserve">, a measure </w:t>
      </w:r>
      <w:r w:rsidR="060058FF">
        <w:t>utiliz</w:t>
      </w:r>
      <w:r>
        <w:t xml:space="preserve">ed for the assessment of everyday memory functioning among adults with an intellectual disability. </w:t>
      </w:r>
      <w:r w:rsidRPr="15773F33">
        <w:rPr>
          <w:rFonts w:eastAsia="Arial" w:cs="Arial"/>
          <w:color w:val="000000" w:themeColor="text1"/>
        </w:rPr>
        <w:t>The version of the instrument used in the current study was comprised of 27 items with responses made on a 5-point Likert scale (1</w:t>
      </w:r>
      <w:proofErr w:type="gramStart"/>
      <w:r w:rsidRPr="15773F33">
        <w:rPr>
          <w:rFonts w:eastAsia="Arial" w:cs="Arial"/>
          <w:color w:val="000000" w:themeColor="text1"/>
        </w:rPr>
        <w:t>=‘</w:t>
      </w:r>
      <w:proofErr w:type="gramEnd"/>
      <w:r w:rsidRPr="15773F33">
        <w:rPr>
          <w:rFonts w:eastAsia="Arial" w:cs="Arial"/>
          <w:color w:val="000000" w:themeColor="text1"/>
        </w:rPr>
        <w:t>Never/Strongly agree’ to 5=‘Always/Strongly disagree’). Twelve items were reverse scored, generating a total mean item score, where higher scores reflect more observer-reported current everyday memory problems. Caregivers also completed the</w:t>
      </w:r>
      <w:r>
        <w:t xml:space="preserve"> Dementia Screening Questionnaire for Individuals with Intellectual Disabilities (</w:t>
      </w:r>
      <w:r w:rsidRPr="0891AA5B">
        <w:rPr>
          <w:i/>
          <w:iCs/>
        </w:rPr>
        <w:t>N</w:t>
      </w:r>
      <w:r>
        <w:t xml:space="preserve">=466; DSQIID; Deb et al., 2007), which probes changes in cognition and behavior that are linked to cognitive decline. A total of four hierarchical linear regression models were conducted using 10,000 </w:t>
      </w:r>
      <w:proofErr w:type="gramStart"/>
      <w:r>
        <w:t>bias</w:t>
      </w:r>
      <w:proofErr w:type="gramEnd"/>
      <w:r>
        <w:t xml:space="preserve"> corrected and accelerated bootstrap confidence intervals (CI). These models examined ACB associations (total ACB or ACB≥3) with the OMQ or DSQIID mean item scores, after controlling for sex assigned at birth and age.</w:t>
      </w:r>
    </w:p>
    <w:p w14:paraId="70C6A719" w14:textId="77777777" w:rsidR="00374248" w:rsidRDefault="00374248" w:rsidP="00374248">
      <w:pPr>
        <w:rPr>
          <w:rFonts w:eastAsia="Arial" w:cs="Arial"/>
        </w:rPr>
      </w:pPr>
      <w:r w:rsidRPr="0891AA5B">
        <w:rPr>
          <w:rFonts w:eastAsia="Arial" w:cs="Arial"/>
          <w:b/>
          <w:bCs/>
        </w:rPr>
        <w:t>Results</w:t>
      </w:r>
      <w:r w:rsidRPr="0891AA5B">
        <w:rPr>
          <w:rFonts w:eastAsia="Arial" w:cs="Arial"/>
        </w:rPr>
        <w:t xml:space="preserve">: 66% of autistic adults were taking at least one AC medication, with 31% having an ACB≥3. The most common AC medications were antidepressants, antipsychotics, and antihistamines. </w:t>
      </w:r>
      <w:r w:rsidRPr="0891AA5B">
        <w:rPr>
          <w:rFonts w:eastAsia="Arial" w:cs="Arial"/>
          <w:color w:val="000000" w:themeColor="text1"/>
          <w:szCs w:val="20"/>
        </w:rPr>
        <w:t xml:space="preserve">Regression modeling revealed that even after accounting for sex assigned at birth and age, both total ACB (β=0.19, </w:t>
      </w:r>
      <w:r w:rsidRPr="0891AA5B">
        <w:rPr>
          <w:rFonts w:eastAsia="Arial" w:cs="Arial"/>
          <w:i/>
          <w:iCs/>
          <w:color w:val="000000" w:themeColor="text1"/>
          <w:szCs w:val="20"/>
        </w:rPr>
        <w:t>t</w:t>
      </w:r>
      <w:r w:rsidRPr="0891AA5B">
        <w:rPr>
          <w:rFonts w:eastAsia="Arial" w:cs="Arial"/>
          <w:color w:val="000000" w:themeColor="text1"/>
          <w:szCs w:val="20"/>
        </w:rPr>
        <w:t xml:space="preserve">=4.18, </w:t>
      </w:r>
      <w:proofErr w:type="spellStart"/>
      <w:r w:rsidRPr="0891AA5B">
        <w:rPr>
          <w:rFonts w:eastAsia="Arial" w:cs="Arial"/>
          <w:color w:val="000000" w:themeColor="text1"/>
          <w:szCs w:val="20"/>
        </w:rPr>
        <w:t>Δ</w:t>
      </w:r>
      <w:r w:rsidRPr="0891AA5B">
        <w:rPr>
          <w:rFonts w:eastAsia="Arial" w:cs="Arial"/>
          <w:i/>
          <w:iCs/>
          <w:color w:val="000000" w:themeColor="text1"/>
          <w:szCs w:val="20"/>
        </w:rPr>
        <w:t>p</w:t>
      </w:r>
      <w:proofErr w:type="spellEnd"/>
      <w:r w:rsidRPr="0891AA5B">
        <w:rPr>
          <w:rFonts w:eastAsia="Arial" w:cs="Arial"/>
          <w:color w:val="000000" w:themeColor="text1"/>
          <w:szCs w:val="20"/>
        </w:rPr>
        <w:t>=.00003, ΔR</w:t>
      </w:r>
      <w:r w:rsidRPr="0891AA5B">
        <w:rPr>
          <w:rFonts w:eastAsia="Arial" w:cs="Arial"/>
          <w:color w:val="000000" w:themeColor="text1"/>
          <w:szCs w:val="20"/>
          <w:vertAlign w:val="superscript"/>
        </w:rPr>
        <w:t>2</w:t>
      </w:r>
      <w:r w:rsidRPr="0891AA5B">
        <w:rPr>
          <w:rFonts w:eastAsia="Arial" w:cs="Arial"/>
          <w:color w:val="000000" w:themeColor="text1"/>
          <w:szCs w:val="20"/>
        </w:rPr>
        <w:t>=.03, CI</w:t>
      </w:r>
      <w:proofErr w:type="gramStart"/>
      <w:r w:rsidRPr="0891AA5B">
        <w:rPr>
          <w:rFonts w:eastAsia="Arial" w:cs="Arial"/>
          <w:color w:val="000000" w:themeColor="text1"/>
          <w:szCs w:val="20"/>
        </w:rPr>
        <w:t>=[</w:t>
      </w:r>
      <w:proofErr w:type="gramEnd"/>
      <w:r w:rsidRPr="0891AA5B">
        <w:rPr>
          <w:rFonts w:eastAsia="Arial" w:cs="Arial"/>
          <w:color w:val="000000" w:themeColor="text1"/>
          <w:szCs w:val="20"/>
        </w:rPr>
        <w:t xml:space="preserve">.023, .087]) and ACB ≥3 (β=0.19, </w:t>
      </w:r>
      <w:r w:rsidRPr="0891AA5B">
        <w:rPr>
          <w:rFonts w:eastAsia="Arial" w:cs="Arial"/>
          <w:i/>
          <w:iCs/>
          <w:color w:val="000000" w:themeColor="text1"/>
          <w:szCs w:val="20"/>
        </w:rPr>
        <w:t>t</w:t>
      </w:r>
      <w:r w:rsidRPr="0891AA5B">
        <w:rPr>
          <w:rFonts w:eastAsia="Arial" w:cs="Arial"/>
          <w:color w:val="000000" w:themeColor="text1"/>
          <w:szCs w:val="20"/>
        </w:rPr>
        <w:t xml:space="preserve">=4.15, </w:t>
      </w:r>
      <w:proofErr w:type="spellStart"/>
      <w:r w:rsidRPr="0891AA5B">
        <w:rPr>
          <w:rFonts w:eastAsia="Arial" w:cs="Arial"/>
          <w:color w:val="000000" w:themeColor="text1"/>
          <w:szCs w:val="20"/>
        </w:rPr>
        <w:t>Δ</w:t>
      </w:r>
      <w:r w:rsidRPr="0891AA5B">
        <w:rPr>
          <w:rFonts w:eastAsia="Arial" w:cs="Arial"/>
          <w:i/>
          <w:iCs/>
          <w:color w:val="000000" w:themeColor="text1"/>
          <w:szCs w:val="20"/>
        </w:rPr>
        <w:t>p</w:t>
      </w:r>
      <w:proofErr w:type="spellEnd"/>
      <w:r w:rsidRPr="0891AA5B">
        <w:rPr>
          <w:rFonts w:eastAsia="Arial" w:cs="Arial"/>
          <w:color w:val="000000" w:themeColor="text1"/>
          <w:szCs w:val="20"/>
        </w:rPr>
        <w:t>=.00004, ΔR</w:t>
      </w:r>
      <w:r w:rsidRPr="0891AA5B">
        <w:rPr>
          <w:rFonts w:eastAsia="Arial" w:cs="Arial"/>
          <w:color w:val="000000" w:themeColor="text1"/>
          <w:szCs w:val="20"/>
          <w:vertAlign w:val="superscript"/>
        </w:rPr>
        <w:t>2</w:t>
      </w:r>
      <w:r w:rsidRPr="0891AA5B">
        <w:rPr>
          <w:rFonts w:eastAsia="Arial" w:cs="Arial"/>
          <w:color w:val="000000" w:themeColor="text1"/>
          <w:szCs w:val="20"/>
        </w:rPr>
        <w:t xml:space="preserve">=.03, CI=[0.136, 0.388]) predicted greater caregiver-rated everyday memory problems. Modeling also indicated that </w:t>
      </w:r>
      <w:r w:rsidRPr="0891AA5B">
        <w:rPr>
          <w:rFonts w:eastAsia="Arial" w:cs="Arial"/>
        </w:rPr>
        <w:t xml:space="preserve">after accounting for the effects of sex assigned at birth and age, both total ACB (β=0.18, </w:t>
      </w:r>
      <w:r w:rsidRPr="0891AA5B">
        <w:rPr>
          <w:rFonts w:eastAsia="Arial" w:cs="Arial"/>
          <w:i/>
          <w:iCs/>
        </w:rPr>
        <w:t>t</w:t>
      </w:r>
      <w:r w:rsidRPr="0891AA5B">
        <w:rPr>
          <w:rFonts w:eastAsia="Arial" w:cs="Arial"/>
        </w:rPr>
        <w:t xml:space="preserve">=4.00, </w:t>
      </w:r>
      <w:proofErr w:type="spellStart"/>
      <w:r w:rsidRPr="0891AA5B">
        <w:rPr>
          <w:rFonts w:eastAsia="Arial" w:cs="Arial"/>
        </w:rPr>
        <w:t>Δ</w:t>
      </w:r>
      <w:r w:rsidRPr="0891AA5B">
        <w:rPr>
          <w:rFonts w:eastAsia="Arial" w:cs="Arial"/>
          <w:i/>
          <w:iCs/>
        </w:rPr>
        <w:t>p</w:t>
      </w:r>
      <w:proofErr w:type="spellEnd"/>
      <w:r w:rsidRPr="0891AA5B">
        <w:rPr>
          <w:rFonts w:eastAsia="Arial" w:cs="Arial"/>
        </w:rPr>
        <w:t>=.00007, ΔR</w:t>
      </w:r>
      <w:r w:rsidRPr="0891AA5B">
        <w:rPr>
          <w:rFonts w:eastAsia="Arial" w:cs="Arial"/>
          <w:vertAlign w:val="superscript"/>
        </w:rPr>
        <w:t>2</w:t>
      </w:r>
      <w:r w:rsidRPr="0891AA5B">
        <w:rPr>
          <w:rFonts w:eastAsia="Arial" w:cs="Arial"/>
        </w:rPr>
        <w:t xml:space="preserve">=.031, CI=[.003, .014]) and ACB ≥3 (β=0.17, </w:t>
      </w:r>
      <w:r w:rsidRPr="0891AA5B">
        <w:rPr>
          <w:rFonts w:eastAsia="Arial" w:cs="Arial"/>
          <w:i/>
          <w:iCs/>
        </w:rPr>
        <w:t>t</w:t>
      </w:r>
      <w:r w:rsidRPr="0891AA5B">
        <w:rPr>
          <w:rFonts w:eastAsia="Arial" w:cs="Arial"/>
        </w:rPr>
        <w:t xml:space="preserve">=3.79, </w:t>
      </w:r>
      <w:proofErr w:type="spellStart"/>
      <w:r w:rsidRPr="0891AA5B">
        <w:rPr>
          <w:rFonts w:eastAsia="Arial" w:cs="Arial"/>
        </w:rPr>
        <w:t>Δ</w:t>
      </w:r>
      <w:r w:rsidRPr="0891AA5B">
        <w:rPr>
          <w:rFonts w:eastAsia="Arial" w:cs="Arial"/>
          <w:i/>
          <w:iCs/>
        </w:rPr>
        <w:t>p</w:t>
      </w:r>
      <w:proofErr w:type="spellEnd"/>
      <w:r w:rsidRPr="0891AA5B">
        <w:rPr>
          <w:rFonts w:eastAsia="Arial" w:cs="Arial"/>
        </w:rPr>
        <w:t>=.0002, ΔR</w:t>
      </w:r>
      <w:r w:rsidRPr="0891AA5B">
        <w:rPr>
          <w:rFonts w:eastAsia="Arial" w:cs="Arial"/>
          <w:vertAlign w:val="superscript"/>
        </w:rPr>
        <w:t>2</w:t>
      </w:r>
      <w:r w:rsidRPr="0891AA5B">
        <w:rPr>
          <w:rFonts w:eastAsia="Arial" w:cs="Arial"/>
        </w:rPr>
        <w:t>=.030, CI=[.018, .062]) predicted greater caregiver-rated concerns regarding declines in cognitive and behavioral functioning.</w:t>
      </w:r>
    </w:p>
    <w:p w14:paraId="3938D65F" w14:textId="0DA1A840" w:rsidR="00374248" w:rsidRPr="000351CF" w:rsidRDefault="00374248" w:rsidP="000351CF">
      <w:pPr>
        <w:spacing w:after="0"/>
        <w:rPr>
          <w:rFonts w:eastAsia="Arial" w:cs="Arial"/>
        </w:rPr>
      </w:pPr>
      <w:r w:rsidRPr="0891AA5B">
        <w:rPr>
          <w:b/>
          <w:bCs/>
        </w:rPr>
        <w:t>Discussion</w:t>
      </w:r>
      <w:r>
        <w:t xml:space="preserve">: AC medication use is common (66%) among autistic adults with higher support needs and much greater than non-autistic adults </w:t>
      </w:r>
      <w:r w:rsidR="00B7A2A8">
        <w:t xml:space="preserve">(estimated to be ~20-50%) </w:t>
      </w:r>
      <w:r>
        <w:t>in the United States (Campbell et al., 2009) who are considerably older (&gt;65y). Studies in the general population show that AC medication use and vulnerability to its adverse effects increase with age (</w:t>
      </w:r>
      <w:proofErr w:type="spellStart"/>
      <w:r w:rsidRPr="5455D542">
        <w:rPr>
          <w:rFonts w:eastAsia="Arial" w:cs="Arial"/>
        </w:rPr>
        <w:t>Boustani</w:t>
      </w:r>
      <w:proofErr w:type="spellEnd"/>
      <w:r w:rsidRPr="5455D542">
        <w:rPr>
          <w:rFonts w:eastAsia="Arial" w:cs="Arial"/>
        </w:rPr>
        <w:t xml:space="preserve"> et al., 2008</w:t>
      </w:r>
      <w:r>
        <w:t xml:space="preserve">). Thus, it is important to understand the impacts of these documented high rates of AC medication use and its associations with contemporaneous everyday memory challenges and observer-rated declines in cognition and behavior among autistic adults with higher support needs, particularly as these might be associated with later dementia risk in this group (Hand et al., 2020; </w:t>
      </w:r>
      <w:proofErr w:type="spellStart"/>
      <w:r>
        <w:t>Vivanti</w:t>
      </w:r>
      <w:proofErr w:type="spellEnd"/>
      <w:r>
        <w:t xml:space="preserve"> et al., 2021).</w:t>
      </w:r>
    </w:p>
    <w:p w14:paraId="1517B22A" w14:textId="77777777" w:rsidR="00804A3D" w:rsidRDefault="00804A3D" w:rsidP="2C16CF6E">
      <w:pPr>
        <w:spacing w:after="0"/>
        <w:rPr>
          <w:b/>
          <w:bCs/>
        </w:rPr>
      </w:pPr>
    </w:p>
    <w:p w14:paraId="5484DC5E" w14:textId="77777777" w:rsidR="00374248" w:rsidRDefault="00374248" w:rsidP="2C16CF6E">
      <w:pPr>
        <w:spacing w:after="0"/>
        <w:rPr>
          <w:highlight w:val="green"/>
        </w:rPr>
      </w:pPr>
      <w:r w:rsidRPr="0891AA5B">
        <w:rPr>
          <w:b/>
          <w:bCs/>
        </w:rPr>
        <w:t>References</w:t>
      </w:r>
      <w:r>
        <w:t xml:space="preserve"> </w:t>
      </w:r>
    </w:p>
    <w:p w14:paraId="62DBA6C2" w14:textId="6A485BE5" w:rsidR="00374248" w:rsidRDefault="00374248" w:rsidP="000351CF">
      <w:pPr>
        <w:spacing w:after="0" w:line="240" w:lineRule="auto"/>
        <w:ind w:left="720" w:hanging="720"/>
      </w:pPr>
      <w:proofErr w:type="spellStart"/>
      <w:r>
        <w:t>Boustani</w:t>
      </w:r>
      <w:proofErr w:type="spellEnd"/>
      <w:r>
        <w:t xml:space="preserve"> MA, Campbell NL, Munger S, Maidment I, Fox C. Impact of anticholinergics on the aging brain: A review and</w:t>
      </w:r>
      <w:r w:rsidR="00B61F2E">
        <w:t xml:space="preserve"> </w:t>
      </w:r>
      <w:r>
        <w:t xml:space="preserve">practical application. Aging health. 2008;4(3):311-320. </w:t>
      </w:r>
    </w:p>
    <w:p w14:paraId="0B79FBD8" w14:textId="3C33C3BB" w:rsidR="00374248" w:rsidRDefault="00374248" w:rsidP="000351CF">
      <w:pPr>
        <w:spacing w:after="0" w:line="240" w:lineRule="auto"/>
        <w:ind w:left="720" w:hanging="720"/>
      </w:pPr>
      <w:r>
        <w:t xml:space="preserve">Cai X, Campbell NL, Khan B, Callahan C, </w:t>
      </w:r>
      <w:proofErr w:type="spellStart"/>
      <w:r>
        <w:t>Boustani</w:t>
      </w:r>
      <w:proofErr w:type="spellEnd"/>
      <w:r>
        <w:t xml:space="preserve"> MA. Long</w:t>
      </w:r>
      <w:r>
        <w:rPr>
          <w:rFonts w:ascii="Cambria Math" w:hAnsi="Cambria Math" w:cs="Cambria Math"/>
        </w:rPr>
        <w:t>‐</w:t>
      </w:r>
      <w:r>
        <w:t>term anticholinergic use and the aging brain. Alzheimer’s</w:t>
      </w:r>
      <w:r w:rsidR="00B61F2E">
        <w:t xml:space="preserve"> </w:t>
      </w:r>
      <w:r>
        <w:t xml:space="preserve">Dement. 2013;9(4):377-385. </w:t>
      </w:r>
    </w:p>
    <w:p w14:paraId="61BF370D" w14:textId="77777777" w:rsidR="00374248" w:rsidRDefault="00374248" w:rsidP="000351CF">
      <w:pPr>
        <w:spacing w:after="0" w:line="240" w:lineRule="auto"/>
      </w:pPr>
      <w:r>
        <w:t xml:space="preserve">Campbell NL, </w:t>
      </w:r>
      <w:proofErr w:type="spellStart"/>
      <w:r>
        <w:t>Boustani</w:t>
      </w:r>
      <w:proofErr w:type="spellEnd"/>
      <w:r>
        <w:t xml:space="preserve"> MA, </w:t>
      </w:r>
      <w:proofErr w:type="spellStart"/>
      <w:r>
        <w:t>Limbil</w:t>
      </w:r>
      <w:proofErr w:type="spellEnd"/>
      <w:r>
        <w:t xml:space="preserve"> T, et al. The cognitive impact of anticholinergics: A clinical review. Clin </w:t>
      </w:r>
      <w:proofErr w:type="spellStart"/>
      <w:r>
        <w:t>Interv</w:t>
      </w:r>
      <w:proofErr w:type="spellEnd"/>
      <w:r>
        <w:t xml:space="preserve"> Aging. </w:t>
      </w:r>
      <w:r>
        <w:tab/>
      </w:r>
      <w:proofErr w:type="gramStart"/>
      <w:r>
        <w:t>2009;4:225</w:t>
      </w:r>
      <w:proofErr w:type="gramEnd"/>
      <w:r>
        <w:t xml:space="preserve">-233. </w:t>
      </w:r>
    </w:p>
    <w:p w14:paraId="7FAFE6A7" w14:textId="5AE4448F" w:rsidR="00374248" w:rsidRDefault="00374248" w:rsidP="000351CF">
      <w:pPr>
        <w:spacing w:after="0" w:line="240" w:lineRule="auto"/>
      </w:pPr>
      <w:r>
        <w:t xml:space="preserve">Carnahan RM, Lund BC, Perry PJ, Pollock BG, Culp KR. The Anticholinergic Drug Scale as a measure of drug-related </w:t>
      </w:r>
      <w:r>
        <w:tab/>
      </w:r>
      <w:r w:rsidR="37A758D7">
        <w:t xml:space="preserve"> </w:t>
      </w:r>
      <w:r>
        <w:t xml:space="preserve">anticholinergic burden: Associations With serum anticholinergic activity. J Clin </w:t>
      </w:r>
      <w:proofErr w:type="spellStart"/>
      <w:r>
        <w:t>Pharmacol</w:t>
      </w:r>
      <w:proofErr w:type="spellEnd"/>
      <w:r>
        <w:t>. 2006;46(12):1481-</w:t>
      </w:r>
      <w:r>
        <w:tab/>
        <w:t>1486.</w:t>
      </w:r>
    </w:p>
    <w:p w14:paraId="1A309B51" w14:textId="77777777" w:rsidR="00374248" w:rsidRDefault="00374248" w:rsidP="000351CF">
      <w:pPr>
        <w:spacing w:after="0" w:line="240" w:lineRule="auto"/>
      </w:pPr>
      <w:r>
        <w:lastRenderedPageBreak/>
        <w:t xml:space="preserve">Deb S, Hare M, Prior L, Bhaumik S. Dementia screening questionnaire for individuals with intellectual disabilities. Br J </w:t>
      </w:r>
      <w:r>
        <w:tab/>
        <w:t xml:space="preserve">Psychiatry. 2007;190(5):440-444. </w:t>
      </w:r>
    </w:p>
    <w:p w14:paraId="55C335A3" w14:textId="77777777" w:rsidR="00374248" w:rsidRDefault="00374248" w:rsidP="000351CF">
      <w:pPr>
        <w:spacing w:after="0" w:line="240" w:lineRule="auto"/>
      </w:pPr>
      <w:r>
        <w:t xml:space="preserve">Egberts A, Moreno-Gonzalez R, Alan H, </w:t>
      </w:r>
      <w:proofErr w:type="spellStart"/>
      <w:r>
        <w:t>Ziere</w:t>
      </w:r>
      <w:proofErr w:type="spellEnd"/>
      <w:r>
        <w:t xml:space="preserve"> G, </w:t>
      </w:r>
      <w:proofErr w:type="spellStart"/>
      <w:r>
        <w:t>Mattace-Raso</w:t>
      </w:r>
      <w:proofErr w:type="spellEnd"/>
      <w:r>
        <w:t xml:space="preserve"> FUS. Anticholinergic drug burden and delirium: A</w:t>
      </w:r>
      <w:r>
        <w:tab/>
      </w:r>
      <w:r>
        <w:tab/>
        <w:t>systematic review. J Am Med Dir Assoc. 2021;22(1):65-</w:t>
      </w:r>
      <w:proofErr w:type="gramStart"/>
      <w:r>
        <w:t>73.e</w:t>
      </w:r>
      <w:proofErr w:type="gramEnd"/>
      <w:r>
        <w:t>4.</w:t>
      </w:r>
    </w:p>
    <w:p w14:paraId="3CED856F" w14:textId="2CE49BEA" w:rsidR="00374248" w:rsidRDefault="00374248" w:rsidP="000351CF">
      <w:pPr>
        <w:spacing w:after="0" w:line="240" w:lineRule="auto"/>
        <w:ind w:left="720" w:hanging="720"/>
      </w:pPr>
      <w:proofErr w:type="spellStart"/>
      <w:r>
        <w:t>Esbensen</w:t>
      </w:r>
      <w:proofErr w:type="spellEnd"/>
      <w:r>
        <w:t xml:space="preserve"> AJ, Greenberg JS, Seltzer MM, Aman MG. A longitudinal investigation of psychotropic and non-psychotropic medication </w:t>
      </w:r>
      <w:proofErr w:type="gramStart"/>
      <w:r>
        <w:t>use</w:t>
      </w:r>
      <w:proofErr w:type="gramEnd"/>
      <w:r>
        <w:t xml:space="preserve"> among adolescents and adults with autism spectrum disorders. J Autism Dev </w:t>
      </w:r>
      <w:proofErr w:type="spellStart"/>
      <w:r>
        <w:t>Disord</w:t>
      </w:r>
      <w:proofErr w:type="spellEnd"/>
      <w:r>
        <w:t>.</w:t>
      </w:r>
      <w:r w:rsidR="00B61F2E">
        <w:t xml:space="preserve"> </w:t>
      </w:r>
      <w:r>
        <w:t xml:space="preserve">2009;39(9):1339-1349. </w:t>
      </w:r>
    </w:p>
    <w:p w14:paraId="7F24B748" w14:textId="593E3473" w:rsidR="00374248" w:rsidRDefault="00374248" w:rsidP="000351CF">
      <w:pPr>
        <w:spacing w:after="0" w:line="240" w:lineRule="auto"/>
      </w:pPr>
      <w:r>
        <w:t xml:space="preserve">Frazier TW, Shattuck PT, </w:t>
      </w:r>
      <w:proofErr w:type="spellStart"/>
      <w:r>
        <w:t>Narendorf</w:t>
      </w:r>
      <w:proofErr w:type="spellEnd"/>
      <w:r>
        <w:t xml:space="preserve"> SC, Cooper BP, Wagner M, </w:t>
      </w:r>
      <w:proofErr w:type="spellStart"/>
      <w:r>
        <w:t>Spitznagel</w:t>
      </w:r>
      <w:proofErr w:type="spellEnd"/>
      <w:r>
        <w:t xml:space="preserve"> EL. Prevalence and correlates of </w:t>
      </w:r>
      <w:r>
        <w:tab/>
        <w:t>psychotropic medication use in adolescents with an autism spectrum disorder with and without caregiver-</w:t>
      </w:r>
      <w:r>
        <w:tab/>
      </w:r>
      <w:r>
        <w:tab/>
        <w:t xml:space="preserve">reported attention-deficit/hyperactivity disorder. J Child </w:t>
      </w:r>
      <w:proofErr w:type="spellStart"/>
      <w:r>
        <w:t>Adolesc</w:t>
      </w:r>
      <w:proofErr w:type="spellEnd"/>
      <w:r>
        <w:t xml:space="preserve"> </w:t>
      </w:r>
      <w:proofErr w:type="spellStart"/>
      <w:r>
        <w:t>Psychopharmacol</w:t>
      </w:r>
      <w:proofErr w:type="spellEnd"/>
      <w:r>
        <w:t xml:space="preserve">. 2011;21(6):571-579. </w:t>
      </w:r>
    </w:p>
    <w:p w14:paraId="3E983BB1" w14:textId="77777777" w:rsidR="00374248" w:rsidRDefault="00374248" w:rsidP="000351CF">
      <w:pPr>
        <w:spacing w:after="0" w:line="240" w:lineRule="auto"/>
      </w:pPr>
      <w:proofErr w:type="spellStart"/>
      <w:r>
        <w:t>Gerretsen</w:t>
      </w:r>
      <w:proofErr w:type="spellEnd"/>
      <w:r>
        <w:t xml:space="preserve"> P, Pollock BG. Drugs with anticholinergic properties: A current perspective on use and safety. Expert </w:t>
      </w:r>
      <w:proofErr w:type="spellStart"/>
      <w:r>
        <w:t>Opin</w:t>
      </w:r>
      <w:proofErr w:type="spellEnd"/>
      <w:r>
        <w:t xml:space="preserve"> </w:t>
      </w:r>
      <w:r>
        <w:tab/>
        <w:t xml:space="preserve">Drug </w:t>
      </w:r>
      <w:proofErr w:type="spellStart"/>
      <w:r>
        <w:t>Saf</w:t>
      </w:r>
      <w:proofErr w:type="spellEnd"/>
      <w:r>
        <w:t xml:space="preserve">. 2011;10(5):751-765. </w:t>
      </w:r>
    </w:p>
    <w:p w14:paraId="7136DCC6" w14:textId="6D5432DD" w:rsidR="00374248" w:rsidRDefault="00374248" w:rsidP="000351CF">
      <w:pPr>
        <w:spacing w:after="0" w:line="240" w:lineRule="auto"/>
      </w:pPr>
      <w:r>
        <w:t>Gonzalez, L. M., Anderson, V. A., Wood, S. J., Mitchell, L. A., Heinrich, L., &amp; Harvey, A. S. (2008).</w:t>
      </w:r>
      <w:r w:rsidR="401D247B">
        <w:t xml:space="preserve"> </w:t>
      </w:r>
      <w:r>
        <w:t xml:space="preserve">The Observer </w:t>
      </w:r>
      <w:r>
        <w:tab/>
        <w:t xml:space="preserve"> </w:t>
      </w:r>
      <w:r>
        <w:tab/>
        <w:t xml:space="preserve">Memory Questionnaire—Parent Form: Introducing a new measure of everyday memory for children. Journal of </w:t>
      </w:r>
      <w:r>
        <w:tab/>
      </w:r>
      <w:r w:rsidR="78072515">
        <w:t xml:space="preserve"> </w:t>
      </w:r>
      <w:r>
        <w:t xml:space="preserve">the International Neuropsychological Society, 14(2), 337-342. </w:t>
      </w:r>
    </w:p>
    <w:p w14:paraId="60C09236" w14:textId="77777777" w:rsidR="00374248" w:rsidRDefault="00374248" w:rsidP="000351CF">
      <w:pPr>
        <w:spacing w:after="0" w:line="240" w:lineRule="auto"/>
      </w:pPr>
      <w:r>
        <w:t xml:space="preserve">Gray SL, Anderson ML, Dublin S, et al. Cumulative use of strong anticholinergics and incident dementia: A prospective </w:t>
      </w:r>
      <w:r>
        <w:tab/>
        <w:t xml:space="preserve">cohort study. JAMA Intern Med. 2015;175(3):401-407. </w:t>
      </w:r>
    </w:p>
    <w:p w14:paraId="56B60C3D" w14:textId="77777777" w:rsidR="00374248" w:rsidRDefault="00374248" w:rsidP="000351CF">
      <w:pPr>
        <w:spacing w:after="0" w:line="240" w:lineRule="auto"/>
      </w:pPr>
      <w:r>
        <w:t>Hand BN, Angell AM, Harris L, Carpenter LA. Prevalence of physical and mental health conditions in Medicare-</w:t>
      </w:r>
      <w:r>
        <w:tab/>
      </w:r>
      <w:r>
        <w:tab/>
        <w:t xml:space="preserve">enrolled, autistic older adults. Autism. 2020;24(3):755-764. </w:t>
      </w:r>
    </w:p>
    <w:p w14:paraId="21006C35" w14:textId="77777777" w:rsidR="00374248" w:rsidRDefault="00374248" w:rsidP="000351CF">
      <w:pPr>
        <w:spacing w:after="0" w:line="240" w:lineRule="auto"/>
      </w:pPr>
      <w:proofErr w:type="spellStart"/>
      <w:r>
        <w:t>Jobski</w:t>
      </w:r>
      <w:proofErr w:type="spellEnd"/>
      <w:r>
        <w:t xml:space="preserve"> K, </w:t>
      </w:r>
      <w:proofErr w:type="spellStart"/>
      <w:r>
        <w:t>Höfer</w:t>
      </w:r>
      <w:proofErr w:type="spellEnd"/>
      <w:r>
        <w:t xml:space="preserve"> J, Hoffmann F, Bachmann C. Use of psychotropic drugs in patients with autism spectrum disorders: A </w:t>
      </w:r>
      <w:r>
        <w:tab/>
        <w:t xml:space="preserve">systematic review. Acta </w:t>
      </w:r>
      <w:proofErr w:type="spellStart"/>
      <w:r>
        <w:t>Psychiatr</w:t>
      </w:r>
      <w:proofErr w:type="spellEnd"/>
      <w:r>
        <w:t xml:space="preserve"> Scand. 2017;135(1):8-28. </w:t>
      </w:r>
    </w:p>
    <w:p w14:paraId="2844043F" w14:textId="77777777" w:rsidR="00374248" w:rsidRDefault="00374248" w:rsidP="000351CF">
      <w:pPr>
        <w:spacing w:after="0" w:line="240" w:lineRule="auto"/>
      </w:pPr>
      <w:r>
        <w:t xml:space="preserve">Lai M-C, </w:t>
      </w:r>
      <w:proofErr w:type="spellStart"/>
      <w:r>
        <w:t>Kassee</w:t>
      </w:r>
      <w:proofErr w:type="spellEnd"/>
      <w:r>
        <w:t xml:space="preserve"> C, </w:t>
      </w:r>
      <w:proofErr w:type="spellStart"/>
      <w:r>
        <w:t>Besney</w:t>
      </w:r>
      <w:proofErr w:type="spellEnd"/>
      <w:r>
        <w:t xml:space="preserve"> R, et al. Prevalence of co-occurring mental health diagnoses in the autism population: A </w:t>
      </w:r>
      <w:r>
        <w:tab/>
        <w:t xml:space="preserve">systematic review and meta-analysis. The Lancet Psychiatry. 2019;6(10):819-829. </w:t>
      </w:r>
    </w:p>
    <w:p w14:paraId="425CF36B" w14:textId="6C7EB065" w:rsidR="00374248" w:rsidRDefault="4B6B1FAE" w:rsidP="000351CF">
      <w:pPr>
        <w:spacing w:after="0" w:line="240" w:lineRule="auto"/>
        <w:ind w:left="720" w:hanging="720"/>
      </w:pPr>
      <w:r>
        <w:t xml:space="preserve">Lake JK, Balogh R, </w:t>
      </w:r>
      <w:proofErr w:type="spellStart"/>
      <w:r>
        <w:t>Lunsky</w:t>
      </w:r>
      <w:proofErr w:type="spellEnd"/>
      <w:r>
        <w:t xml:space="preserve"> Y. Polypharmacy profiles and predictors among adults with autism spectrum disorders.</w:t>
      </w:r>
      <w:r w:rsidR="00B61F2E">
        <w:t xml:space="preserve"> </w:t>
      </w:r>
      <w:r>
        <w:t>R</w:t>
      </w:r>
      <w:r w:rsidR="00B61F2E">
        <w:t xml:space="preserve">es </w:t>
      </w:r>
      <w:r>
        <w:t xml:space="preserve">Autism </w:t>
      </w:r>
      <w:proofErr w:type="spellStart"/>
      <w:r>
        <w:t>Spectr</w:t>
      </w:r>
      <w:proofErr w:type="spellEnd"/>
      <w:r>
        <w:t xml:space="preserve"> </w:t>
      </w:r>
      <w:proofErr w:type="spellStart"/>
      <w:r>
        <w:t>Disord</w:t>
      </w:r>
      <w:proofErr w:type="spellEnd"/>
      <w:r>
        <w:t xml:space="preserve">. 2012;6(3):1142-1149. </w:t>
      </w:r>
    </w:p>
    <w:p w14:paraId="10EF1EE0" w14:textId="7179B214" w:rsidR="00374248" w:rsidRDefault="00374248" w:rsidP="000351CF">
      <w:pPr>
        <w:spacing w:after="0" w:line="240" w:lineRule="auto"/>
      </w:pPr>
      <w:r>
        <w:t xml:space="preserve">Mandell DS, Morales KH, Marcus SC, </w:t>
      </w:r>
      <w:proofErr w:type="spellStart"/>
      <w:r>
        <w:t>Stahmer</w:t>
      </w:r>
      <w:proofErr w:type="spellEnd"/>
      <w:r>
        <w:t xml:space="preserve"> AC, Doshi J, Polsky DE. Psychotropic medication </w:t>
      </w:r>
      <w:proofErr w:type="gramStart"/>
      <w:r>
        <w:t>use</w:t>
      </w:r>
      <w:proofErr w:type="gramEnd"/>
      <w:r>
        <w:t xml:space="preserve"> among </w:t>
      </w:r>
      <w:r>
        <w:tab/>
      </w:r>
      <w:r>
        <w:tab/>
        <w:t>Medicaid-enrolled children with autism spectrum disorders. Pediatrics. 2008;121(3</w:t>
      </w:r>
      <w:proofErr w:type="gramStart"/>
      <w:r>
        <w:t>):e</w:t>
      </w:r>
      <w:proofErr w:type="gramEnd"/>
      <w:r>
        <w:t xml:space="preserve">441-e448. </w:t>
      </w:r>
    </w:p>
    <w:p w14:paraId="4080375D" w14:textId="77777777" w:rsidR="00374248" w:rsidRDefault="00374248" w:rsidP="000351CF">
      <w:pPr>
        <w:spacing w:after="0" w:line="240" w:lineRule="auto"/>
      </w:pPr>
      <w:r>
        <w:t>McQuaid GA, Duane SC, Ahmed N, Lee NR, Charlton R, Wallace GL. Increased anticholinergic medication use in</w:t>
      </w:r>
      <w:r>
        <w:tab/>
      </w:r>
      <w:r>
        <w:tab/>
        <w:t>middle</w:t>
      </w:r>
      <w:r>
        <w:rPr>
          <w:rFonts w:ascii="Cambria Math" w:hAnsi="Cambria Math" w:cs="Cambria Math"/>
        </w:rPr>
        <w:t>‐</w:t>
      </w:r>
      <w:r>
        <w:t>aged and older autistic adults and its associations with self</w:t>
      </w:r>
      <w:r>
        <w:rPr>
          <w:rFonts w:ascii="Cambria Math" w:hAnsi="Cambria Math" w:cs="Cambria Math"/>
        </w:rPr>
        <w:t>‐</w:t>
      </w:r>
      <w:r>
        <w:t xml:space="preserve">reported memory difficulties and cognitive </w:t>
      </w:r>
      <w:r>
        <w:tab/>
        <w:t xml:space="preserve">decline. Autism Res. 2024;17(4):852-867. </w:t>
      </w:r>
    </w:p>
    <w:p w14:paraId="11D8C946" w14:textId="670F2839" w:rsidR="00374248" w:rsidRDefault="00374248" w:rsidP="000351CF">
      <w:pPr>
        <w:spacing w:after="0" w:line="240" w:lineRule="auto"/>
      </w:pPr>
      <w:r>
        <w:t xml:space="preserve">Mur J, Russ TC, Cox SR, </w:t>
      </w:r>
      <w:proofErr w:type="spellStart"/>
      <w:r>
        <w:t>Marioni</w:t>
      </w:r>
      <w:proofErr w:type="spellEnd"/>
      <w:r>
        <w:t xml:space="preserve"> RE, Muniz</w:t>
      </w:r>
      <w:r>
        <w:rPr>
          <w:rFonts w:ascii="Cambria Math" w:hAnsi="Cambria Math" w:cs="Cambria Math"/>
        </w:rPr>
        <w:t>‐</w:t>
      </w:r>
      <w:proofErr w:type="spellStart"/>
      <w:r>
        <w:t>Terrera</w:t>
      </w:r>
      <w:proofErr w:type="spellEnd"/>
      <w:r>
        <w:t xml:space="preserve"> G. Association </w:t>
      </w:r>
      <w:r w:rsidR="4B6B1FAE">
        <w:t>between</w:t>
      </w:r>
      <w:r>
        <w:t xml:space="preserve"> anticholinergic burden and dementia in </w:t>
      </w:r>
      <w:r>
        <w:tab/>
        <w:t xml:space="preserve">UK Biobank. Alzheimer’s Dement </w:t>
      </w:r>
      <w:proofErr w:type="spellStart"/>
      <w:r>
        <w:t>Transl</w:t>
      </w:r>
      <w:proofErr w:type="spellEnd"/>
      <w:r>
        <w:t xml:space="preserve"> Res Clin </w:t>
      </w:r>
      <w:proofErr w:type="spellStart"/>
      <w:r>
        <w:t>Interv</w:t>
      </w:r>
      <w:proofErr w:type="spellEnd"/>
      <w:r>
        <w:t>. 2022;8(1):</w:t>
      </w:r>
      <w:r w:rsidR="1D458B52">
        <w:t xml:space="preserve"> </w:t>
      </w:r>
      <w:r>
        <w:t xml:space="preserve">e12290. </w:t>
      </w:r>
    </w:p>
    <w:p w14:paraId="44AE37C7" w14:textId="77777777" w:rsidR="00374248" w:rsidRDefault="00374248" w:rsidP="000351CF">
      <w:pPr>
        <w:spacing w:after="0" w:line="240" w:lineRule="auto"/>
      </w:pPr>
      <w:r>
        <w:t xml:space="preserve">Ramos H, Moreno L, Pérez-Tur J, </w:t>
      </w:r>
      <w:proofErr w:type="spellStart"/>
      <w:r>
        <w:t>Cháfer-Pericás</w:t>
      </w:r>
      <w:proofErr w:type="spellEnd"/>
      <w:r>
        <w:t xml:space="preserve"> C, García-Lluch G, Pardo J. CRIDECO Anticholinergic Load Scale: </w:t>
      </w:r>
      <w:r>
        <w:tab/>
        <w:t xml:space="preserve">An updated anticholinergic burden scale. Comparison with the ACB Scale in Spanish individuals with </w:t>
      </w:r>
      <w:r>
        <w:tab/>
      </w:r>
      <w:r>
        <w:tab/>
        <w:t xml:space="preserve">subjective memory complaints. J Pers Med. 2022;12(2):207. </w:t>
      </w:r>
    </w:p>
    <w:p w14:paraId="0FABB52D" w14:textId="3224CA5C" w:rsidR="00374248" w:rsidRDefault="00374248" w:rsidP="000351CF">
      <w:pPr>
        <w:spacing w:after="0" w:line="240" w:lineRule="auto"/>
      </w:pPr>
      <w:proofErr w:type="spellStart"/>
      <w:r>
        <w:t>Rast</w:t>
      </w:r>
      <w:proofErr w:type="spellEnd"/>
      <w:r>
        <w:t xml:space="preserve"> JE, Tao S, Schott W, et al. Psychotropic medication use in children and youth with autism enrolled in Medicaid. J </w:t>
      </w:r>
      <w:r>
        <w:tab/>
        <w:t xml:space="preserve">Autism Dev </w:t>
      </w:r>
      <w:proofErr w:type="spellStart"/>
      <w:r>
        <w:t>Disord</w:t>
      </w:r>
      <w:proofErr w:type="spellEnd"/>
      <w:r>
        <w:t xml:space="preserve">. Published online December 18, 2023. </w:t>
      </w:r>
    </w:p>
    <w:p w14:paraId="65617F4B" w14:textId="104A28DE" w:rsidR="00374248" w:rsidRDefault="00374248" w:rsidP="000351CF">
      <w:pPr>
        <w:spacing w:after="0" w:line="240" w:lineRule="auto"/>
        <w:ind w:left="720" w:hanging="720"/>
      </w:pPr>
      <w:proofErr w:type="spellStart"/>
      <w:r>
        <w:t>Risacher</w:t>
      </w:r>
      <w:proofErr w:type="spellEnd"/>
      <w:r>
        <w:t xml:space="preserve">, S. L., McDonald, B. C., Tallman, E. F., West, J. D., Farlow, M. R., </w:t>
      </w:r>
      <w:proofErr w:type="spellStart"/>
      <w:r>
        <w:t>Unverzagt</w:t>
      </w:r>
      <w:proofErr w:type="spellEnd"/>
      <w:r>
        <w:t xml:space="preserve">, F. W., Gao, S., </w:t>
      </w:r>
      <w:proofErr w:type="spellStart"/>
      <w:r>
        <w:t>Boustani</w:t>
      </w:r>
      <w:proofErr w:type="spellEnd"/>
      <w:r>
        <w:t xml:space="preserve">, M. A., Crane, P. K., Petersen, R. C., Jack, C. R., </w:t>
      </w:r>
      <w:proofErr w:type="spellStart"/>
      <w:r>
        <w:t>Jagust</w:t>
      </w:r>
      <w:proofErr w:type="spellEnd"/>
      <w:r>
        <w:t xml:space="preserve">, W. J., </w:t>
      </w:r>
      <w:proofErr w:type="spellStart"/>
      <w:r>
        <w:t>Aisen</w:t>
      </w:r>
      <w:proofErr w:type="spellEnd"/>
      <w:r>
        <w:t xml:space="preserve">, P. S., Weiner, M. W., &amp; </w:t>
      </w:r>
      <w:proofErr w:type="spellStart"/>
      <w:r>
        <w:t>Saykin</w:t>
      </w:r>
      <w:proofErr w:type="spellEnd"/>
      <w:r>
        <w:t xml:space="preserve">, A. J. (2016). Association between anticholinergic medication use and cognition, brain metabolism, and brain atrophy in cognitively normal older adults. JAMA Neurology, 73(6), 721. </w:t>
      </w:r>
    </w:p>
    <w:p w14:paraId="685D5E33" w14:textId="77777777" w:rsidR="00374248" w:rsidRDefault="00374248" w:rsidP="000351CF">
      <w:pPr>
        <w:spacing w:after="0" w:line="240" w:lineRule="auto"/>
      </w:pPr>
      <w:r>
        <w:t xml:space="preserve">Ritter C, Hewitt K, McMorris CA. Psychotropic polypharmacy among children and youth with autism: A systematic </w:t>
      </w:r>
      <w:r>
        <w:tab/>
      </w:r>
      <w:r>
        <w:tab/>
        <w:t xml:space="preserve">review. J Child </w:t>
      </w:r>
      <w:proofErr w:type="spellStart"/>
      <w:r>
        <w:t>Adolesc</w:t>
      </w:r>
      <w:proofErr w:type="spellEnd"/>
      <w:r>
        <w:t xml:space="preserve"> Psychopharmacol.2021;31(4):244-258. </w:t>
      </w:r>
    </w:p>
    <w:p w14:paraId="60F3B154" w14:textId="77777777" w:rsidR="00374248" w:rsidRDefault="00374248" w:rsidP="000351CF">
      <w:pPr>
        <w:spacing w:after="0" w:line="240" w:lineRule="auto"/>
      </w:pPr>
      <w:r>
        <w:t xml:space="preserve">Rudolph JL, </w:t>
      </w:r>
      <w:proofErr w:type="spellStart"/>
      <w:r>
        <w:t>Salow</w:t>
      </w:r>
      <w:proofErr w:type="spellEnd"/>
      <w:r>
        <w:t xml:space="preserve"> MJ, Angelini MC, McGlinchey RE. The Anticholinergic Risk Scale and anticholinergic adverse </w:t>
      </w:r>
      <w:r>
        <w:tab/>
      </w:r>
      <w:r>
        <w:tab/>
        <w:t xml:space="preserve">effects in older persons. Arch Intern Med. 2008;168(5):508-513. </w:t>
      </w:r>
    </w:p>
    <w:p w14:paraId="7FE6C571" w14:textId="77777777" w:rsidR="00374248" w:rsidRDefault="00374248" w:rsidP="000351CF">
      <w:pPr>
        <w:spacing w:after="0" w:line="240" w:lineRule="auto"/>
      </w:pPr>
      <w:r>
        <w:t xml:space="preserve">Sargent, L., </w:t>
      </w:r>
      <w:proofErr w:type="spellStart"/>
      <w:r>
        <w:t>Nalls</w:t>
      </w:r>
      <w:proofErr w:type="spellEnd"/>
      <w:r>
        <w:t xml:space="preserve">, M., </w:t>
      </w:r>
      <w:proofErr w:type="spellStart"/>
      <w:r>
        <w:t>Amella</w:t>
      </w:r>
      <w:proofErr w:type="spellEnd"/>
      <w:r>
        <w:t xml:space="preserve">, E. J., Mueller, M., </w:t>
      </w:r>
      <w:proofErr w:type="spellStart"/>
      <w:r>
        <w:t>Lageman</w:t>
      </w:r>
      <w:proofErr w:type="spellEnd"/>
      <w:r>
        <w:t xml:space="preserve">, S. K., </w:t>
      </w:r>
      <w:proofErr w:type="spellStart"/>
      <w:r>
        <w:t>Bandinelli</w:t>
      </w:r>
      <w:proofErr w:type="spellEnd"/>
      <w:r>
        <w:t xml:space="preserve">, S., </w:t>
      </w:r>
      <w:proofErr w:type="spellStart"/>
      <w:r>
        <w:t>Colpo</w:t>
      </w:r>
      <w:proofErr w:type="spellEnd"/>
      <w:r>
        <w:t xml:space="preserve">, M., </w:t>
      </w:r>
      <w:proofErr w:type="spellStart"/>
      <w:r>
        <w:t>Slattum</w:t>
      </w:r>
      <w:proofErr w:type="spellEnd"/>
      <w:r>
        <w:t xml:space="preserve">, P. W., Singleton, </w:t>
      </w:r>
      <w:r>
        <w:tab/>
        <w:t xml:space="preserve">A., &amp; </w:t>
      </w:r>
      <w:proofErr w:type="spellStart"/>
      <w:r>
        <w:t>Ferrucci</w:t>
      </w:r>
      <w:proofErr w:type="spellEnd"/>
      <w:r>
        <w:t>, L. (2020). Anticholinergic drug induced cognitive and physical impairment: Results from the</w:t>
      </w:r>
      <w:r>
        <w:tab/>
      </w:r>
      <w:proofErr w:type="spellStart"/>
      <w:r>
        <w:t>InCHIANTI</w:t>
      </w:r>
      <w:proofErr w:type="spellEnd"/>
      <w:r>
        <w:t xml:space="preserve"> study. The Journals of Gerontology: Series A, 75(5), 995–1002. </w:t>
      </w:r>
    </w:p>
    <w:p w14:paraId="53318FC3" w14:textId="77777777" w:rsidR="00374248" w:rsidRDefault="00374248" w:rsidP="000351CF">
      <w:pPr>
        <w:spacing w:after="0" w:line="240" w:lineRule="auto"/>
      </w:pPr>
      <w:r>
        <w:t>The SPARK Consortium. SPARK: A US cohort of 50,000 families to accelerate autism research. Neuron.</w:t>
      </w:r>
      <w:r>
        <w:tab/>
      </w:r>
      <w:r>
        <w:tab/>
      </w:r>
      <w:r>
        <w:tab/>
        <w:t>2018;97(3):488-493.</w:t>
      </w:r>
    </w:p>
    <w:p w14:paraId="2F651484" w14:textId="77777777" w:rsidR="00374248" w:rsidRDefault="00374248" w:rsidP="000351CF">
      <w:pPr>
        <w:spacing w:after="0" w:line="240" w:lineRule="auto"/>
      </w:pPr>
      <w:r>
        <w:t xml:space="preserve"> </w:t>
      </w:r>
      <w:proofErr w:type="spellStart"/>
      <w:r>
        <w:t>Vivanti</w:t>
      </w:r>
      <w:proofErr w:type="spellEnd"/>
      <w:r>
        <w:t>, G., Tao, S., Lyall, K., Robins, D. L., &amp; Shea, L. L. (2021). The prevalence and incidence of early</w:t>
      </w:r>
      <w:r>
        <w:rPr>
          <w:rFonts w:ascii="Cambria Math" w:hAnsi="Cambria Math" w:cs="Cambria Math"/>
        </w:rPr>
        <w:t>‐</w:t>
      </w:r>
      <w:r>
        <w:t xml:space="preserve">onset </w:t>
      </w:r>
      <w:r>
        <w:tab/>
      </w:r>
      <w:r>
        <w:tab/>
        <w:t xml:space="preserve">dementia among adults with autism spectrum disorder. Autism Research, 14(10), 2189-2199. </w:t>
      </w:r>
    </w:p>
    <w:p w14:paraId="53D0DC46" w14:textId="77777777" w:rsidR="00374248" w:rsidRDefault="00374248" w:rsidP="000351CF">
      <w:pPr>
        <w:spacing w:after="0" w:line="240" w:lineRule="auto"/>
      </w:pPr>
      <w:r>
        <w:t xml:space="preserve">Vohra R, Madhavan S, </w:t>
      </w:r>
      <w:proofErr w:type="spellStart"/>
      <w:r>
        <w:t>Sambamoorthi</w:t>
      </w:r>
      <w:proofErr w:type="spellEnd"/>
      <w:r>
        <w:t xml:space="preserve"> U, et al. Prescription drug use and polypharmacy among Medicaid-enrolled </w:t>
      </w:r>
      <w:r>
        <w:tab/>
        <w:t>adults with autism: A retrospective cross-sectional analysis. Drugs - Real World Outcomes. 2016;3(4):409-</w:t>
      </w:r>
      <w:r>
        <w:tab/>
        <w:t>425.</w:t>
      </w:r>
    </w:p>
    <w:p w14:paraId="0E9F5ED8" w14:textId="77777777" w:rsidR="00374248" w:rsidRDefault="00374248" w:rsidP="000351CF">
      <w:pPr>
        <w:spacing w:after="0" w:line="240" w:lineRule="auto"/>
      </w:pPr>
      <w:r>
        <w:lastRenderedPageBreak/>
        <w:t xml:space="preserve">Weir E, Allison C, </w:t>
      </w:r>
      <w:proofErr w:type="spellStart"/>
      <w:r>
        <w:t>Warrier</w:t>
      </w:r>
      <w:proofErr w:type="spellEnd"/>
      <w:r>
        <w:t xml:space="preserve"> V, Baron-Cohen S. Increased prevalence of non-communicable physical health conditions </w:t>
      </w:r>
      <w:r>
        <w:tab/>
        <w:t xml:space="preserve">among autistic adults. Autism. 2021;25(3):681-694. </w:t>
      </w:r>
    </w:p>
    <w:p w14:paraId="1B8E2796" w14:textId="69ACCEC4" w:rsidR="0891AA5B" w:rsidRDefault="0891AA5B" w:rsidP="0891AA5B">
      <w:pPr>
        <w:spacing w:after="0"/>
      </w:pPr>
    </w:p>
    <w:p w14:paraId="73231AF7" w14:textId="685E45F0" w:rsidR="0C5B9D6C" w:rsidRDefault="0C5B9D6C" w:rsidP="0891AA5B">
      <w:pPr>
        <w:jc w:val="center"/>
        <w:rPr>
          <w:b/>
          <w:bCs/>
        </w:rPr>
      </w:pPr>
      <w:r w:rsidRPr="0891AA5B">
        <w:rPr>
          <w:b/>
          <w:bCs/>
        </w:rPr>
        <w:t>Paper 3 of 4</w:t>
      </w:r>
    </w:p>
    <w:p w14:paraId="07CAA6CB" w14:textId="1834839A" w:rsidR="253A698E" w:rsidRDefault="253A698E">
      <w:r w:rsidRPr="0891AA5B">
        <w:rPr>
          <w:b/>
          <w:bCs/>
        </w:rPr>
        <w:t>Paper Title</w:t>
      </w:r>
      <w:r>
        <w:t xml:space="preserve">: </w:t>
      </w:r>
      <w:r w:rsidR="59DCC806">
        <w:t>Social Engagement and Healthy Aging in People with Down Syndrome</w:t>
      </w:r>
    </w:p>
    <w:p w14:paraId="74A51CF7" w14:textId="4E866465" w:rsidR="0064135E" w:rsidRDefault="253A698E" w:rsidP="0064135E">
      <w:r w:rsidRPr="002A64F0">
        <w:rPr>
          <w:b/>
          <w:bCs/>
        </w:rPr>
        <w:t>Authors</w:t>
      </w:r>
      <w:r>
        <w:t xml:space="preserve">: </w:t>
      </w:r>
      <w:r w:rsidR="55F64243">
        <w:t xml:space="preserve">Brianna </w:t>
      </w:r>
      <w:proofErr w:type="spellStart"/>
      <w:r w:rsidR="55F64243">
        <w:t>Piro-Gambetti</w:t>
      </w:r>
      <w:proofErr w:type="spellEnd"/>
      <w:r w:rsidR="00865BD5">
        <w:rPr>
          <w:rStyle w:val="FootnoteReference"/>
        </w:rPr>
        <w:footnoteReference w:id="6"/>
      </w:r>
      <w:r w:rsidR="55F64243">
        <w:t>, Courtney Brothers</w:t>
      </w:r>
      <w:r w:rsidR="00865BD5" w:rsidRPr="00865BD5">
        <w:rPr>
          <w:vertAlign w:val="superscript"/>
        </w:rPr>
        <w:t>5</w:t>
      </w:r>
      <w:r w:rsidR="55F64243">
        <w:t>, Emily Schworer</w:t>
      </w:r>
      <w:r w:rsidR="00865BD5" w:rsidRPr="00865BD5">
        <w:rPr>
          <w:vertAlign w:val="superscript"/>
        </w:rPr>
        <w:t>5</w:t>
      </w:r>
      <w:r w:rsidR="55F64243">
        <w:t xml:space="preserve">, Benjamin </w:t>
      </w:r>
      <w:proofErr w:type="spellStart"/>
      <w:r w:rsidR="55F64243">
        <w:t>Handen</w:t>
      </w:r>
      <w:proofErr w:type="spellEnd"/>
      <w:r w:rsidR="0077398B">
        <w:rPr>
          <w:rStyle w:val="FootnoteReference"/>
        </w:rPr>
        <w:footnoteReference w:id="7"/>
      </w:r>
      <w:r w:rsidR="55F64243">
        <w:t xml:space="preserve">, &amp; </w:t>
      </w:r>
      <w:proofErr w:type="spellStart"/>
      <w:r w:rsidR="55F64243">
        <w:t>Sigan</w:t>
      </w:r>
      <w:proofErr w:type="spellEnd"/>
      <w:r w:rsidR="55F64243">
        <w:t xml:space="preserve"> L. Hartley</w:t>
      </w:r>
      <w:r w:rsidR="0077398B" w:rsidRPr="00865BD5">
        <w:rPr>
          <w:vertAlign w:val="superscript"/>
        </w:rPr>
        <w:t>5</w:t>
      </w:r>
    </w:p>
    <w:p w14:paraId="086AEBFE" w14:textId="27FF64ED" w:rsidR="253A698E" w:rsidRDefault="253A698E">
      <w:r w:rsidRPr="0891AA5B">
        <w:rPr>
          <w:b/>
          <w:bCs/>
        </w:rPr>
        <w:t>Introduction</w:t>
      </w:r>
      <w:r>
        <w:t xml:space="preserve">: </w:t>
      </w:r>
      <w:r w:rsidR="336EF393">
        <w:t>A socially active life is linked to optimal mental health and lower risk of Alzheimer’s disease in the adult general population (e.g., Biddle et al., 2019; Wang et al., 2022). Indeed, social engagement has been associated with reduced depressive symptoms (Biddle et al., 2019) and preserved cognitive functioning with age (</w:t>
      </w:r>
      <w:proofErr w:type="spellStart"/>
      <w:r w:rsidR="336EF393">
        <w:t>Sommerlad</w:t>
      </w:r>
      <w:proofErr w:type="spellEnd"/>
      <w:r w:rsidR="336EF393">
        <w:t xml:space="preserve"> et al., 2023; Wang et al., 2022). Little is known, however, about whether adults with Down syndrome (DS) experience similar benefits of social engagement. Adults with DS have high rates of co-occurring mental health problems (</w:t>
      </w:r>
      <w:proofErr w:type="spellStart"/>
      <w:r w:rsidR="336EF393">
        <w:t>Startin</w:t>
      </w:r>
      <w:proofErr w:type="spellEnd"/>
      <w:r w:rsidR="336EF393">
        <w:t xml:space="preserve"> et al., 2020). They also have an elevated risk for early-onset Alzheimer’s Disease (AD) (Wiseman et al., 2015) due to the overexpression of amyloid-β (Aβ), an early pathological feature of AD (Mann &amp; Esiri, 1989; Wiseman et al., 2015). It is unclear whether greater social engagement is associated with fewer mental health problems or healthier cognitive aging in adults with DS. The aims of the present study were to: 1) determine factors associated with greater social engagement among adults with DS; and 2) examine the relation between social engagement and the mental and cognitive health of adults with DS.</w:t>
      </w:r>
    </w:p>
    <w:p w14:paraId="18D26905" w14:textId="3B5CC154" w:rsidR="253A698E" w:rsidRDefault="253A698E">
      <w:r w:rsidRPr="0891AA5B">
        <w:rPr>
          <w:b/>
          <w:bCs/>
        </w:rPr>
        <w:t>Method</w:t>
      </w:r>
      <w:r>
        <w:t xml:space="preserve">: </w:t>
      </w:r>
      <w:r w:rsidR="36DC4C70">
        <w:t>Participants included 142 non-demented adults with DS enrolled in the Alzheimer Biomarker Consortium-Down Syndrome who participated in an affiliated Lifestyle study. Participants were aged 25-61 (M = 39.87 years, SD = 8.70 years) and completed the Modified Cued Recall Test (</w:t>
      </w:r>
      <w:proofErr w:type="spellStart"/>
      <w:r w:rsidR="36DC4C70">
        <w:t>mCRT</w:t>
      </w:r>
      <w:proofErr w:type="spellEnd"/>
      <w:r w:rsidR="36DC4C70">
        <w:t xml:space="preserve">; </w:t>
      </w:r>
      <w:proofErr w:type="spellStart"/>
      <w:r w:rsidR="36DC4C70">
        <w:t>Zimmerli</w:t>
      </w:r>
      <w:proofErr w:type="spellEnd"/>
      <w:r w:rsidR="36DC4C70">
        <w:t xml:space="preserve"> &amp; </w:t>
      </w:r>
      <w:proofErr w:type="spellStart"/>
      <w:r w:rsidR="36DC4C70">
        <w:t>Devenny</w:t>
      </w:r>
      <w:proofErr w:type="spellEnd"/>
      <w:r w:rsidR="36DC4C70">
        <w:t xml:space="preserve">, 1995) and the Down Syndrome Mental Status Examination (DSMSE; </w:t>
      </w:r>
      <w:proofErr w:type="spellStart"/>
      <w:r w:rsidR="36DC4C70">
        <w:t>Haxby</w:t>
      </w:r>
      <w:proofErr w:type="spellEnd"/>
      <w:r w:rsidR="36DC4C70">
        <w:t xml:space="preserve">, 1989). A study partner reported on the participant’s demographics, mental health using the Reiss Screen for Maladaptive Behavior (Reiss &amp; </w:t>
      </w:r>
      <w:proofErr w:type="spellStart"/>
      <w:r w:rsidR="36DC4C70">
        <w:t>Valenti</w:t>
      </w:r>
      <w:proofErr w:type="spellEnd"/>
      <w:r w:rsidR="36DC4C70">
        <w:t>-Hein, 1994) and the Glasgow Depression Scale (Cuthill et al., 2003). The study partner also reported on the frequency of social activities participated in during a typical month. The participant underwent MRI and PET imaging using the tracer [11</w:t>
      </w:r>
      <w:proofErr w:type="gramStart"/>
      <w:r w:rsidR="36DC4C70">
        <w:t>C]PiB</w:t>
      </w:r>
      <w:proofErr w:type="gramEnd"/>
      <w:r w:rsidR="36DC4C70">
        <w:t xml:space="preserve">. PET Aβ burden was quantified in </w:t>
      </w:r>
      <w:proofErr w:type="spellStart"/>
      <w:r w:rsidR="36DC4C70">
        <w:t>centiloids</w:t>
      </w:r>
      <w:proofErr w:type="spellEnd"/>
      <w:r w:rsidR="36DC4C70">
        <w:t xml:space="preserve"> (</w:t>
      </w:r>
      <w:proofErr w:type="spellStart"/>
      <w:r w:rsidR="36DC4C70">
        <w:t>Klunk</w:t>
      </w:r>
      <w:proofErr w:type="spellEnd"/>
      <w:r w:rsidR="36DC4C70">
        <w:t xml:space="preserve"> et al., 2015).</w:t>
      </w:r>
    </w:p>
    <w:p w14:paraId="6F427181" w14:textId="5EC7428B" w:rsidR="0064135E" w:rsidRDefault="253A698E" w:rsidP="0064135E">
      <w:r w:rsidRPr="0891AA5B">
        <w:rPr>
          <w:b/>
          <w:bCs/>
        </w:rPr>
        <w:t>Results</w:t>
      </w:r>
      <w:r>
        <w:t xml:space="preserve">: </w:t>
      </w:r>
      <w:r w:rsidR="694EDFF1">
        <w:t>Social engagement was significantly associated with premorbid ID (</w:t>
      </w:r>
      <w:r w:rsidR="694EDFF1" w:rsidRPr="0891AA5B">
        <w:rPr>
          <w:i/>
          <w:iCs/>
        </w:rPr>
        <w:t>r</w:t>
      </w:r>
      <w:r w:rsidR="694EDFF1">
        <w:t xml:space="preserve"> = -.213, </w:t>
      </w:r>
      <w:r w:rsidR="694EDFF1" w:rsidRPr="0891AA5B">
        <w:rPr>
          <w:i/>
          <w:iCs/>
        </w:rPr>
        <w:t>p</w:t>
      </w:r>
      <w:r w:rsidR="694EDFF1">
        <w:t xml:space="preserve"> = .015), chronological age (</w:t>
      </w:r>
      <w:r w:rsidR="694EDFF1" w:rsidRPr="0891AA5B">
        <w:rPr>
          <w:i/>
          <w:iCs/>
        </w:rPr>
        <w:t>r</w:t>
      </w:r>
      <w:r w:rsidR="694EDFF1">
        <w:t xml:space="preserve"> = -.235, </w:t>
      </w:r>
      <w:r w:rsidR="694EDFF1" w:rsidRPr="0891AA5B">
        <w:rPr>
          <w:i/>
          <w:iCs/>
        </w:rPr>
        <w:t>p</w:t>
      </w:r>
      <w:r w:rsidR="694EDFF1">
        <w:t xml:space="preserve"> = .006), type of residence (</w:t>
      </w:r>
      <w:r w:rsidR="694EDFF1" w:rsidRPr="0891AA5B">
        <w:rPr>
          <w:i/>
          <w:iCs/>
        </w:rPr>
        <w:t>r</w:t>
      </w:r>
      <w:r w:rsidR="694EDFF1">
        <w:t xml:space="preserve"> = .185, </w:t>
      </w:r>
      <w:r w:rsidR="694EDFF1" w:rsidRPr="0891AA5B">
        <w:rPr>
          <w:i/>
          <w:iCs/>
        </w:rPr>
        <w:t>p</w:t>
      </w:r>
      <w:r w:rsidR="694EDFF1">
        <w:t xml:space="preserve"> = .032), and involvement with employment, volunteer, and/or day program activities (</w:t>
      </w:r>
      <w:r w:rsidR="694EDFF1" w:rsidRPr="0891AA5B">
        <w:rPr>
          <w:i/>
          <w:iCs/>
        </w:rPr>
        <w:t>r</w:t>
      </w:r>
      <w:r w:rsidR="694EDFF1">
        <w:t xml:space="preserve"> = -.270, </w:t>
      </w:r>
      <w:r w:rsidR="694EDFF1" w:rsidRPr="0891AA5B">
        <w:rPr>
          <w:i/>
          <w:iCs/>
        </w:rPr>
        <w:t>p</w:t>
      </w:r>
      <w:r w:rsidR="694EDFF1">
        <w:t xml:space="preserve"> = .001). In partial correlations, social engagement was significantly related to the Reiss (</w:t>
      </w:r>
      <w:r w:rsidR="694EDFF1" w:rsidRPr="0891AA5B">
        <w:rPr>
          <w:i/>
          <w:iCs/>
        </w:rPr>
        <w:t>r</w:t>
      </w:r>
      <w:r w:rsidR="694EDFF1">
        <w:t xml:space="preserve"> = -.195, </w:t>
      </w:r>
      <w:r w:rsidR="694EDFF1" w:rsidRPr="0891AA5B">
        <w:rPr>
          <w:i/>
          <w:iCs/>
        </w:rPr>
        <w:t>p</w:t>
      </w:r>
      <w:r w:rsidR="694EDFF1">
        <w:t xml:space="preserve"> = .028) and the Glasgow depression scale (</w:t>
      </w:r>
      <w:r w:rsidR="694EDFF1" w:rsidRPr="0891AA5B">
        <w:rPr>
          <w:i/>
          <w:iCs/>
        </w:rPr>
        <w:t>r</w:t>
      </w:r>
      <w:r w:rsidR="694EDFF1">
        <w:t xml:space="preserve"> = -.183, </w:t>
      </w:r>
      <w:r w:rsidR="694EDFF1" w:rsidRPr="0891AA5B">
        <w:rPr>
          <w:i/>
          <w:iCs/>
        </w:rPr>
        <w:t>p</w:t>
      </w:r>
      <w:r w:rsidR="694EDFF1">
        <w:t xml:space="preserve"> = .039). Social engagement was not significantly related to the </w:t>
      </w:r>
      <w:proofErr w:type="spellStart"/>
      <w:r w:rsidR="694EDFF1">
        <w:t>mCRT</w:t>
      </w:r>
      <w:proofErr w:type="spellEnd"/>
      <w:r w:rsidR="694EDFF1">
        <w:t xml:space="preserve"> or DSMSE. However, social engagement significantly moderated the association between higher Aβ burden and lower </w:t>
      </w:r>
      <w:proofErr w:type="spellStart"/>
      <w:r w:rsidR="694EDFF1">
        <w:t>mCRT</w:t>
      </w:r>
      <w:proofErr w:type="spellEnd"/>
      <w:r w:rsidR="694EDFF1">
        <w:t xml:space="preserve"> score (∆R</w:t>
      </w:r>
      <w:r w:rsidR="694EDFF1" w:rsidRPr="0891AA5B">
        <w:rPr>
          <w:vertAlign w:val="superscript"/>
        </w:rPr>
        <w:t>2</w:t>
      </w:r>
      <w:r w:rsidR="694EDFF1">
        <w:t xml:space="preserve"> = .339, </w:t>
      </w:r>
      <w:r w:rsidR="694EDFF1" w:rsidRPr="0891AA5B">
        <w:rPr>
          <w:i/>
          <w:iCs/>
        </w:rPr>
        <w:t>F</w:t>
      </w:r>
      <w:r w:rsidR="694EDFF1">
        <w:t xml:space="preserve"> = 7.901, </w:t>
      </w:r>
      <w:r w:rsidR="694EDFF1" w:rsidRPr="0891AA5B">
        <w:rPr>
          <w:i/>
          <w:iCs/>
        </w:rPr>
        <w:t>p</w:t>
      </w:r>
      <w:r w:rsidR="694EDFF1">
        <w:t xml:space="preserve"> &lt; .001; β = .105, </w:t>
      </w:r>
      <w:r w:rsidR="694EDFF1" w:rsidRPr="0891AA5B">
        <w:rPr>
          <w:i/>
          <w:iCs/>
        </w:rPr>
        <w:t>p</w:t>
      </w:r>
      <w:r w:rsidR="694EDFF1">
        <w:t xml:space="preserve"> = .025).</w:t>
      </w:r>
    </w:p>
    <w:p w14:paraId="6A82ECA6" w14:textId="5232BF06" w:rsidR="253A698E" w:rsidRDefault="253A698E">
      <w:r w:rsidRPr="0891AA5B">
        <w:rPr>
          <w:b/>
          <w:bCs/>
        </w:rPr>
        <w:lastRenderedPageBreak/>
        <w:t>Discussion</w:t>
      </w:r>
      <w:r>
        <w:t xml:space="preserve">: </w:t>
      </w:r>
      <w:r w:rsidR="0E42B673">
        <w:t>Socially engaged lifestyles are important for healthy aging in people with DS. Living in a group home or alone (versus with family), and involvement in employment activities (paid, volunteer, or work centers) was related to higher social engagement.  Greater social engagement was associated with better mental health and moderated the impact of early AD pathology (i.e., Aβ burden) on memory.  Findings highlight the need to remove barriers to social activities for adults with DS and the importance of policies and programs that can foster social engagement.</w:t>
      </w:r>
    </w:p>
    <w:p w14:paraId="340DE9AA" w14:textId="282CD007" w:rsidR="253A698E" w:rsidRDefault="253A698E" w:rsidP="7F0107B6">
      <w:pPr>
        <w:spacing w:after="0"/>
      </w:pPr>
      <w:r w:rsidRPr="0891AA5B">
        <w:rPr>
          <w:b/>
          <w:bCs/>
        </w:rPr>
        <w:t>References</w:t>
      </w:r>
      <w:r>
        <w:t xml:space="preserve"> </w:t>
      </w:r>
    </w:p>
    <w:p w14:paraId="12064ED8" w14:textId="100416EB" w:rsidR="2B7B5C55" w:rsidRDefault="2B7B5C55" w:rsidP="000351CF">
      <w:pPr>
        <w:spacing w:after="0" w:line="240" w:lineRule="auto"/>
        <w:ind w:left="634" w:hanging="634"/>
      </w:pPr>
      <w:r>
        <w:t xml:space="preserve">Biddle, K.D., </w:t>
      </w:r>
      <w:proofErr w:type="spellStart"/>
      <w:r>
        <w:t>Uquillas</w:t>
      </w:r>
      <w:proofErr w:type="spellEnd"/>
      <w:r>
        <w:t xml:space="preserve">, F., Jacobs, H.I.L., </w:t>
      </w:r>
      <w:proofErr w:type="spellStart"/>
      <w:r>
        <w:t>Zide</w:t>
      </w:r>
      <w:proofErr w:type="spellEnd"/>
      <w:r>
        <w:t xml:space="preserve">, B., </w:t>
      </w:r>
      <w:proofErr w:type="spellStart"/>
      <w:r>
        <w:t>Kirn</w:t>
      </w:r>
      <w:proofErr w:type="spellEnd"/>
      <w:r>
        <w:t xml:space="preserve">, D.R., </w:t>
      </w:r>
      <w:proofErr w:type="spellStart"/>
      <w:r>
        <w:t>Rentz</w:t>
      </w:r>
      <w:proofErr w:type="spellEnd"/>
      <w:r>
        <w:t xml:space="preserve">, D.M., Johnson, K.A., Sperling, R.A., &amp; Donovan, N.J. (2019). Social engagement and Amyloid-β- related cognitive decline in cognitively normal older adults. The American Journal of Geriatric Psychiatry, 27(11), 1247-1256.  </w:t>
      </w:r>
    </w:p>
    <w:p w14:paraId="4F135B51" w14:textId="0F4FFB23" w:rsidR="2B7B5C55" w:rsidRDefault="2B7B5C55" w:rsidP="000351CF">
      <w:pPr>
        <w:spacing w:after="0" w:line="240" w:lineRule="auto"/>
        <w:ind w:left="634" w:hanging="634"/>
      </w:pPr>
      <w:r>
        <w:t xml:space="preserve">Cuthill, F.M., </w:t>
      </w:r>
      <w:proofErr w:type="spellStart"/>
      <w:r>
        <w:t>Espie</w:t>
      </w:r>
      <w:proofErr w:type="spellEnd"/>
      <w:r>
        <w:t xml:space="preserve">, C.A., &amp; Cooper, S. (2003). Development and psychometric properties of the Glasgow Depression Scale for people with a learning disability: Individual and carer supplement versions. The British Journal of Psychiatry, 182, 347-353.  </w:t>
      </w:r>
    </w:p>
    <w:p w14:paraId="6B933210" w14:textId="63074E4D" w:rsidR="2B7B5C55" w:rsidRDefault="2B7B5C55" w:rsidP="000351CF">
      <w:pPr>
        <w:spacing w:after="0" w:line="240" w:lineRule="auto"/>
        <w:ind w:left="634" w:hanging="634"/>
      </w:pPr>
      <w:proofErr w:type="spellStart"/>
      <w:r>
        <w:t>Haxby</w:t>
      </w:r>
      <w:proofErr w:type="spellEnd"/>
      <w:r>
        <w:t xml:space="preserve">, J.V., (1989). Neuropsychological evaluation of adults with Down’s syndrome: Patterns of selective impairment in nondemented old adults. Journal of Mental Deficiency Research, 33, 193-210.  </w:t>
      </w:r>
    </w:p>
    <w:p w14:paraId="7CDC5628" w14:textId="2790C4D3" w:rsidR="2B7B5C55" w:rsidRDefault="2B7B5C55" w:rsidP="000351CF">
      <w:pPr>
        <w:spacing w:after="0" w:line="240" w:lineRule="auto"/>
        <w:ind w:left="634" w:hanging="634"/>
      </w:pPr>
      <w:proofErr w:type="spellStart"/>
      <w:r>
        <w:t>Klunk</w:t>
      </w:r>
      <w:proofErr w:type="spellEnd"/>
      <w:r>
        <w:t xml:space="preserve">, W.E., </w:t>
      </w:r>
      <w:proofErr w:type="spellStart"/>
      <w:r>
        <w:t>Koeppe</w:t>
      </w:r>
      <w:proofErr w:type="spellEnd"/>
      <w:r>
        <w:t xml:space="preserve">, R.A., Price, J.C., </w:t>
      </w:r>
      <w:proofErr w:type="spellStart"/>
      <w:r>
        <w:t>Benzinger</w:t>
      </w:r>
      <w:proofErr w:type="spellEnd"/>
      <w:r>
        <w:t xml:space="preserve">, T.L., </w:t>
      </w:r>
      <w:proofErr w:type="spellStart"/>
      <w:r>
        <w:t>Devous</w:t>
      </w:r>
      <w:proofErr w:type="spellEnd"/>
      <w:r>
        <w:t xml:space="preserve"> Sr., M.D., </w:t>
      </w:r>
      <w:proofErr w:type="spellStart"/>
      <w:r>
        <w:t>Jagust</w:t>
      </w:r>
      <w:proofErr w:type="spellEnd"/>
      <w:r>
        <w:t xml:space="preserve">, W.J., et al., (2015). The </w:t>
      </w:r>
      <w:proofErr w:type="spellStart"/>
      <w:r>
        <w:t>Centiloid</w:t>
      </w:r>
      <w:proofErr w:type="spellEnd"/>
      <w:r>
        <w:t xml:space="preserve"> Project: Standardizing quantitative amyloid plaque estimation by PET. Alzheimer's &amp; Dementia, 11(1), 1-15. </w:t>
      </w:r>
    </w:p>
    <w:p w14:paraId="4BFC0280" w14:textId="137267BB" w:rsidR="2B7B5C55" w:rsidRDefault="2B7B5C55" w:rsidP="000351CF">
      <w:pPr>
        <w:spacing w:after="0" w:line="240" w:lineRule="auto"/>
        <w:ind w:left="634" w:hanging="634"/>
      </w:pPr>
      <w:r>
        <w:t xml:space="preserve">Mann, D.M., &amp; Esiri, M.M. (1989). The pattern of acquisition of plaques and tangles in the brains of patients under 50 years of age with Down’s syndrome. Journal of Neurological Science, 89(2-3), 169-179.  </w:t>
      </w:r>
    </w:p>
    <w:p w14:paraId="7761DF75" w14:textId="07D0A699" w:rsidR="2B7B5C55" w:rsidRDefault="2B7B5C55" w:rsidP="000351CF">
      <w:pPr>
        <w:spacing w:after="0" w:line="240" w:lineRule="auto"/>
        <w:ind w:left="634" w:hanging="634"/>
      </w:pPr>
      <w:r>
        <w:t xml:space="preserve">Reiss, S., &amp; </w:t>
      </w:r>
      <w:proofErr w:type="spellStart"/>
      <w:r>
        <w:t>Valenti</w:t>
      </w:r>
      <w:proofErr w:type="spellEnd"/>
      <w:r>
        <w:t xml:space="preserve">-Hein, D. (1994). Development of psychopathology rating scale for children with mental retardation. Journal of Consulting and Clinical Psychology, 62(1), 28-33. </w:t>
      </w:r>
    </w:p>
    <w:p w14:paraId="00590CC5" w14:textId="234258DB" w:rsidR="2B7B5C55" w:rsidRDefault="2B7B5C55" w:rsidP="000351CF">
      <w:pPr>
        <w:spacing w:after="0" w:line="240" w:lineRule="auto"/>
        <w:ind w:left="634" w:hanging="634"/>
      </w:pPr>
      <w:proofErr w:type="spellStart"/>
      <w:r>
        <w:t>Sommerlad</w:t>
      </w:r>
      <w:proofErr w:type="spellEnd"/>
      <w:r>
        <w:t xml:space="preserve">, A., </w:t>
      </w:r>
      <w:proofErr w:type="spellStart"/>
      <w:r>
        <w:t>Kivimӓki</w:t>
      </w:r>
      <w:proofErr w:type="spellEnd"/>
      <w:r>
        <w:t xml:space="preserve">, M., Larson, E.B., </w:t>
      </w:r>
      <w:proofErr w:type="spellStart"/>
      <w:r>
        <w:t>Rӧhr</w:t>
      </w:r>
      <w:proofErr w:type="spellEnd"/>
      <w:r>
        <w:t>, S., Shirai, K., Singh-</w:t>
      </w:r>
      <w:proofErr w:type="spellStart"/>
      <w:r>
        <w:t>Manoux</w:t>
      </w:r>
      <w:proofErr w:type="spellEnd"/>
      <w:r>
        <w:t xml:space="preserve">, A., &amp; Livingston, G. (2023). Social participation and risk of developing dementia. Nature Aging, 3(5), 532-545.  </w:t>
      </w:r>
    </w:p>
    <w:p w14:paraId="2EDDAE4C" w14:textId="62CA7C3C" w:rsidR="2B7B5C55" w:rsidRDefault="2B7B5C55" w:rsidP="000351CF">
      <w:pPr>
        <w:spacing w:after="0" w:line="240" w:lineRule="auto"/>
        <w:ind w:left="634" w:hanging="634"/>
      </w:pPr>
      <w:proofErr w:type="spellStart"/>
      <w:r>
        <w:t>Startin</w:t>
      </w:r>
      <w:proofErr w:type="spellEnd"/>
      <w:r>
        <w:t xml:space="preserve">, C.M., D’Souza, H., Ball, G., Hamburg, S., </w:t>
      </w:r>
      <w:proofErr w:type="spellStart"/>
      <w:r>
        <w:t>Hithersay</w:t>
      </w:r>
      <w:proofErr w:type="spellEnd"/>
      <w:r>
        <w:t xml:space="preserve">, R., Hughes, K.M.O., </w:t>
      </w:r>
      <w:proofErr w:type="spellStart"/>
      <w:r>
        <w:t>Massand</w:t>
      </w:r>
      <w:proofErr w:type="spellEnd"/>
      <w:r>
        <w:t xml:space="preserve">, E., Karmiloff-Smith, A., Thomas, M.S.C., </w:t>
      </w:r>
      <w:proofErr w:type="spellStart"/>
      <w:r>
        <w:t>LonDownS</w:t>
      </w:r>
      <w:proofErr w:type="spellEnd"/>
      <w:r>
        <w:t xml:space="preserve"> Consortium &amp; Andre Strydom (2020). Health comorbidities and cognitive abilities across the lifespan in Down syndrome. Journal of Neurodevelopmental Disorders, 12(4). </w:t>
      </w:r>
    </w:p>
    <w:p w14:paraId="52AE649A" w14:textId="3256AD23" w:rsidR="2B7B5C55" w:rsidRDefault="2B7B5C55" w:rsidP="000351CF">
      <w:pPr>
        <w:spacing w:after="0" w:line="240" w:lineRule="auto"/>
        <w:ind w:left="634" w:hanging="634"/>
      </w:pPr>
      <w:r>
        <w:t xml:space="preserve">Wang, S., </w:t>
      </w:r>
      <w:proofErr w:type="spellStart"/>
      <w:r>
        <w:t>Molassiotis</w:t>
      </w:r>
      <w:proofErr w:type="spellEnd"/>
      <w:r>
        <w:t xml:space="preserve">, A., Guo, C., Leung, I.S.H., &amp; Leung, A.Y.M. (2022). Association between social integration and risk of dementia: A systematic review and meta-analysis of longitudinal studies. Journal of American Geriatrics Society, 71, 632-645. </w:t>
      </w:r>
    </w:p>
    <w:p w14:paraId="7BA67BD2" w14:textId="6B46AE5B" w:rsidR="2B7B5C55" w:rsidRDefault="2B7B5C55" w:rsidP="000351CF">
      <w:pPr>
        <w:spacing w:after="0" w:line="240" w:lineRule="auto"/>
        <w:ind w:left="634" w:hanging="634"/>
      </w:pPr>
      <w:r>
        <w:t>Wiseman, F.K., Al-</w:t>
      </w:r>
      <w:proofErr w:type="spellStart"/>
      <w:r>
        <w:t>Janabi</w:t>
      </w:r>
      <w:proofErr w:type="spellEnd"/>
      <w:r>
        <w:t xml:space="preserve">, T., Hardy, J., Karmiloff-Smith, A., </w:t>
      </w:r>
      <w:proofErr w:type="spellStart"/>
      <w:r>
        <w:t>Nizetic</w:t>
      </w:r>
      <w:proofErr w:type="spellEnd"/>
      <w:r>
        <w:t xml:space="preserve">, D., </w:t>
      </w:r>
      <w:proofErr w:type="spellStart"/>
      <w:r>
        <w:t>Tybulewicz</w:t>
      </w:r>
      <w:proofErr w:type="spellEnd"/>
      <w:r>
        <w:t>, V.L.J., et al.</w:t>
      </w:r>
      <w:r w:rsidR="763350B5">
        <w:t xml:space="preserve"> </w:t>
      </w:r>
      <w:r>
        <w:t xml:space="preserve">(2015). A genetic cause of Alzheimer disease: mechanistic insights from down syndrome. National Reviews Neuroscience, 16(9), 564-574.  </w:t>
      </w:r>
    </w:p>
    <w:p w14:paraId="7FD0AFEE" w14:textId="3EABB0F9" w:rsidR="2B7B5C55" w:rsidRDefault="46C789A7" w:rsidP="000351CF">
      <w:pPr>
        <w:spacing w:after="0" w:line="240" w:lineRule="auto"/>
        <w:ind w:left="634" w:hanging="634"/>
      </w:pPr>
      <w:proofErr w:type="spellStart"/>
      <w:r>
        <w:t>Zimmerli</w:t>
      </w:r>
      <w:proofErr w:type="spellEnd"/>
      <w:r>
        <w:t xml:space="preserve">, E., &amp; </w:t>
      </w:r>
      <w:proofErr w:type="spellStart"/>
      <w:r>
        <w:t>Devenny</w:t>
      </w:r>
      <w:proofErr w:type="spellEnd"/>
      <w:r>
        <w:t>, D.A. (1995). Cued recall as a screen for dementia in the MR population. Paper presented at the Gatlinburg conference on research and theory in mental retardation and developmental disabilities, March 11-14, Gatlinburg, TN</w:t>
      </w:r>
    </w:p>
    <w:p w14:paraId="78DB5E22" w14:textId="4E187656" w:rsidR="039B1B16" w:rsidRDefault="039B1B16" w:rsidP="039B1B16">
      <w:pPr>
        <w:spacing w:after="0" w:line="240" w:lineRule="auto"/>
        <w:ind w:left="634" w:hanging="634"/>
      </w:pPr>
    </w:p>
    <w:p w14:paraId="46304025" w14:textId="09CFBC22" w:rsidR="0064135E" w:rsidRDefault="253A698E" w:rsidP="0064135E">
      <w:pPr>
        <w:jc w:val="center"/>
        <w:rPr>
          <w:b/>
          <w:bCs/>
        </w:rPr>
      </w:pPr>
      <w:r w:rsidRPr="0891AA5B">
        <w:rPr>
          <w:b/>
          <w:bCs/>
        </w:rPr>
        <w:t xml:space="preserve">Paper </w:t>
      </w:r>
      <w:r w:rsidR="5BA1DD0E" w:rsidRPr="0891AA5B">
        <w:rPr>
          <w:b/>
          <w:bCs/>
        </w:rPr>
        <w:t>4</w:t>
      </w:r>
      <w:r w:rsidRPr="0891AA5B">
        <w:rPr>
          <w:b/>
          <w:bCs/>
        </w:rPr>
        <w:t xml:space="preserve"> of 4</w:t>
      </w:r>
    </w:p>
    <w:p w14:paraId="3A8C9E3F" w14:textId="77777777" w:rsidR="00374248" w:rsidRDefault="00374248" w:rsidP="00374248">
      <w:pPr>
        <w:spacing w:after="200" w:line="276" w:lineRule="auto"/>
        <w:rPr>
          <w:rFonts w:eastAsia="Arial" w:cs="Arial"/>
          <w:szCs w:val="20"/>
        </w:rPr>
      </w:pPr>
      <w:r w:rsidRPr="0891AA5B">
        <w:rPr>
          <w:rFonts w:eastAsia="Arial" w:cs="Arial"/>
          <w:b/>
          <w:bCs/>
          <w:szCs w:val="20"/>
        </w:rPr>
        <w:t>Paper Title</w:t>
      </w:r>
      <w:r w:rsidRPr="0891AA5B">
        <w:rPr>
          <w:rFonts w:eastAsia="Arial" w:cs="Arial"/>
          <w:szCs w:val="20"/>
        </w:rPr>
        <w:t>: Use of Cognitive Compensation Strategies and Associations with Daily Living Skills and Health in Autistic Adults</w:t>
      </w:r>
    </w:p>
    <w:p w14:paraId="3F9FAB68" w14:textId="22A6D015" w:rsidR="00374248" w:rsidRDefault="00374248" w:rsidP="00374248">
      <w:pPr>
        <w:spacing w:after="200" w:line="276" w:lineRule="auto"/>
        <w:rPr>
          <w:rFonts w:eastAsia="Arial" w:cs="Arial"/>
          <w:szCs w:val="20"/>
          <w:vertAlign w:val="superscript"/>
        </w:rPr>
      </w:pPr>
      <w:r w:rsidRPr="0891AA5B">
        <w:rPr>
          <w:rFonts w:eastAsia="Arial" w:cs="Arial"/>
          <w:b/>
          <w:bCs/>
          <w:szCs w:val="20"/>
        </w:rPr>
        <w:t>Authors</w:t>
      </w:r>
      <w:r w:rsidRPr="0891AA5B">
        <w:rPr>
          <w:rFonts w:eastAsia="Arial" w:cs="Arial"/>
          <w:szCs w:val="20"/>
        </w:rPr>
        <w:t>: Claire B. Klein</w:t>
      </w:r>
      <w:r w:rsidR="00FB44F3">
        <w:rPr>
          <w:rStyle w:val="FootnoteReference"/>
          <w:rFonts w:eastAsia="Arial" w:cs="Arial"/>
          <w:szCs w:val="20"/>
        </w:rPr>
        <w:footnoteReference w:id="8"/>
      </w:r>
      <w:r w:rsidRPr="0891AA5B">
        <w:rPr>
          <w:rFonts w:eastAsia="Arial" w:cs="Arial"/>
          <w:szCs w:val="20"/>
        </w:rPr>
        <w:t>, Vidya Gadikota</w:t>
      </w:r>
      <w:r w:rsidR="00436783" w:rsidRPr="00436783">
        <w:rPr>
          <w:rFonts w:eastAsia="Arial" w:cs="Arial"/>
          <w:szCs w:val="20"/>
          <w:vertAlign w:val="superscript"/>
        </w:rPr>
        <w:t>7</w:t>
      </w:r>
      <w:r w:rsidRPr="0891AA5B">
        <w:rPr>
          <w:rFonts w:eastAsia="Arial" w:cs="Arial"/>
          <w:szCs w:val="20"/>
        </w:rPr>
        <w:t>, Katie Rowland</w:t>
      </w:r>
      <w:r w:rsidR="00436783" w:rsidRPr="00436783">
        <w:rPr>
          <w:rFonts w:eastAsia="Arial" w:cs="Arial"/>
          <w:szCs w:val="20"/>
          <w:vertAlign w:val="superscript"/>
        </w:rPr>
        <w:t>7</w:t>
      </w:r>
      <w:r w:rsidRPr="0891AA5B">
        <w:rPr>
          <w:rFonts w:eastAsia="Arial" w:cs="Arial"/>
          <w:szCs w:val="20"/>
        </w:rPr>
        <w:t>, Elena Lamarche</w:t>
      </w:r>
      <w:r w:rsidR="00436783" w:rsidRPr="00436783">
        <w:rPr>
          <w:rFonts w:eastAsia="Arial" w:cs="Arial"/>
          <w:szCs w:val="20"/>
          <w:vertAlign w:val="superscript"/>
        </w:rPr>
        <w:t>7</w:t>
      </w:r>
      <w:r w:rsidRPr="0891AA5B">
        <w:rPr>
          <w:rFonts w:eastAsia="Arial" w:cs="Arial"/>
          <w:szCs w:val="20"/>
        </w:rPr>
        <w:t>, Allison Meyer</w:t>
      </w:r>
      <w:r w:rsidR="00436783">
        <w:rPr>
          <w:rStyle w:val="FootnoteReference"/>
          <w:rFonts w:eastAsia="Arial" w:cs="Arial"/>
          <w:szCs w:val="20"/>
        </w:rPr>
        <w:footnoteReference w:id="9"/>
      </w:r>
      <w:r w:rsidRPr="0891AA5B">
        <w:rPr>
          <w:rFonts w:eastAsia="Arial" w:cs="Arial"/>
          <w:szCs w:val="20"/>
        </w:rPr>
        <w:t>, &amp; Laura Klinger</w:t>
      </w:r>
      <w:r w:rsidR="00436783" w:rsidRPr="00436783">
        <w:rPr>
          <w:rFonts w:eastAsia="Arial" w:cs="Arial"/>
          <w:szCs w:val="20"/>
          <w:vertAlign w:val="superscript"/>
        </w:rPr>
        <w:t>7</w:t>
      </w:r>
    </w:p>
    <w:p w14:paraId="6B7F95E3" w14:textId="77777777" w:rsidR="00374248" w:rsidRDefault="00374248" w:rsidP="00374248">
      <w:pPr>
        <w:spacing w:after="200"/>
        <w:rPr>
          <w:rFonts w:eastAsia="Arial" w:cs="Arial"/>
          <w:color w:val="000000" w:themeColor="text1"/>
          <w:szCs w:val="20"/>
        </w:rPr>
      </w:pPr>
      <w:r w:rsidRPr="0891AA5B">
        <w:rPr>
          <w:rFonts w:eastAsia="Arial" w:cs="Arial"/>
          <w:b/>
          <w:bCs/>
          <w:szCs w:val="20"/>
        </w:rPr>
        <w:t>Introduction</w:t>
      </w:r>
      <w:r w:rsidRPr="0891AA5B">
        <w:rPr>
          <w:rFonts w:eastAsia="Arial" w:cs="Arial"/>
          <w:szCs w:val="20"/>
        </w:rPr>
        <w:t xml:space="preserve">: There is strong support that the use of visual supports (e.g., schedules, reminders, visual instructions) and increased structure (e.g., routines, limiting distractions) used in Structured </w:t>
      </w:r>
      <w:proofErr w:type="spellStart"/>
      <w:r w:rsidRPr="0891AA5B">
        <w:rPr>
          <w:rFonts w:eastAsia="Arial" w:cs="Arial"/>
          <w:szCs w:val="20"/>
        </w:rPr>
        <w:t>TEACCHing</w:t>
      </w:r>
      <w:proofErr w:type="spellEnd"/>
      <w:r w:rsidRPr="0891AA5B">
        <w:rPr>
          <w:rFonts w:eastAsia="Arial" w:cs="Arial"/>
          <w:szCs w:val="20"/>
        </w:rPr>
        <w:t xml:space="preserve"> are helpful strategies for autistic children in their daily routines (Wong et al. 2015). Cognitive supports, such as visuals, are frequently used among aging adults in the general population to maintain their independence in daily living skills (DLS; Tomaszewski </w:t>
      </w:r>
      <w:r w:rsidRPr="0891AA5B">
        <w:rPr>
          <w:rFonts w:eastAsia="Arial" w:cs="Arial"/>
          <w:szCs w:val="20"/>
        </w:rPr>
        <w:lastRenderedPageBreak/>
        <w:t xml:space="preserve">Farias et al., 2018). However, cognitive supports, or cognitive compensation strategies, have not yet been examined among autistic adults. The current study developed a questionnaire of cognitive compensation strategies for autistic adults to 1) Explore the use of cognitive compensation strategies and </w:t>
      </w:r>
      <w:proofErr w:type="gramStart"/>
      <w:r w:rsidRPr="0891AA5B">
        <w:rPr>
          <w:rFonts w:eastAsia="Arial" w:cs="Arial"/>
          <w:szCs w:val="20"/>
        </w:rPr>
        <w:t>most commonly used</w:t>
      </w:r>
      <w:proofErr w:type="gramEnd"/>
      <w:r w:rsidRPr="0891AA5B">
        <w:rPr>
          <w:rFonts w:eastAsia="Arial" w:cs="Arial"/>
          <w:szCs w:val="20"/>
        </w:rPr>
        <w:t xml:space="preserve"> strategies among middle-aged adults to complete daily activities, 2) Examine differences in DLS by use of cognitive compensation strategies, and 3) Contrast the use of cognitive compensation strategies with changes in overall health.</w:t>
      </w:r>
    </w:p>
    <w:p w14:paraId="18A60EE4" w14:textId="77777777" w:rsidR="00374248" w:rsidRDefault="00374248" w:rsidP="00374248">
      <w:pPr>
        <w:spacing w:after="200"/>
        <w:rPr>
          <w:rFonts w:eastAsia="Arial" w:cs="Arial"/>
          <w:color w:val="000000" w:themeColor="text1"/>
          <w:szCs w:val="20"/>
        </w:rPr>
      </w:pPr>
      <w:r w:rsidRPr="0891AA5B">
        <w:rPr>
          <w:rFonts w:eastAsia="Arial" w:cs="Arial"/>
          <w:b/>
          <w:bCs/>
          <w:color w:val="000000" w:themeColor="text1"/>
          <w:szCs w:val="20"/>
          <w:lang w:val="en-GB"/>
        </w:rPr>
        <w:t>Method</w:t>
      </w:r>
      <w:r w:rsidRPr="0891AA5B">
        <w:rPr>
          <w:rFonts w:eastAsia="Arial" w:cs="Arial"/>
          <w:color w:val="000000" w:themeColor="text1"/>
          <w:szCs w:val="20"/>
          <w:lang w:val="en-GB"/>
        </w:rPr>
        <w:t xml:space="preserve">: Participants were part of a longitudinal cohort diagnosed in childhood at the UNC TEACCH Autism Program between 1969-2000 (Age of diagnosis M=7.29, SD=4.04, range=2.72-16.56) enriched for high support needs (Childhood IQ M=61.71, SD=24.74). Caregivers completed a survey about adult outcomes between 2014-2016 (Wave 2) and 2023-2024 (Wave 3). The survey included a questionnaire on using cognitive compensation strategies based on Structured </w:t>
      </w:r>
      <w:proofErr w:type="spellStart"/>
      <w:r w:rsidRPr="0891AA5B">
        <w:rPr>
          <w:rFonts w:eastAsia="Arial" w:cs="Arial"/>
          <w:color w:val="000000" w:themeColor="text1"/>
          <w:szCs w:val="20"/>
          <w:lang w:val="en-GB"/>
        </w:rPr>
        <w:t>TEACCHing</w:t>
      </w:r>
      <w:proofErr w:type="spellEnd"/>
      <w:r w:rsidRPr="0891AA5B">
        <w:rPr>
          <w:rFonts w:eastAsia="Arial" w:cs="Arial"/>
          <w:color w:val="000000" w:themeColor="text1"/>
          <w:szCs w:val="20"/>
          <w:lang w:val="en-GB"/>
        </w:rPr>
        <w:t xml:space="preserve"> principles and supports commonly used for autistic individuals. Caregivers rated if the autistic adult had used each strategy in the past 12 months to complete daily activities, and if it was used more in the past year: visual calendar/schedule, alarms as reminders, materials in a place they will see, using a routine, help with transitions, limiting distractions, and incorporating interests to stay engaged. DLS were examined using the </w:t>
      </w:r>
      <w:proofErr w:type="spellStart"/>
      <w:r w:rsidRPr="0891AA5B">
        <w:rPr>
          <w:rFonts w:eastAsia="Arial" w:cs="Arial"/>
          <w:color w:val="000000" w:themeColor="text1"/>
          <w:szCs w:val="20"/>
          <w:lang w:val="en-GB"/>
        </w:rPr>
        <w:t>Waisman</w:t>
      </w:r>
      <w:proofErr w:type="spellEnd"/>
      <w:r w:rsidRPr="0891AA5B">
        <w:rPr>
          <w:rFonts w:eastAsia="Arial" w:cs="Arial"/>
          <w:color w:val="000000" w:themeColor="text1"/>
          <w:szCs w:val="20"/>
          <w:lang w:val="en-GB"/>
        </w:rPr>
        <w:t xml:space="preserve"> Activities of Daily Living Scale (W-ADL; </w:t>
      </w:r>
      <w:proofErr w:type="spellStart"/>
      <w:r w:rsidRPr="0891AA5B">
        <w:rPr>
          <w:rFonts w:eastAsia="Arial" w:cs="Arial"/>
          <w:color w:val="000000" w:themeColor="text1"/>
          <w:szCs w:val="20"/>
          <w:lang w:val="en-GB"/>
        </w:rPr>
        <w:t>Maenner</w:t>
      </w:r>
      <w:proofErr w:type="spellEnd"/>
      <w:r w:rsidRPr="0891AA5B">
        <w:rPr>
          <w:rFonts w:eastAsia="Arial" w:cs="Arial"/>
          <w:color w:val="000000" w:themeColor="text1"/>
          <w:szCs w:val="20"/>
          <w:lang w:val="en-GB"/>
        </w:rPr>
        <w:t xml:space="preserve"> et al., 2013). Change in W-ADL was calculated using residuals from Wave 2 predicting Wave 3, with negative scores indicating declines. Changes in health status were rated using a single item comparing the autistic adult’s health to 12 months ago as better, worse, or the same.</w:t>
      </w:r>
    </w:p>
    <w:p w14:paraId="35960A2F" w14:textId="77777777" w:rsidR="00374248" w:rsidRDefault="00374248" w:rsidP="00374248">
      <w:pPr>
        <w:spacing w:after="200"/>
        <w:rPr>
          <w:rFonts w:eastAsia="Arial" w:cs="Arial"/>
          <w:color w:val="000000" w:themeColor="text1"/>
          <w:szCs w:val="20"/>
        </w:rPr>
      </w:pPr>
      <w:r w:rsidRPr="0891AA5B">
        <w:rPr>
          <w:rFonts w:eastAsia="Arial" w:cs="Arial"/>
          <w:b/>
          <w:bCs/>
          <w:color w:val="000000" w:themeColor="text1"/>
          <w:szCs w:val="20"/>
          <w:lang w:val="en-GB"/>
        </w:rPr>
        <w:t>Results</w:t>
      </w:r>
      <w:r w:rsidRPr="0891AA5B">
        <w:rPr>
          <w:rFonts w:eastAsia="Arial" w:cs="Arial"/>
          <w:color w:val="000000" w:themeColor="text1"/>
          <w:szCs w:val="20"/>
          <w:lang w:val="en-GB"/>
        </w:rPr>
        <w:t xml:space="preserve">: Wave 3 included 47 participants (Mean age=48, range=40-61). Caregivers reported that at least one cognitive compensation strategy was used by 76% (n=36) of the autistic adults. From most to least common, 45% used a visual calendar/schedule, 37% used a routine, 35% used help with transitions, 33% limited distractions, 33% incorporated interests, 27% used visual supports, 22% put materials in a place they will see, and 20% used alarms as reminders. Of the 36 adults using cognitive compensation strategies, 50% (n=18) reported needing to use at least one strategy more often in the past year (most commonly visual calendar/schedule and incorporation of interests). Change in DLS (W-ADL) ranged from 7.08 to -13.08 with 37% showing declines &gt;1 and 39% showing improvement &gt;1. There were no significant differences in W-ADL change between those who used any strategies (M= -0.92, SD=5.19) and those who did not (M= 0.28, SD=4.06), </w:t>
      </w:r>
      <w:proofErr w:type="gramStart"/>
      <w:r w:rsidRPr="0891AA5B">
        <w:rPr>
          <w:rFonts w:eastAsia="Arial" w:cs="Arial"/>
          <w:i/>
          <w:iCs/>
          <w:color w:val="000000" w:themeColor="text1"/>
          <w:szCs w:val="20"/>
          <w:lang w:val="en-GB"/>
        </w:rPr>
        <w:t>t</w:t>
      </w:r>
      <w:r w:rsidRPr="0891AA5B">
        <w:rPr>
          <w:rFonts w:eastAsia="Arial" w:cs="Arial"/>
          <w:color w:val="000000" w:themeColor="text1"/>
          <w:szCs w:val="20"/>
          <w:lang w:val="en-GB"/>
        </w:rPr>
        <w:t>(</w:t>
      </w:r>
      <w:proofErr w:type="gramEnd"/>
      <w:r w:rsidRPr="0891AA5B">
        <w:rPr>
          <w:rFonts w:eastAsia="Arial" w:cs="Arial"/>
          <w:color w:val="000000" w:themeColor="text1"/>
          <w:szCs w:val="20"/>
          <w:lang w:val="en-GB"/>
        </w:rPr>
        <w:t xml:space="preserve">45)=.80, </w:t>
      </w:r>
      <w:r w:rsidRPr="0891AA5B">
        <w:rPr>
          <w:rFonts w:eastAsia="Arial" w:cs="Arial"/>
          <w:i/>
          <w:iCs/>
          <w:color w:val="000000" w:themeColor="text1"/>
          <w:szCs w:val="20"/>
          <w:lang w:val="en-GB"/>
        </w:rPr>
        <w:t>p</w:t>
      </w:r>
      <w:r w:rsidRPr="0891AA5B">
        <w:rPr>
          <w:rFonts w:eastAsia="Arial" w:cs="Arial"/>
          <w:color w:val="000000" w:themeColor="text1"/>
          <w:szCs w:val="20"/>
          <w:lang w:val="en-GB"/>
        </w:rPr>
        <w:t xml:space="preserve">=.43, </w:t>
      </w:r>
      <w:r w:rsidRPr="0891AA5B">
        <w:rPr>
          <w:rFonts w:eastAsia="Arial" w:cs="Arial"/>
          <w:i/>
          <w:iCs/>
          <w:color w:val="000000" w:themeColor="text1"/>
          <w:szCs w:val="20"/>
          <w:lang w:val="en-GB"/>
        </w:rPr>
        <w:t>d</w:t>
      </w:r>
      <w:r w:rsidRPr="0891AA5B">
        <w:rPr>
          <w:rFonts w:eastAsia="Arial" w:cs="Arial"/>
          <w:color w:val="000000" w:themeColor="text1"/>
          <w:szCs w:val="20"/>
          <w:lang w:val="en-GB"/>
        </w:rPr>
        <w:t xml:space="preserve">=.28. However, there was a pattern that adults who used more cognitive compensation strategies had lower W-ADL scores at Wave 3 (M=18.94, SD=6.53) compared to adults who did not increase their use (M=23.89, SD=7.59), </w:t>
      </w:r>
      <w:r w:rsidRPr="0891AA5B">
        <w:rPr>
          <w:rFonts w:eastAsia="Arial" w:cs="Arial"/>
          <w:i/>
          <w:iCs/>
          <w:color w:val="000000" w:themeColor="text1"/>
          <w:szCs w:val="20"/>
          <w:lang w:val="en-GB"/>
        </w:rPr>
        <w:t>t</w:t>
      </w:r>
      <w:r w:rsidRPr="0891AA5B">
        <w:rPr>
          <w:rFonts w:eastAsia="Arial" w:cs="Arial"/>
          <w:color w:val="000000" w:themeColor="text1"/>
          <w:szCs w:val="20"/>
          <w:lang w:val="en-GB"/>
        </w:rPr>
        <w:t xml:space="preserve">(34)= -2.10, </w:t>
      </w:r>
      <w:r w:rsidRPr="0891AA5B">
        <w:rPr>
          <w:rFonts w:eastAsia="Arial" w:cs="Arial"/>
          <w:i/>
          <w:iCs/>
          <w:color w:val="000000" w:themeColor="text1"/>
          <w:szCs w:val="20"/>
          <w:lang w:val="en-GB"/>
        </w:rPr>
        <w:t>p</w:t>
      </w:r>
      <w:r w:rsidRPr="0891AA5B">
        <w:rPr>
          <w:rFonts w:eastAsia="Arial" w:cs="Arial"/>
          <w:color w:val="000000" w:themeColor="text1"/>
          <w:szCs w:val="20"/>
          <w:lang w:val="en-GB"/>
        </w:rPr>
        <w:t xml:space="preserve">=.04, </w:t>
      </w:r>
      <w:r w:rsidRPr="0891AA5B">
        <w:rPr>
          <w:rFonts w:eastAsia="Arial" w:cs="Arial"/>
          <w:i/>
          <w:iCs/>
          <w:color w:val="000000" w:themeColor="text1"/>
          <w:szCs w:val="20"/>
          <w:lang w:val="en-GB"/>
        </w:rPr>
        <w:t>d</w:t>
      </w:r>
      <w:r w:rsidRPr="0891AA5B">
        <w:rPr>
          <w:rFonts w:eastAsia="Arial" w:cs="Arial"/>
          <w:color w:val="000000" w:themeColor="text1"/>
          <w:szCs w:val="20"/>
          <w:lang w:val="en-GB"/>
        </w:rPr>
        <w:t xml:space="preserve">= -.70, and a similar, but not statistically significant, pattern at Wave 2 (More use M=19.44, SD=7.16) compared to those who did not increase their use (M=23.39, SD=7.48), </w:t>
      </w:r>
      <w:r w:rsidRPr="0891AA5B">
        <w:rPr>
          <w:rFonts w:eastAsia="Arial" w:cs="Arial"/>
          <w:i/>
          <w:iCs/>
          <w:color w:val="000000" w:themeColor="text1"/>
          <w:szCs w:val="20"/>
          <w:lang w:val="en-GB"/>
        </w:rPr>
        <w:t>t</w:t>
      </w:r>
      <w:r w:rsidRPr="0891AA5B">
        <w:rPr>
          <w:rFonts w:eastAsia="Arial" w:cs="Arial"/>
          <w:color w:val="000000" w:themeColor="text1"/>
          <w:szCs w:val="20"/>
          <w:lang w:val="en-GB"/>
        </w:rPr>
        <w:t xml:space="preserve">(34)= -1.62, </w:t>
      </w:r>
      <w:r w:rsidRPr="0891AA5B">
        <w:rPr>
          <w:rFonts w:eastAsia="Arial" w:cs="Arial"/>
          <w:i/>
          <w:iCs/>
          <w:color w:val="000000" w:themeColor="text1"/>
          <w:szCs w:val="20"/>
          <w:lang w:val="en-GB"/>
        </w:rPr>
        <w:t>p</w:t>
      </w:r>
      <w:r w:rsidRPr="0891AA5B">
        <w:rPr>
          <w:rFonts w:eastAsia="Arial" w:cs="Arial"/>
          <w:color w:val="000000" w:themeColor="text1"/>
          <w:szCs w:val="20"/>
          <w:lang w:val="en-GB"/>
        </w:rPr>
        <w:t xml:space="preserve">=.12, </w:t>
      </w:r>
      <w:r w:rsidRPr="0891AA5B">
        <w:rPr>
          <w:rFonts w:eastAsia="Arial" w:cs="Arial"/>
          <w:i/>
          <w:iCs/>
          <w:color w:val="000000" w:themeColor="text1"/>
          <w:szCs w:val="20"/>
          <w:lang w:val="en-GB"/>
        </w:rPr>
        <w:t>d</w:t>
      </w:r>
      <w:r w:rsidRPr="0891AA5B">
        <w:rPr>
          <w:rFonts w:eastAsia="Arial" w:cs="Arial"/>
          <w:color w:val="000000" w:themeColor="text1"/>
          <w:szCs w:val="20"/>
          <w:lang w:val="en-GB"/>
        </w:rPr>
        <w:t xml:space="preserve">= -.54. Comparison of cognitive compensation strategies with changes in overall health revealed that compared to those who did not increase their use, those who used more cognitive compensation strategies were over-represented in the declining health group (7/8), </w:t>
      </w:r>
      <w:r w:rsidRPr="0891AA5B">
        <w:rPr>
          <w:rFonts w:eastAsia="Arial" w:cs="Arial"/>
          <w:i/>
          <w:iCs/>
          <w:color w:val="000000" w:themeColor="text1"/>
          <w:szCs w:val="20"/>
          <w:lang w:val="en-GB"/>
        </w:rPr>
        <w:t>X</w:t>
      </w:r>
      <w:r w:rsidRPr="0891AA5B">
        <w:rPr>
          <w:rFonts w:eastAsia="Arial" w:cs="Arial"/>
          <w:i/>
          <w:iCs/>
          <w:color w:val="000000" w:themeColor="text1"/>
          <w:szCs w:val="20"/>
          <w:vertAlign w:val="superscript"/>
          <w:lang w:val="en-GB"/>
        </w:rPr>
        <w:t>2</w:t>
      </w:r>
      <w:r w:rsidRPr="0891AA5B">
        <w:rPr>
          <w:rFonts w:eastAsia="Arial" w:cs="Arial"/>
          <w:color w:val="000000" w:themeColor="text1"/>
          <w:szCs w:val="20"/>
          <w:lang w:val="en-GB"/>
        </w:rPr>
        <w:t>(</w:t>
      </w:r>
      <w:proofErr w:type="gramStart"/>
      <w:r w:rsidRPr="0891AA5B">
        <w:rPr>
          <w:rFonts w:eastAsia="Arial" w:cs="Arial"/>
          <w:color w:val="000000" w:themeColor="text1"/>
          <w:szCs w:val="20"/>
          <w:lang w:val="en-GB"/>
        </w:rPr>
        <w:t>2)=</w:t>
      </w:r>
      <w:proofErr w:type="gramEnd"/>
      <w:r w:rsidRPr="0891AA5B">
        <w:rPr>
          <w:rFonts w:eastAsia="Arial" w:cs="Arial"/>
          <w:color w:val="000000" w:themeColor="text1"/>
          <w:szCs w:val="20"/>
          <w:lang w:val="en-GB"/>
        </w:rPr>
        <w:t xml:space="preserve">5.83, Exact </w:t>
      </w:r>
      <w:r w:rsidRPr="0891AA5B">
        <w:rPr>
          <w:rFonts w:eastAsia="Arial" w:cs="Arial"/>
          <w:i/>
          <w:iCs/>
          <w:color w:val="000000" w:themeColor="text1"/>
          <w:szCs w:val="20"/>
          <w:lang w:val="en-GB"/>
        </w:rPr>
        <w:t>p</w:t>
      </w:r>
      <w:r w:rsidRPr="0891AA5B">
        <w:rPr>
          <w:rFonts w:eastAsia="Arial" w:cs="Arial"/>
          <w:color w:val="000000" w:themeColor="text1"/>
          <w:szCs w:val="20"/>
          <w:lang w:val="en-GB"/>
        </w:rPr>
        <w:t>=.05, Cramer’s V=.40, adjusted residual for declining health=2.4.</w:t>
      </w:r>
    </w:p>
    <w:p w14:paraId="5811803E" w14:textId="77777777" w:rsidR="00374248" w:rsidRDefault="00374248" w:rsidP="00374248">
      <w:pPr>
        <w:spacing w:after="200"/>
        <w:rPr>
          <w:rFonts w:eastAsia="Arial" w:cs="Arial"/>
          <w:color w:val="000000" w:themeColor="text1"/>
          <w:szCs w:val="20"/>
          <w:lang w:val="en-GB"/>
        </w:rPr>
      </w:pPr>
      <w:r w:rsidRPr="0891AA5B">
        <w:rPr>
          <w:rFonts w:eastAsia="Arial" w:cs="Arial"/>
          <w:b/>
          <w:bCs/>
          <w:color w:val="000000" w:themeColor="text1"/>
          <w:szCs w:val="20"/>
          <w:lang w:val="en-GB"/>
        </w:rPr>
        <w:t xml:space="preserve">Discussion: </w:t>
      </w:r>
      <w:r w:rsidRPr="0891AA5B">
        <w:rPr>
          <w:rFonts w:eastAsia="Arial" w:cs="Arial"/>
          <w:color w:val="000000" w:themeColor="text1"/>
          <w:szCs w:val="20"/>
          <w:lang w:val="en-GB"/>
        </w:rPr>
        <w:t xml:space="preserve">Among a group of middle-aged autistic adults diagnosed in childhood enriched for high support needs, caregivers reported that most are using at least one cognitive compensation strategy to complete daily activities. Almost half of the autistic adults were using a visual calendar/schedule, while over a third used a routine, help with transitions, limited distractions, or incorporating their interests to support them in their daily activities. The use of </w:t>
      </w:r>
      <w:r w:rsidRPr="0891AA5B">
        <w:rPr>
          <w:rFonts w:eastAsia="Arial" w:cs="Arial"/>
          <w:color w:val="000000" w:themeColor="text1"/>
          <w:szCs w:val="20"/>
          <w:lang w:val="en-GB"/>
        </w:rPr>
        <w:lastRenderedPageBreak/>
        <w:t>cognitive compensation strategies was not associated with changes in the DLS (W-ADL) over the past 8.5 years. However, adults who had increased their use of cognitive compensation strategies had lower W-ADL scores and declining health compared to a year ago. These findings indicate that cognitive compensation strategies may be an especially useful tool for autistic adults with lower daily living skills or with worsening health.</w:t>
      </w:r>
    </w:p>
    <w:p w14:paraId="3271BC31" w14:textId="77777777" w:rsidR="00374248" w:rsidRDefault="00374248" w:rsidP="7F0107B6">
      <w:pPr>
        <w:spacing w:after="0" w:line="276" w:lineRule="auto"/>
        <w:rPr>
          <w:rFonts w:eastAsia="Arial" w:cs="Arial"/>
          <w:b/>
          <w:color w:val="000000" w:themeColor="text1"/>
          <w:lang w:val="en-GB"/>
        </w:rPr>
      </w:pPr>
      <w:r w:rsidRPr="7F0107B6">
        <w:rPr>
          <w:rFonts w:eastAsia="Arial" w:cs="Arial"/>
          <w:b/>
          <w:color w:val="000000" w:themeColor="text1"/>
          <w:lang w:val="en-GB"/>
        </w:rPr>
        <w:t xml:space="preserve">References: </w:t>
      </w:r>
    </w:p>
    <w:p w14:paraId="4541CC20" w14:textId="6D98CBDB" w:rsidR="00374248" w:rsidRDefault="00374248" w:rsidP="00C35B78">
      <w:pPr>
        <w:spacing w:after="0" w:line="240" w:lineRule="auto"/>
        <w:ind w:left="720" w:hanging="720"/>
        <w:rPr>
          <w:rFonts w:eastAsia="Arial" w:cs="Arial"/>
          <w:color w:val="000000" w:themeColor="text1"/>
        </w:rPr>
      </w:pPr>
      <w:proofErr w:type="spellStart"/>
      <w:r w:rsidRPr="7F0107B6">
        <w:rPr>
          <w:rFonts w:eastAsia="Arial" w:cs="Arial"/>
          <w:color w:val="000000" w:themeColor="text1"/>
        </w:rPr>
        <w:t>Maenner</w:t>
      </w:r>
      <w:proofErr w:type="spellEnd"/>
      <w:r w:rsidRPr="7F0107B6">
        <w:rPr>
          <w:rFonts w:eastAsia="Arial" w:cs="Arial"/>
          <w:color w:val="000000" w:themeColor="text1"/>
        </w:rPr>
        <w:t xml:space="preserve">, M. J., Smith, L. E., Hong, J., </w:t>
      </w:r>
      <w:proofErr w:type="spellStart"/>
      <w:r w:rsidRPr="7F0107B6">
        <w:rPr>
          <w:rFonts w:eastAsia="Arial" w:cs="Arial"/>
          <w:color w:val="000000" w:themeColor="text1"/>
        </w:rPr>
        <w:t>Makuch</w:t>
      </w:r>
      <w:proofErr w:type="spellEnd"/>
      <w:r w:rsidRPr="7F0107B6">
        <w:rPr>
          <w:rFonts w:eastAsia="Arial" w:cs="Arial"/>
          <w:color w:val="000000" w:themeColor="text1"/>
        </w:rPr>
        <w:t xml:space="preserve">, R., Greenberg, J. S., &amp; </w:t>
      </w:r>
      <w:proofErr w:type="spellStart"/>
      <w:r w:rsidRPr="7F0107B6">
        <w:rPr>
          <w:rFonts w:eastAsia="Arial" w:cs="Arial"/>
          <w:color w:val="000000" w:themeColor="text1"/>
        </w:rPr>
        <w:t>Mailick</w:t>
      </w:r>
      <w:proofErr w:type="spellEnd"/>
      <w:r w:rsidRPr="7F0107B6">
        <w:rPr>
          <w:rFonts w:eastAsia="Arial" w:cs="Arial"/>
          <w:color w:val="000000" w:themeColor="text1"/>
        </w:rPr>
        <w:t xml:space="preserve">, M. R. (2013). Evaluation of an activities of daily living scale for adolescents and adults with developmental disabilities. </w:t>
      </w:r>
      <w:r w:rsidRPr="7F0107B6">
        <w:rPr>
          <w:rFonts w:eastAsia="Arial" w:cs="Arial"/>
          <w:i/>
          <w:color w:val="000000" w:themeColor="text1"/>
        </w:rPr>
        <w:t>Disability and Health Journal</w:t>
      </w:r>
      <w:r w:rsidRPr="7F0107B6">
        <w:rPr>
          <w:rFonts w:eastAsia="Arial" w:cs="Arial"/>
          <w:color w:val="000000" w:themeColor="text1"/>
        </w:rPr>
        <w:t xml:space="preserve">, </w:t>
      </w:r>
      <w:r w:rsidRPr="7F0107B6">
        <w:rPr>
          <w:rFonts w:eastAsia="Arial" w:cs="Arial"/>
          <w:i/>
          <w:color w:val="000000" w:themeColor="text1"/>
        </w:rPr>
        <w:t>6</w:t>
      </w:r>
      <w:r w:rsidRPr="7F0107B6">
        <w:rPr>
          <w:rFonts w:eastAsia="Arial" w:cs="Arial"/>
          <w:color w:val="000000" w:themeColor="text1"/>
        </w:rPr>
        <w:t>(1), 8-17.</w:t>
      </w:r>
    </w:p>
    <w:p w14:paraId="362870F7" w14:textId="590F11CE" w:rsidR="00374248" w:rsidRDefault="00374248" w:rsidP="00C35B78">
      <w:pPr>
        <w:spacing w:after="0" w:line="240" w:lineRule="auto"/>
        <w:ind w:left="720" w:hanging="720"/>
        <w:rPr>
          <w:rFonts w:eastAsia="Arial" w:cs="Arial"/>
          <w:color w:val="000000" w:themeColor="text1"/>
        </w:rPr>
      </w:pPr>
      <w:r w:rsidRPr="7F0107B6">
        <w:rPr>
          <w:rFonts w:eastAsia="Arial" w:cs="Arial"/>
          <w:color w:val="000000" w:themeColor="text1"/>
        </w:rPr>
        <w:t xml:space="preserve">Tomaszewski Farias, S., </w:t>
      </w:r>
      <w:proofErr w:type="spellStart"/>
      <w:r w:rsidRPr="7F0107B6">
        <w:rPr>
          <w:rFonts w:eastAsia="Arial" w:cs="Arial"/>
          <w:color w:val="000000" w:themeColor="text1"/>
        </w:rPr>
        <w:t>Schmitter</w:t>
      </w:r>
      <w:proofErr w:type="spellEnd"/>
      <w:r w:rsidRPr="7F0107B6">
        <w:rPr>
          <w:rFonts w:eastAsia="Arial" w:cs="Arial"/>
          <w:color w:val="000000" w:themeColor="text1"/>
        </w:rPr>
        <w:t xml:space="preserve">-Edgecombe, M., Weakley, A., Harvey, D., Denny, K. G., Barba, C., ... &amp; Willis, S. (2018). Compensation strategies in older adults: association with cognition and everyday function. </w:t>
      </w:r>
      <w:r w:rsidRPr="7F0107B6">
        <w:rPr>
          <w:rFonts w:eastAsia="Arial" w:cs="Arial"/>
          <w:i/>
          <w:color w:val="000000" w:themeColor="text1"/>
        </w:rPr>
        <w:t>American Journal of Alzheimer's Disease &amp; Other Dementias</w:t>
      </w:r>
      <w:r w:rsidRPr="7F0107B6">
        <w:rPr>
          <w:rFonts w:eastAsia="Arial" w:cs="Arial"/>
          <w:color w:val="000000" w:themeColor="text1"/>
        </w:rPr>
        <w:t xml:space="preserve">, </w:t>
      </w:r>
      <w:r w:rsidRPr="7F0107B6">
        <w:rPr>
          <w:rFonts w:eastAsia="Arial" w:cs="Arial"/>
          <w:i/>
          <w:color w:val="000000" w:themeColor="text1"/>
        </w:rPr>
        <w:t>33</w:t>
      </w:r>
      <w:r w:rsidRPr="7F0107B6">
        <w:rPr>
          <w:rFonts w:eastAsia="Arial" w:cs="Arial"/>
          <w:color w:val="000000" w:themeColor="text1"/>
        </w:rPr>
        <w:t>(3), 184-191.</w:t>
      </w:r>
    </w:p>
    <w:p w14:paraId="4882875A" w14:textId="3F75324D" w:rsidR="00374248" w:rsidRDefault="00374248" w:rsidP="00C35B78">
      <w:pPr>
        <w:spacing w:after="0" w:line="240" w:lineRule="auto"/>
        <w:ind w:left="720" w:hanging="720"/>
        <w:rPr>
          <w:rFonts w:eastAsia="Arial" w:cs="Arial"/>
          <w:color w:val="000000" w:themeColor="text1"/>
        </w:rPr>
      </w:pPr>
      <w:r w:rsidRPr="7F0107B6">
        <w:rPr>
          <w:rFonts w:eastAsia="Arial" w:cs="Arial"/>
          <w:color w:val="000000" w:themeColor="text1"/>
        </w:rPr>
        <w:t xml:space="preserve">Wong, C., Odom, S. L., Hume, K. A., Cox, A. W., Fettig, A., </w:t>
      </w:r>
      <w:proofErr w:type="spellStart"/>
      <w:r w:rsidRPr="7F0107B6">
        <w:rPr>
          <w:rFonts w:eastAsia="Arial" w:cs="Arial"/>
          <w:color w:val="000000" w:themeColor="text1"/>
        </w:rPr>
        <w:t>Kucharczyk</w:t>
      </w:r>
      <w:proofErr w:type="spellEnd"/>
      <w:r w:rsidRPr="7F0107B6">
        <w:rPr>
          <w:rFonts w:eastAsia="Arial" w:cs="Arial"/>
          <w:color w:val="000000" w:themeColor="text1"/>
        </w:rPr>
        <w:t xml:space="preserve">, S., ... &amp; Schultz, T. R. (2015). Evidence-based practices for children, youth, and young adults with autism spectrum disorder: A comprehensive review. </w:t>
      </w:r>
      <w:r w:rsidRPr="7F0107B6">
        <w:rPr>
          <w:rFonts w:eastAsia="Arial" w:cs="Arial"/>
          <w:i/>
          <w:color w:val="000000" w:themeColor="text1"/>
        </w:rPr>
        <w:t xml:space="preserve">Journal of </w:t>
      </w:r>
      <w:r w:rsidR="634FC0D4" w:rsidRPr="1242BBE6">
        <w:rPr>
          <w:rFonts w:eastAsia="Arial" w:cs="Arial"/>
          <w:i/>
          <w:iCs/>
          <w:color w:val="000000" w:themeColor="text1"/>
        </w:rPr>
        <w:t>A</w:t>
      </w:r>
      <w:r w:rsidRPr="1242BBE6">
        <w:rPr>
          <w:rFonts w:eastAsia="Arial" w:cs="Arial"/>
          <w:i/>
          <w:iCs/>
          <w:color w:val="000000" w:themeColor="text1"/>
        </w:rPr>
        <w:t>utism</w:t>
      </w:r>
      <w:r w:rsidRPr="7F0107B6">
        <w:rPr>
          <w:rFonts w:eastAsia="Arial" w:cs="Arial"/>
          <w:i/>
          <w:color w:val="000000" w:themeColor="text1"/>
        </w:rPr>
        <w:t xml:space="preserve"> and </w:t>
      </w:r>
      <w:r w:rsidR="46993E61" w:rsidRPr="1242BBE6">
        <w:rPr>
          <w:rFonts w:eastAsia="Arial" w:cs="Arial"/>
          <w:i/>
          <w:iCs/>
          <w:color w:val="000000" w:themeColor="text1"/>
        </w:rPr>
        <w:t>D</w:t>
      </w:r>
      <w:r w:rsidRPr="1242BBE6">
        <w:rPr>
          <w:rFonts w:eastAsia="Arial" w:cs="Arial"/>
          <w:i/>
          <w:iCs/>
          <w:color w:val="000000" w:themeColor="text1"/>
        </w:rPr>
        <w:t>evelopmental</w:t>
      </w:r>
      <w:r w:rsidRPr="7F0107B6">
        <w:rPr>
          <w:rFonts w:eastAsia="Arial" w:cs="Arial"/>
          <w:i/>
          <w:color w:val="000000" w:themeColor="text1"/>
        </w:rPr>
        <w:t xml:space="preserve"> </w:t>
      </w:r>
      <w:r w:rsidR="7378E726" w:rsidRPr="7622CA91">
        <w:rPr>
          <w:rFonts w:eastAsia="Arial" w:cs="Arial"/>
          <w:i/>
          <w:iCs/>
          <w:color w:val="000000" w:themeColor="text1"/>
        </w:rPr>
        <w:t>D</w:t>
      </w:r>
      <w:r w:rsidRPr="7622CA91">
        <w:rPr>
          <w:rFonts w:eastAsia="Arial" w:cs="Arial"/>
          <w:i/>
          <w:iCs/>
          <w:color w:val="000000" w:themeColor="text1"/>
        </w:rPr>
        <w:t>isorders</w:t>
      </w:r>
      <w:r w:rsidRPr="7F0107B6">
        <w:rPr>
          <w:rFonts w:eastAsia="Arial" w:cs="Arial"/>
          <w:color w:val="000000" w:themeColor="text1"/>
        </w:rPr>
        <w:t xml:space="preserve">, </w:t>
      </w:r>
      <w:r w:rsidRPr="7F0107B6">
        <w:rPr>
          <w:rFonts w:eastAsia="Arial" w:cs="Arial"/>
          <w:i/>
          <w:color w:val="000000" w:themeColor="text1"/>
        </w:rPr>
        <w:t>45</w:t>
      </w:r>
      <w:r w:rsidRPr="7F0107B6">
        <w:rPr>
          <w:rFonts w:eastAsia="Arial" w:cs="Arial"/>
          <w:color w:val="000000" w:themeColor="text1"/>
        </w:rPr>
        <w:t>, 1951-1966.</w:t>
      </w:r>
    </w:p>
    <w:p w14:paraId="528F5672" w14:textId="5F0DEBF5" w:rsidR="00374248" w:rsidRDefault="00374248" w:rsidP="00374248">
      <w:pPr>
        <w:spacing w:after="0"/>
        <w:rPr>
          <w:rFonts w:eastAsia="Arial" w:cs="Arial"/>
          <w:b/>
          <w:color w:val="000000" w:themeColor="text1"/>
        </w:rPr>
      </w:pPr>
      <w:r w:rsidRPr="55552EB9">
        <w:rPr>
          <w:rFonts w:eastAsia="Arial" w:cs="Arial"/>
          <w:b/>
          <w:color w:val="000000" w:themeColor="text1"/>
        </w:rPr>
        <w:t xml:space="preserve"> </w:t>
      </w:r>
    </w:p>
    <w:p w14:paraId="01768302" w14:textId="77777777" w:rsidR="00374248" w:rsidRPr="00374248" w:rsidRDefault="00374248" w:rsidP="00374248"/>
    <w:sectPr w:rsidR="00374248" w:rsidRPr="00374248" w:rsidSect="00F01EB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2ADC7" w14:textId="77777777" w:rsidR="00335716" w:rsidRDefault="00335716" w:rsidP="00F01EB9">
      <w:pPr>
        <w:spacing w:after="0" w:line="240" w:lineRule="auto"/>
      </w:pPr>
      <w:r>
        <w:separator/>
      </w:r>
    </w:p>
  </w:endnote>
  <w:endnote w:type="continuationSeparator" w:id="0">
    <w:p w14:paraId="766E0404" w14:textId="77777777" w:rsidR="00335716" w:rsidRDefault="00335716" w:rsidP="00F01EB9">
      <w:pPr>
        <w:spacing w:after="0" w:line="240" w:lineRule="auto"/>
      </w:pPr>
      <w:r>
        <w:continuationSeparator/>
      </w:r>
    </w:p>
  </w:endnote>
  <w:endnote w:type="continuationNotice" w:id="1">
    <w:p w14:paraId="255E14FD" w14:textId="77777777" w:rsidR="00335716" w:rsidRDefault="00335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Kefa">
    <w:panose1 w:val="02000506000000020004"/>
    <w:charset w:val="00"/>
    <w:family w:val="auto"/>
    <w:pitch w:val="variable"/>
    <w:sig w:usb0="800000AF" w:usb1="4000204B" w:usb2="000008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29370" w14:textId="77777777" w:rsidR="00335716" w:rsidRDefault="00335716" w:rsidP="00F01EB9">
      <w:pPr>
        <w:spacing w:after="0" w:line="240" w:lineRule="auto"/>
      </w:pPr>
      <w:r>
        <w:separator/>
      </w:r>
    </w:p>
  </w:footnote>
  <w:footnote w:type="continuationSeparator" w:id="0">
    <w:p w14:paraId="79FEABE4" w14:textId="77777777" w:rsidR="00335716" w:rsidRDefault="00335716" w:rsidP="00F01EB9">
      <w:pPr>
        <w:spacing w:after="0" w:line="240" w:lineRule="auto"/>
      </w:pPr>
      <w:r>
        <w:continuationSeparator/>
      </w:r>
    </w:p>
  </w:footnote>
  <w:footnote w:type="continuationNotice" w:id="1">
    <w:p w14:paraId="5EA8FC5C" w14:textId="77777777" w:rsidR="00335716" w:rsidRDefault="00335716">
      <w:pPr>
        <w:spacing w:after="0" w:line="240" w:lineRule="auto"/>
      </w:pPr>
    </w:p>
  </w:footnote>
  <w:footnote w:id="2">
    <w:p w14:paraId="38F24C40" w14:textId="26F082F4" w:rsidR="00547B66" w:rsidRDefault="00547B66">
      <w:pPr>
        <w:pStyle w:val="FootnoteText"/>
      </w:pPr>
      <w:r>
        <w:rPr>
          <w:rStyle w:val="FootnoteReference"/>
        </w:rPr>
        <w:footnoteRef/>
      </w:r>
      <w:r>
        <w:t xml:space="preserve"> George Mason University</w:t>
      </w:r>
    </w:p>
  </w:footnote>
  <w:footnote w:id="3">
    <w:p w14:paraId="422FB570" w14:textId="18B36FC3" w:rsidR="00547B66" w:rsidRDefault="00547B66">
      <w:pPr>
        <w:pStyle w:val="FootnoteText"/>
      </w:pPr>
      <w:r>
        <w:rPr>
          <w:rStyle w:val="FootnoteReference"/>
        </w:rPr>
        <w:footnoteRef/>
      </w:r>
      <w:r>
        <w:t xml:space="preserve"> Drexel University</w:t>
      </w:r>
    </w:p>
  </w:footnote>
  <w:footnote w:id="4">
    <w:p w14:paraId="51E4CEBE" w14:textId="1340A66B" w:rsidR="00547B66" w:rsidRDefault="00547B66">
      <w:pPr>
        <w:pStyle w:val="FootnoteText"/>
      </w:pPr>
      <w:r>
        <w:rPr>
          <w:rStyle w:val="FootnoteReference"/>
        </w:rPr>
        <w:footnoteRef/>
      </w:r>
      <w:r>
        <w:t xml:space="preserve"> The George Washington University</w:t>
      </w:r>
    </w:p>
  </w:footnote>
  <w:footnote w:id="5">
    <w:p w14:paraId="34641CD9" w14:textId="1A03698F" w:rsidR="00547B66" w:rsidRDefault="00547B66">
      <w:pPr>
        <w:pStyle w:val="FootnoteText"/>
      </w:pPr>
      <w:r>
        <w:rPr>
          <w:rStyle w:val="FootnoteReference"/>
        </w:rPr>
        <w:footnoteRef/>
      </w:r>
      <w:r>
        <w:t xml:space="preserve"> </w:t>
      </w:r>
      <w:r w:rsidR="002B5B27">
        <w:t>University of Nebraska, Lincoln</w:t>
      </w:r>
    </w:p>
  </w:footnote>
  <w:footnote w:id="6">
    <w:p w14:paraId="47E59E14" w14:textId="58090C36" w:rsidR="00865BD5" w:rsidRDefault="00865BD5">
      <w:pPr>
        <w:pStyle w:val="FootnoteText"/>
      </w:pPr>
      <w:r>
        <w:rPr>
          <w:rStyle w:val="FootnoteReference"/>
        </w:rPr>
        <w:footnoteRef/>
      </w:r>
      <w:r>
        <w:t xml:space="preserve"> </w:t>
      </w:r>
      <w:r w:rsidR="000E2059">
        <w:t>University of Wisconsin</w:t>
      </w:r>
      <w:r w:rsidR="000B1BA1">
        <w:t xml:space="preserve"> – </w:t>
      </w:r>
      <w:r w:rsidR="000E2059">
        <w:t>Madison</w:t>
      </w:r>
    </w:p>
  </w:footnote>
  <w:footnote w:id="7">
    <w:p w14:paraId="7B8F36A9" w14:textId="47BB0511" w:rsidR="0077398B" w:rsidRDefault="0077398B">
      <w:pPr>
        <w:pStyle w:val="FootnoteText"/>
      </w:pPr>
      <w:r>
        <w:rPr>
          <w:rStyle w:val="FootnoteReference"/>
        </w:rPr>
        <w:footnoteRef/>
      </w:r>
      <w:r>
        <w:t xml:space="preserve"> </w:t>
      </w:r>
      <w:r w:rsidR="00857418">
        <w:t>University of Pittsburgh</w:t>
      </w:r>
    </w:p>
  </w:footnote>
  <w:footnote w:id="8">
    <w:p w14:paraId="3CED3213" w14:textId="300D64CB" w:rsidR="00FB44F3" w:rsidRDefault="00FB44F3">
      <w:pPr>
        <w:pStyle w:val="FootnoteText"/>
      </w:pPr>
      <w:r>
        <w:rPr>
          <w:rStyle w:val="FootnoteReference"/>
        </w:rPr>
        <w:footnoteRef/>
      </w:r>
      <w:r>
        <w:t xml:space="preserve"> University of North Carolina</w:t>
      </w:r>
      <w:r w:rsidR="0096497C">
        <w:t xml:space="preserve"> at Chapel Hill</w:t>
      </w:r>
    </w:p>
  </w:footnote>
  <w:footnote w:id="9">
    <w:p w14:paraId="74898C3E" w14:textId="5BF8A06A" w:rsidR="00436783" w:rsidRDefault="00436783">
      <w:pPr>
        <w:pStyle w:val="FootnoteText"/>
      </w:pPr>
      <w:r>
        <w:rPr>
          <w:rStyle w:val="FootnoteReference"/>
        </w:rPr>
        <w:footnoteRef/>
      </w:r>
      <w:r>
        <w:t xml:space="preserve"> </w:t>
      </w:r>
      <w:r w:rsidR="0096497C">
        <w:t xml:space="preserve">University of Colorado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8240"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xmlns:arto="http://schemas.microsoft.com/office/word/2006/arto" xmlns:a="http://schemas.openxmlformats.org/drawingml/2006/main">
          <w:pict w14:anchorId="43F9D9D3">
            <v:rect id="Rectangle 197" style="position:absolute;margin-left:-.75pt;margin-top:-14.8pt;width:422.9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444c6a" strokeweight="2pt" w14:anchorId="19AB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">
              <v:textbox>
                <w:txbxContent>
                  <w:sdt>
                    <w:sdtPr>
                      <w:id w:val="529043272"/>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rsidRPr="00163A52" w:rsidR="00F01EB9" w:rsidP="00F01EB9" w:rsidRDefault="00EA77BA" w14:paraId="01118557" w14:textId="089F5A05">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2BE1" w14:textId="77777777" w:rsidR="00EA77BA" w:rsidRDefault="00EA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034A6"/>
    <w:rsid w:val="00015936"/>
    <w:rsid w:val="00016EAB"/>
    <w:rsid w:val="00017F01"/>
    <w:rsid w:val="000265E5"/>
    <w:rsid w:val="000268A5"/>
    <w:rsid w:val="000351CF"/>
    <w:rsid w:val="0003620E"/>
    <w:rsid w:val="00045082"/>
    <w:rsid w:val="000676F4"/>
    <w:rsid w:val="00072C8B"/>
    <w:rsid w:val="00083EBD"/>
    <w:rsid w:val="00093DD9"/>
    <w:rsid w:val="00094ADB"/>
    <w:rsid w:val="00097195"/>
    <w:rsid w:val="00097B7D"/>
    <w:rsid w:val="0009D56A"/>
    <w:rsid w:val="000A385D"/>
    <w:rsid w:val="000B155C"/>
    <w:rsid w:val="000B1BA1"/>
    <w:rsid w:val="000B26C3"/>
    <w:rsid w:val="000B2E73"/>
    <w:rsid w:val="000B56B9"/>
    <w:rsid w:val="000C4666"/>
    <w:rsid w:val="000C470A"/>
    <w:rsid w:val="000C6F89"/>
    <w:rsid w:val="000C7C1D"/>
    <w:rsid w:val="000D0BFE"/>
    <w:rsid w:val="000D1506"/>
    <w:rsid w:val="000E2059"/>
    <w:rsid w:val="000F3768"/>
    <w:rsid w:val="00115D14"/>
    <w:rsid w:val="00115D78"/>
    <w:rsid w:val="00127676"/>
    <w:rsid w:val="00131F77"/>
    <w:rsid w:val="001459B4"/>
    <w:rsid w:val="00154908"/>
    <w:rsid w:val="001621FB"/>
    <w:rsid w:val="001635EA"/>
    <w:rsid w:val="00163A52"/>
    <w:rsid w:val="00175FAF"/>
    <w:rsid w:val="001812B7"/>
    <w:rsid w:val="00181D5C"/>
    <w:rsid w:val="001825F8"/>
    <w:rsid w:val="001871FB"/>
    <w:rsid w:val="001953D1"/>
    <w:rsid w:val="001A1731"/>
    <w:rsid w:val="001A59B2"/>
    <w:rsid w:val="001B3C30"/>
    <w:rsid w:val="001B78B6"/>
    <w:rsid w:val="001C51AA"/>
    <w:rsid w:val="001C6D5E"/>
    <w:rsid w:val="001C6F6A"/>
    <w:rsid w:val="001D09E3"/>
    <w:rsid w:val="001D5827"/>
    <w:rsid w:val="001E6997"/>
    <w:rsid w:val="001E7287"/>
    <w:rsid w:val="001F4C84"/>
    <w:rsid w:val="00204C61"/>
    <w:rsid w:val="00222210"/>
    <w:rsid w:val="00231086"/>
    <w:rsid w:val="00232A79"/>
    <w:rsid w:val="00234CCD"/>
    <w:rsid w:val="00234E3D"/>
    <w:rsid w:val="00242422"/>
    <w:rsid w:val="00242DBD"/>
    <w:rsid w:val="002435CB"/>
    <w:rsid w:val="00244190"/>
    <w:rsid w:val="00260B5F"/>
    <w:rsid w:val="002636DE"/>
    <w:rsid w:val="002639D2"/>
    <w:rsid w:val="00264154"/>
    <w:rsid w:val="00271378"/>
    <w:rsid w:val="002755F9"/>
    <w:rsid w:val="002829FD"/>
    <w:rsid w:val="00296A54"/>
    <w:rsid w:val="002A0A75"/>
    <w:rsid w:val="002A26EA"/>
    <w:rsid w:val="002A64F0"/>
    <w:rsid w:val="002A7458"/>
    <w:rsid w:val="002B088E"/>
    <w:rsid w:val="002B1A4A"/>
    <w:rsid w:val="002B1EA6"/>
    <w:rsid w:val="002B5B27"/>
    <w:rsid w:val="002C5941"/>
    <w:rsid w:val="002D1222"/>
    <w:rsid w:val="002D35B8"/>
    <w:rsid w:val="002D603C"/>
    <w:rsid w:val="002E15BF"/>
    <w:rsid w:val="002F4F13"/>
    <w:rsid w:val="002F5089"/>
    <w:rsid w:val="002F50D1"/>
    <w:rsid w:val="0030291D"/>
    <w:rsid w:val="003048DC"/>
    <w:rsid w:val="00304F87"/>
    <w:rsid w:val="00305564"/>
    <w:rsid w:val="00305689"/>
    <w:rsid w:val="003129E3"/>
    <w:rsid w:val="00313472"/>
    <w:rsid w:val="00317621"/>
    <w:rsid w:val="00321DA9"/>
    <w:rsid w:val="003266F8"/>
    <w:rsid w:val="00335716"/>
    <w:rsid w:val="003437E0"/>
    <w:rsid w:val="003467A4"/>
    <w:rsid w:val="00346F4A"/>
    <w:rsid w:val="00347EC8"/>
    <w:rsid w:val="00355B53"/>
    <w:rsid w:val="003615E1"/>
    <w:rsid w:val="00372B31"/>
    <w:rsid w:val="00372EE6"/>
    <w:rsid w:val="00373627"/>
    <w:rsid w:val="00374248"/>
    <w:rsid w:val="00376282"/>
    <w:rsid w:val="003971D2"/>
    <w:rsid w:val="003A1BF4"/>
    <w:rsid w:val="003A4420"/>
    <w:rsid w:val="003A692B"/>
    <w:rsid w:val="003B0304"/>
    <w:rsid w:val="003B5315"/>
    <w:rsid w:val="003C027F"/>
    <w:rsid w:val="004215CD"/>
    <w:rsid w:val="00430725"/>
    <w:rsid w:val="00436783"/>
    <w:rsid w:val="00436ED3"/>
    <w:rsid w:val="00442D7F"/>
    <w:rsid w:val="004432BE"/>
    <w:rsid w:val="0045235B"/>
    <w:rsid w:val="00454C49"/>
    <w:rsid w:val="00457669"/>
    <w:rsid w:val="00471DEE"/>
    <w:rsid w:val="00476530"/>
    <w:rsid w:val="0048381E"/>
    <w:rsid w:val="004875A7"/>
    <w:rsid w:val="00490383"/>
    <w:rsid w:val="004931FF"/>
    <w:rsid w:val="00495AD2"/>
    <w:rsid w:val="00497EF0"/>
    <w:rsid w:val="004B328F"/>
    <w:rsid w:val="004B7F5E"/>
    <w:rsid w:val="004C1B8F"/>
    <w:rsid w:val="004D2FD1"/>
    <w:rsid w:val="004D3136"/>
    <w:rsid w:val="004D422A"/>
    <w:rsid w:val="004D5AC4"/>
    <w:rsid w:val="004E57EB"/>
    <w:rsid w:val="004F122B"/>
    <w:rsid w:val="004F7007"/>
    <w:rsid w:val="005154D2"/>
    <w:rsid w:val="00517AEE"/>
    <w:rsid w:val="00523B67"/>
    <w:rsid w:val="00523FFA"/>
    <w:rsid w:val="005306B5"/>
    <w:rsid w:val="00531C45"/>
    <w:rsid w:val="0053221B"/>
    <w:rsid w:val="00535C17"/>
    <w:rsid w:val="00541DE3"/>
    <w:rsid w:val="00546013"/>
    <w:rsid w:val="0054666F"/>
    <w:rsid w:val="00547B66"/>
    <w:rsid w:val="0055119B"/>
    <w:rsid w:val="00560ABE"/>
    <w:rsid w:val="005724C3"/>
    <w:rsid w:val="005749E7"/>
    <w:rsid w:val="005901DF"/>
    <w:rsid w:val="00594CD3"/>
    <w:rsid w:val="005A0001"/>
    <w:rsid w:val="005A5ADD"/>
    <w:rsid w:val="005A5E29"/>
    <w:rsid w:val="005B6414"/>
    <w:rsid w:val="005B799A"/>
    <w:rsid w:val="005D17ED"/>
    <w:rsid w:val="005D3B63"/>
    <w:rsid w:val="005D7254"/>
    <w:rsid w:val="005E35D9"/>
    <w:rsid w:val="005E53FA"/>
    <w:rsid w:val="005F0C4F"/>
    <w:rsid w:val="006043A1"/>
    <w:rsid w:val="0061510B"/>
    <w:rsid w:val="006160F4"/>
    <w:rsid w:val="006236A7"/>
    <w:rsid w:val="00632FF0"/>
    <w:rsid w:val="00636D09"/>
    <w:rsid w:val="0064135E"/>
    <w:rsid w:val="0064369F"/>
    <w:rsid w:val="00656820"/>
    <w:rsid w:val="00660BBE"/>
    <w:rsid w:val="00661F2B"/>
    <w:rsid w:val="00664100"/>
    <w:rsid w:val="006678D5"/>
    <w:rsid w:val="00672378"/>
    <w:rsid w:val="006728EB"/>
    <w:rsid w:val="006766B3"/>
    <w:rsid w:val="00690366"/>
    <w:rsid w:val="006A46F0"/>
    <w:rsid w:val="006B348A"/>
    <w:rsid w:val="006C00B1"/>
    <w:rsid w:val="006C1C1E"/>
    <w:rsid w:val="006C1E3F"/>
    <w:rsid w:val="006C3CC5"/>
    <w:rsid w:val="006C3E9A"/>
    <w:rsid w:val="006C42AE"/>
    <w:rsid w:val="006E4A1A"/>
    <w:rsid w:val="006F1008"/>
    <w:rsid w:val="006F4706"/>
    <w:rsid w:val="00700950"/>
    <w:rsid w:val="007052EF"/>
    <w:rsid w:val="00724D65"/>
    <w:rsid w:val="00734143"/>
    <w:rsid w:val="0073F537"/>
    <w:rsid w:val="00743CB5"/>
    <w:rsid w:val="00744F47"/>
    <w:rsid w:val="00770170"/>
    <w:rsid w:val="00770301"/>
    <w:rsid w:val="0077398B"/>
    <w:rsid w:val="00773BED"/>
    <w:rsid w:val="00777582"/>
    <w:rsid w:val="007B1830"/>
    <w:rsid w:val="007B334D"/>
    <w:rsid w:val="007B5928"/>
    <w:rsid w:val="007B6AE3"/>
    <w:rsid w:val="007E0493"/>
    <w:rsid w:val="007E4B15"/>
    <w:rsid w:val="007E5F41"/>
    <w:rsid w:val="008032D0"/>
    <w:rsid w:val="00804A3D"/>
    <w:rsid w:val="00806030"/>
    <w:rsid w:val="008103AC"/>
    <w:rsid w:val="00810717"/>
    <w:rsid w:val="008120D3"/>
    <w:rsid w:val="008174D3"/>
    <w:rsid w:val="00825EC4"/>
    <w:rsid w:val="008269AA"/>
    <w:rsid w:val="00831C96"/>
    <w:rsid w:val="00837F9E"/>
    <w:rsid w:val="00852B46"/>
    <w:rsid w:val="008536C4"/>
    <w:rsid w:val="008565F4"/>
    <w:rsid w:val="00857418"/>
    <w:rsid w:val="0086175D"/>
    <w:rsid w:val="0086368F"/>
    <w:rsid w:val="00865BD5"/>
    <w:rsid w:val="00866E50"/>
    <w:rsid w:val="00875212"/>
    <w:rsid w:val="008863B6"/>
    <w:rsid w:val="008A1BA5"/>
    <w:rsid w:val="008B04E9"/>
    <w:rsid w:val="008B3BD7"/>
    <w:rsid w:val="008B6894"/>
    <w:rsid w:val="008C30DC"/>
    <w:rsid w:val="008C5946"/>
    <w:rsid w:val="008D14F7"/>
    <w:rsid w:val="008D2146"/>
    <w:rsid w:val="008E1FE9"/>
    <w:rsid w:val="00911DFF"/>
    <w:rsid w:val="00912018"/>
    <w:rsid w:val="00915DA8"/>
    <w:rsid w:val="009218C6"/>
    <w:rsid w:val="009223CF"/>
    <w:rsid w:val="00927D0F"/>
    <w:rsid w:val="009328A2"/>
    <w:rsid w:val="009415EC"/>
    <w:rsid w:val="009457F4"/>
    <w:rsid w:val="009523A1"/>
    <w:rsid w:val="00954A49"/>
    <w:rsid w:val="0096497C"/>
    <w:rsid w:val="00966423"/>
    <w:rsid w:val="00966B61"/>
    <w:rsid w:val="00970522"/>
    <w:rsid w:val="00976A8A"/>
    <w:rsid w:val="00981417"/>
    <w:rsid w:val="00983D91"/>
    <w:rsid w:val="0099205E"/>
    <w:rsid w:val="009A1439"/>
    <w:rsid w:val="009A4E0F"/>
    <w:rsid w:val="009A6D98"/>
    <w:rsid w:val="009B17A1"/>
    <w:rsid w:val="009C09D2"/>
    <w:rsid w:val="009D0B96"/>
    <w:rsid w:val="009D230C"/>
    <w:rsid w:val="009D4A85"/>
    <w:rsid w:val="009D5480"/>
    <w:rsid w:val="009D5B94"/>
    <w:rsid w:val="009E28E2"/>
    <w:rsid w:val="009E30F9"/>
    <w:rsid w:val="009E670F"/>
    <w:rsid w:val="009E6DC9"/>
    <w:rsid w:val="00A0390E"/>
    <w:rsid w:val="00A053C2"/>
    <w:rsid w:val="00A1281C"/>
    <w:rsid w:val="00A14737"/>
    <w:rsid w:val="00A14814"/>
    <w:rsid w:val="00A25EDD"/>
    <w:rsid w:val="00A303AC"/>
    <w:rsid w:val="00A30A14"/>
    <w:rsid w:val="00A51E61"/>
    <w:rsid w:val="00A604BA"/>
    <w:rsid w:val="00A60857"/>
    <w:rsid w:val="00A6252A"/>
    <w:rsid w:val="00A656F8"/>
    <w:rsid w:val="00A66147"/>
    <w:rsid w:val="00A669EE"/>
    <w:rsid w:val="00A74C67"/>
    <w:rsid w:val="00A768E1"/>
    <w:rsid w:val="00A828B3"/>
    <w:rsid w:val="00A95B95"/>
    <w:rsid w:val="00AA0B34"/>
    <w:rsid w:val="00AA2839"/>
    <w:rsid w:val="00AA4619"/>
    <w:rsid w:val="00AA7245"/>
    <w:rsid w:val="00AB0D79"/>
    <w:rsid w:val="00AB496A"/>
    <w:rsid w:val="00AB6A9A"/>
    <w:rsid w:val="00AC7D24"/>
    <w:rsid w:val="00AE2124"/>
    <w:rsid w:val="00AE468F"/>
    <w:rsid w:val="00AE6F4D"/>
    <w:rsid w:val="00AF1AA9"/>
    <w:rsid w:val="00AF4DC1"/>
    <w:rsid w:val="00B024B4"/>
    <w:rsid w:val="00B14A93"/>
    <w:rsid w:val="00B262E8"/>
    <w:rsid w:val="00B276DD"/>
    <w:rsid w:val="00B34CFF"/>
    <w:rsid w:val="00B359B0"/>
    <w:rsid w:val="00B4453D"/>
    <w:rsid w:val="00B52476"/>
    <w:rsid w:val="00B57F50"/>
    <w:rsid w:val="00B61F2E"/>
    <w:rsid w:val="00B63DF6"/>
    <w:rsid w:val="00B72958"/>
    <w:rsid w:val="00B75C07"/>
    <w:rsid w:val="00B76B22"/>
    <w:rsid w:val="00B7A2A8"/>
    <w:rsid w:val="00B81A19"/>
    <w:rsid w:val="00B82381"/>
    <w:rsid w:val="00B84D53"/>
    <w:rsid w:val="00B973E1"/>
    <w:rsid w:val="00BB2337"/>
    <w:rsid w:val="00BB4779"/>
    <w:rsid w:val="00BD1137"/>
    <w:rsid w:val="00BD421A"/>
    <w:rsid w:val="00BD571D"/>
    <w:rsid w:val="00BD6E21"/>
    <w:rsid w:val="00BE4BB4"/>
    <w:rsid w:val="00BF168D"/>
    <w:rsid w:val="00BF2C71"/>
    <w:rsid w:val="00BF2F62"/>
    <w:rsid w:val="00BF65E7"/>
    <w:rsid w:val="00BF7334"/>
    <w:rsid w:val="00BF7B97"/>
    <w:rsid w:val="00C028F5"/>
    <w:rsid w:val="00C13DCC"/>
    <w:rsid w:val="00C160E5"/>
    <w:rsid w:val="00C16460"/>
    <w:rsid w:val="00C300A3"/>
    <w:rsid w:val="00C30509"/>
    <w:rsid w:val="00C35B78"/>
    <w:rsid w:val="00C37888"/>
    <w:rsid w:val="00C555D5"/>
    <w:rsid w:val="00C74223"/>
    <w:rsid w:val="00C74CA0"/>
    <w:rsid w:val="00C8568A"/>
    <w:rsid w:val="00C862F4"/>
    <w:rsid w:val="00C91EDC"/>
    <w:rsid w:val="00C95288"/>
    <w:rsid w:val="00CA4145"/>
    <w:rsid w:val="00CA675D"/>
    <w:rsid w:val="00CA67DA"/>
    <w:rsid w:val="00CB5E22"/>
    <w:rsid w:val="00CC4042"/>
    <w:rsid w:val="00CD22A4"/>
    <w:rsid w:val="00CD448B"/>
    <w:rsid w:val="00CE1D18"/>
    <w:rsid w:val="00CE5C03"/>
    <w:rsid w:val="00CE7181"/>
    <w:rsid w:val="00CF2888"/>
    <w:rsid w:val="00CF47C8"/>
    <w:rsid w:val="00D001F2"/>
    <w:rsid w:val="00D04830"/>
    <w:rsid w:val="00D10E71"/>
    <w:rsid w:val="00D1486C"/>
    <w:rsid w:val="00D16AB7"/>
    <w:rsid w:val="00D22297"/>
    <w:rsid w:val="00D23DB6"/>
    <w:rsid w:val="00D2403E"/>
    <w:rsid w:val="00D31C4F"/>
    <w:rsid w:val="00D372B0"/>
    <w:rsid w:val="00D37EB8"/>
    <w:rsid w:val="00D508EE"/>
    <w:rsid w:val="00D51581"/>
    <w:rsid w:val="00D52E0E"/>
    <w:rsid w:val="00D56587"/>
    <w:rsid w:val="00D62F23"/>
    <w:rsid w:val="00D650F5"/>
    <w:rsid w:val="00D706E3"/>
    <w:rsid w:val="00D74995"/>
    <w:rsid w:val="00D80ED5"/>
    <w:rsid w:val="00D85C44"/>
    <w:rsid w:val="00D85DE0"/>
    <w:rsid w:val="00D90704"/>
    <w:rsid w:val="00D91057"/>
    <w:rsid w:val="00D9735E"/>
    <w:rsid w:val="00DA00BE"/>
    <w:rsid w:val="00DA04F3"/>
    <w:rsid w:val="00DA632D"/>
    <w:rsid w:val="00DA63F4"/>
    <w:rsid w:val="00DB0B3D"/>
    <w:rsid w:val="00DC1601"/>
    <w:rsid w:val="00DD0614"/>
    <w:rsid w:val="00DD25B0"/>
    <w:rsid w:val="00DE3752"/>
    <w:rsid w:val="00DF0FA5"/>
    <w:rsid w:val="00DF3C59"/>
    <w:rsid w:val="00DF4F9F"/>
    <w:rsid w:val="00E012E8"/>
    <w:rsid w:val="00E0685A"/>
    <w:rsid w:val="00E2028C"/>
    <w:rsid w:val="00E23560"/>
    <w:rsid w:val="00E23F83"/>
    <w:rsid w:val="00E30061"/>
    <w:rsid w:val="00E3209B"/>
    <w:rsid w:val="00E3715B"/>
    <w:rsid w:val="00E37B5B"/>
    <w:rsid w:val="00E470F1"/>
    <w:rsid w:val="00E551B3"/>
    <w:rsid w:val="00E55BF8"/>
    <w:rsid w:val="00E739B2"/>
    <w:rsid w:val="00E744A4"/>
    <w:rsid w:val="00E82CB5"/>
    <w:rsid w:val="00E87E47"/>
    <w:rsid w:val="00E977D3"/>
    <w:rsid w:val="00EA3EDF"/>
    <w:rsid w:val="00EA77BA"/>
    <w:rsid w:val="00EB11A1"/>
    <w:rsid w:val="00ED6742"/>
    <w:rsid w:val="00EE5019"/>
    <w:rsid w:val="00F01EB9"/>
    <w:rsid w:val="00F03D84"/>
    <w:rsid w:val="00F06B16"/>
    <w:rsid w:val="00F16BBC"/>
    <w:rsid w:val="00F1756A"/>
    <w:rsid w:val="00F20796"/>
    <w:rsid w:val="00F31831"/>
    <w:rsid w:val="00F3284F"/>
    <w:rsid w:val="00F5187D"/>
    <w:rsid w:val="00F54377"/>
    <w:rsid w:val="00F64104"/>
    <w:rsid w:val="00F65526"/>
    <w:rsid w:val="00F72A11"/>
    <w:rsid w:val="00F736E8"/>
    <w:rsid w:val="00F77B59"/>
    <w:rsid w:val="00F81D21"/>
    <w:rsid w:val="00F86B35"/>
    <w:rsid w:val="00F91AFE"/>
    <w:rsid w:val="00F92B5B"/>
    <w:rsid w:val="00F93DB5"/>
    <w:rsid w:val="00F94A83"/>
    <w:rsid w:val="00F97924"/>
    <w:rsid w:val="00FA3BF4"/>
    <w:rsid w:val="00FA4A6C"/>
    <w:rsid w:val="00FA754B"/>
    <w:rsid w:val="00FB44F3"/>
    <w:rsid w:val="00FB5A40"/>
    <w:rsid w:val="00FC3732"/>
    <w:rsid w:val="00FD4488"/>
    <w:rsid w:val="00FF04D2"/>
    <w:rsid w:val="00FF46C2"/>
    <w:rsid w:val="0120B46C"/>
    <w:rsid w:val="0129D9B5"/>
    <w:rsid w:val="0136C9B8"/>
    <w:rsid w:val="0142AB3F"/>
    <w:rsid w:val="018511A7"/>
    <w:rsid w:val="01855F61"/>
    <w:rsid w:val="018D1DF9"/>
    <w:rsid w:val="020601F8"/>
    <w:rsid w:val="02316FE1"/>
    <w:rsid w:val="02521E28"/>
    <w:rsid w:val="0257EE04"/>
    <w:rsid w:val="0296C4B6"/>
    <w:rsid w:val="02E3355B"/>
    <w:rsid w:val="02F80431"/>
    <w:rsid w:val="02FDD91B"/>
    <w:rsid w:val="0322F196"/>
    <w:rsid w:val="03354066"/>
    <w:rsid w:val="0336BAD4"/>
    <w:rsid w:val="03434E48"/>
    <w:rsid w:val="039B1B16"/>
    <w:rsid w:val="039B6CF3"/>
    <w:rsid w:val="03B14EA4"/>
    <w:rsid w:val="04834E72"/>
    <w:rsid w:val="04838658"/>
    <w:rsid w:val="0498DECF"/>
    <w:rsid w:val="04A3EB96"/>
    <w:rsid w:val="04A7C4DF"/>
    <w:rsid w:val="04D9E394"/>
    <w:rsid w:val="04F9D623"/>
    <w:rsid w:val="057AE1AD"/>
    <w:rsid w:val="05C94E5E"/>
    <w:rsid w:val="05E2A40F"/>
    <w:rsid w:val="05EFA058"/>
    <w:rsid w:val="05F83A93"/>
    <w:rsid w:val="060058FF"/>
    <w:rsid w:val="06534462"/>
    <w:rsid w:val="06681E62"/>
    <w:rsid w:val="066DC9B8"/>
    <w:rsid w:val="069E62BE"/>
    <w:rsid w:val="069E7467"/>
    <w:rsid w:val="06A27796"/>
    <w:rsid w:val="07002BE5"/>
    <w:rsid w:val="071CF6FE"/>
    <w:rsid w:val="0788A26E"/>
    <w:rsid w:val="07AE6DFC"/>
    <w:rsid w:val="07C29B37"/>
    <w:rsid w:val="07DD7445"/>
    <w:rsid w:val="07E7CD4C"/>
    <w:rsid w:val="07F20229"/>
    <w:rsid w:val="07F3BA92"/>
    <w:rsid w:val="080EA99D"/>
    <w:rsid w:val="0829C78D"/>
    <w:rsid w:val="08654A87"/>
    <w:rsid w:val="0891AA5B"/>
    <w:rsid w:val="089E144A"/>
    <w:rsid w:val="08EB1DF3"/>
    <w:rsid w:val="08F19A49"/>
    <w:rsid w:val="092B668D"/>
    <w:rsid w:val="0957ED9F"/>
    <w:rsid w:val="096CC282"/>
    <w:rsid w:val="09848F00"/>
    <w:rsid w:val="098CD791"/>
    <w:rsid w:val="099D2220"/>
    <w:rsid w:val="099D6311"/>
    <w:rsid w:val="09B551B7"/>
    <w:rsid w:val="09EB64A4"/>
    <w:rsid w:val="0AD1AC8A"/>
    <w:rsid w:val="0B2049C0"/>
    <w:rsid w:val="0B37D5D2"/>
    <w:rsid w:val="0B6F9A51"/>
    <w:rsid w:val="0B9FBB90"/>
    <w:rsid w:val="0BA5181C"/>
    <w:rsid w:val="0BC30E96"/>
    <w:rsid w:val="0BDD44DE"/>
    <w:rsid w:val="0BE238CF"/>
    <w:rsid w:val="0C5A84DF"/>
    <w:rsid w:val="0C5B9D6C"/>
    <w:rsid w:val="0C67949E"/>
    <w:rsid w:val="0C70517E"/>
    <w:rsid w:val="0C848100"/>
    <w:rsid w:val="0CA15E47"/>
    <w:rsid w:val="0CCF2FC8"/>
    <w:rsid w:val="0CD51BD3"/>
    <w:rsid w:val="0CD734DB"/>
    <w:rsid w:val="0CDCA086"/>
    <w:rsid w:val="0CED1B7B"/>
    <w:rsid w:val="0CED7F35"/>
    <w:rsid w:val="0D131872"/>
    <w:rsid w:val="0D191E27"/>
    <w:rsid w:val="0D31A6F4"/>
    <w:rsid w:val="0D586096"/>
    <w:rsid w:val="0D754A96"/>
    <w:rsid w:val="0DA7F9A8"/>
    <w:rsid w:val="0DC35438"/>
    <w:rsid w:val="0DC7B096"/>
    <w:rsid w:val="0E041B27"/>
    <w:rsid w:val="0E08729F"/>
    <w:rsid w:val="0E304074"/>
    <w:rsid w:val="0E42B673"/>
    <w:rsid w:val="0EAB7B85"/>
    <w:rsid w:val="0F2494A7"/>
    <w:rsid w:val="0F390A70"/>
    <w:rsid w:val="0F3ED051"/>
    <w:rsid w:val="0F4A7595"/>
    <w:rsid w:val="0F7A32AC"/>
    <w:rsid w:val="0FAD502D"/>
    <w:rsid w:val="0FE56504"/>
    <w:rsid w:val="0FF72F46"/>
    <w:rsid w:val="10171C4C"/>
    <w:rsid w:val="1024D554"/>
    <w:rsid w:val="105E1A50"/>
    <w:rsid w:val="10628DBD"/>
    <w:rsid w:val="10700490"/>
    <w:rsid w:val="10BFA9EA"/>
    <w:rsid w:val="10CDFC9D"/>
    <w:rsid w:val="10D58BEB"/>
    <w:rsid w:val="10D5BE27"/>
    <w:rsid w:val="11070112"/>
    <w:rsid w:val="11083613"/>
    <w:rsid w:val="114013DC"/>
    <w:rsid w:val="1150EF03"/>
    <w:rsid w:val="117B79DF"/>
    <w:rsid w:val="11BE0EDB"/>
    <w:rsid w:val="11E9C0E1"/>
    <w:rsid w:val="11F7DEB3"/>
    <w:rsid w:val="11FBBE5B"/>
    <w:rsid w:val="12035BEA"/>
    <w:rsid w:val="1207B5C5"/>
    <w:rsid w:val="120E8D4B"/>
    <w:rsid w:val="122E914C"/>
    <w:rsid w:val="1242BBE6"/>
    <w:rsid w:val="12751DE5"/>
    <w:rsid w:val="12E4C878"/>
    <w:rsid w:val="12F579CA"/>
    <w:rsid w:val="12FFEC56"/>
    <w:rsid w:val="130BE217"/>
    <w:rsid w:val="130E4C05"/>
    <w:rsid w:val="1321F6B9"/>
    <w:rsid w:val="13A69D58"/>
    <w:rsid w:val="13B38B19"/>
    <w:rsid w:val="13B624D2"/>
    <w:rsid w:val="13BA8961"/>
    <w:rsid w:val="13C00123"/>
    <w:rsid w:val="13DF6A3B"/>
    <w:rsid w:val="13F21DE5"/>
    <w:rsid w:val="1437B17E"/>
    <w:rsid w:val="14D20B06"/>
    <w:rsid w:val="14EE5AB8"/>
    <w:rsid w:val="14F7DBA7"/>
    <w:rsid w:val="15065746"/>
    <w:rsid w:val="156B801C"/>
    <w:rsid w:val="15773F33"/>
    <w:rsid w:val="15A532BB"/>
    <w:rsid w:val="15A626E9"/>
    <w:rsid w:val="15A85E66"/>
    <w:rsid w:val="15ACE37C"/>
    <w:rsid w:val="15C04401"/>
    <w:rsid w:val="15EAD4F6"/>
    <w:rsid w:val="1606B798"/>
    <w:rsid w:val="164AD0FC"/>
    <w:rsid w:val="165CDC9E"/>
    <w:rsid w:val="16B11DA0"/>
    <w:rsid w:val="16C07961"/>
    <w:rsid w:val="17197138"/>
    <w:rsid w:val="174A99C3"/>
    <w:rsid w:val="1798E76E"/>
    <w:rsid w:val="17B1B95F"/>
    <w:rsid w:val="17FE67DB"/>
    <w:rsid w:val="1853EB7E"/>
    <w:rsid w:val="18699386"/>
    <w:rsid w:val="18819E20"/>
    <w:rsid w:val="188D038A"/>
    <w:rsid w:val="189F8607"/>
    <w:rsid w:val="18D76DF7"/>
    <w:rsid w:val="1953A78B"/>
    <w:rsid w:val="1965468F"/>
    <w:rsid w:val="197FBD07"/>
    <w:rsid w:val="19987488"/>
    <w:rsid w:val="19B9F530"/>
    <w:rsid w:val="1A1E1B14"/>
    <w:rsid w:val="1A2CB80B"/>
    <w:rsid w:val="1A3A629C"/>
    <w:rsid w:val="1A43466F"/>
    <w:rsid w:val="1A47DCE4"/>
    <w:rsid w:val="1A55D9A5"/>
    <w:rsid w:val="1A5C8BAF"/>
    <w:rsid w:val="1A64934C"/>
    <w:rsid w:val="1A676797"/>
    <w:rsid w:val="1ADDD74E"/>
    <w:rsid w:val="1AECA583"/>
    <w:rsid w:val="1AEE1285"/>
    <w:rsid w:val="1AF6BAA5"/>
    <w:rsid w:val="1B06C09B"/>
    <w:rsid w:val="1B3616FD"/>
    <w:rsid w:val="1B5FA6C1"/>
    <w:rsid w:val="1B6B5E77"/>
    <w:rsid w:val="1B9B99AC"/>
    <w:rsid w:val="1BA08EAD"/>
    <w:rsid w:val="1BC774B8"/>
    <w:rsid w:val="1BE7E309"/>
    <w:rsid w:val="1C077804"/>
    <w:rsid w:val="1CD94FBD"/>
    <w:rsid w:val="1CE9B7CF"/>
    <w:rsid w:val="1CFC8AF3"/>
    <w:rsid w:val="1D458B52"/>
    <w:rsid w:val="1D6DA0BB"/>
    <w:rsid w:val="1D7EEA56"/>
    <w:rsid w:val="1D930F5E"/>
    <w:rsid w:val="1D9874EC"/>
    <w:rsid w:val="1DB1BFCA"/>
    <w:rsid w:val="1DB3A17C"/>
    <w:rsid w:val="1E28F82A"/>
    <w:rsid w:val="1E427C19"/>
    <w:rsid w:val="1E969CCF"/>
    <w:rsid w:val="1EEBD2E6"/>
    <w:rsid w:val="1EF8B064"/>
    <w:rsid w:val="1F0AE0A4"/>
    <w:rsid w:val="1F1F4067"/>
    <w:rsid w:val="1F2596D2"/>
    <w:rsid w:val="1F278F8D"/>
    <w:rsid w:val="1F68D663"/>
    <w:rsid w:val="1F6A9B90"/>
    <w:rsid w:val="1F875BD2"/>
    <w:rsid w:val="1FB6DEDA"/>
    <w:rsid w:val="1FD79BF1"/>
    <w:rsid w:val="1FDAA569"/>
    <w:rsid w:val="1FDE7376"/>
    <w:rsid w:val="1FE56385"/>
    <w:rsid w:val="200F64C9"/>
    <w:rsid w:val="2024013A"/>
    <w:rsid w:val="205601A2"/>
    <w:rsid w:val="209BFDF5"/>
    <w:rsid w:val="209F7578"/>
    <w:rsid w:val="2126AFAA"/>
    <w:rsid w:val="213E9B5F"/>
    <w:rsid w:val="216F7A1A"/>
    <w:rsid w:val="21707A2C"/>
    <w:rsid w:val="21C7296D"/>
    <w:rsid w:val="21CA6BDB"/>
    <w:rsid w:val="2209EBE9"/>
    <w:rsid w:val="222F8AD1"/>
    <w:rsid w:val="22764529"/>
    <w:rsid w:val="22A63091"/>
    <w:rsid w:val="22D58AC6"/>
    <w:rsid w:val="22F22FAA"/>
    <w:rsid w:val="22F62012"/>
    <w:rsid w:val="22FCA190"/>
    <w:rsid w:val="23038282"/>
    <w:rsid w:val="231C0571"/>
    <w:rsid w:val="23AB0062"/>
    <w:rsid w:val="23B33451"/>
    <w:rsid w:val="23D4E546"/>
    <w:rsid w:val="23F13BC4"/>
    <w:rsid w:val="244A87C3"/>
    <w:rsid w:val="245EEAC6"/>
    <w:rsid w:val="246E8BFD"/>
    <w:rsid w:val="2494CA08"/>
    <w:rsid w:val="24ADE34C"/>
    <w:rsid w:val="24DFF3CB"/>
    <w:rsid w:val="24EFC5C6"/>
    <w:rsid w:val="2512F92B"/>
    <w:rsid w:val="25248182"/>
    <w:rsid w:val="2531F6F1"/>
    <w:rsid w:val="253A698E"/>
    <w:rsid w:val="25452DF3"/>
    <w:rsid w:val="25551B10"/>
    <w:rsid w:val="255725F9"/>
    <w:rsid w:val="25686382"/>
    <w:rsid w:val="258EB1FD"/>
    <w:rsid w:val="25B3A505"/>
    <w:rsid w:val="25B9B441"/>
    <w:rsid w:val="25E2FE6C"/>
    <w:rsid w:val="2625FF34"/>
    <w:rsid w:val="26539C54"/>
    <w:rsid w:val="26A8AB2B"/>
    <w:rsid w:val="26E5AAA6"/>
    <w:rsid w:val="27166537"/>
    <w:rsid w:val="2728711F"/>
    <w:rsid w:val="273152D1"/>
    <w:rsid w:val="273D388C"/>
    <w:rsid w:val="27A802E9"/>
    <w:rsid w:val="27D230B2"/>
    <w:rsid w:val="283DED9D"/>
    <w:rsid w:val="28570724"/>
    <w:rsid w:val="28EC43E6"/>
    <w:rsid w:val="2939DAC2"/>
    <w:rsid w:val="296A5228"/>
    <w:rsid w:val="29EB5329"/>
    <w:rsid w:val="2A81082C"/>
    <w:rsid w:val="2A9091D9"/>
    <w:rsid w:val="2A91A35E"/>
    <w:rsid w:val="2A9F79B0"/>
    <w:rsid w:val="2AA368CA"/>
    <w:rsid w:val="2ABB2218"/>
    <w:rsid w:val="2ACC0ABD"/>
    <w:rsid w:val="2AF98E0C"/>
    <w:rsid w:val="2B078831"/>
    <w:rsid w:val="2B0F9C06"/>
    <w:rsid w:val="2B7B5C55"/>
    <w:rsid w:val="2BB6EF31"/>
    <w:rsid w:val="2BE0714B"/>
    <w:rsid w:val="2C16CF6E"/>
    <w:rsid w:val="2C3C5EA3"/>
    <w:rsid w:val="2C4F46F2"/>
    <w:rsid w:val="2C55ECED"/>
    <w:rsid w:val="2CC7C803"/>
    <w:rsid w:val="2CE68103"/>
    <w:rsid w:val="2CF66F3E"/>
    <w:rsid w:val="2CFAA2DF"/>
    <w:rsid w:val="2D206C6B"/>
    <w:rsid w:val="2D2671DD"/>
    <w:rsid w:val="2D2C3FCB"/>
    <w:rsid w:val="2D403B68"/>
    <w:rsid w:val="2D5C68F2"/>
    <w:rsid w:val="2D8ACDD8"/>
    <w:rsid w:val="2D8FF88C"/>
    <w:rsid w:val="2D965F96"/>
    <w:rsid w:val="2DC7D5B3"/>
    <w:rsid w:val="2DD47D4C"/>
    <w:rsid w:val="2E105F5B"/>
    <w:rsid w:val="2E1B85C4"/>
    <w:rsid w:val="2E226926"/>
    <w:rsid w:val="2E232B8F"/>
    <w:rsid w:val="2ECEE1EA"/>
    <w:rsid w:val="2F08A94F"/>
    <w:rsid w:val="2F1DB53D"/>
    <w:rsid w:val="2F331C79"/>
    <w:rsid w:val="2F3B9993"/>
    <w:rsid w:val="2F775888"/>
    <w:rsid w:val="2FAB36CB"/>
    <w:rsid w:val="300CBE7E"/>
    <w:rsid w:val="3077DAEF"/>
    <w:rsid w:val="3118285B"/>
    <w:rsid w:val="3146FD44"/>
    <w:rsid w:val="31690D7F"/>
    <w:rsid w:val="31B49FF5"/>
    <w:rsid w:val="31C5DA83"/>
    <w:rsid w:val="31CFF5D6"/>
    <w:rsid w:val="31E8A436"/>
    <w:rsid w:val="3210C272"/>
    <w:rsid w:val="32368893"/>
    <w:rsid w:val="3267FEFF"/>
    <w:rsid w:val="326CC83A"/>
    <w:rsid w:val="32728795"/>
    <w:rsid w:val="32DD0B83"/>
    <w:rsid w:val="3307F3B1"/>
    <w:rsid w:val="331C66A8"/>
    <w:rsid w:val="3325A97C"/>
    <w:rsid w:val="33260010"/>
    <w:rsid w:val="336EF393"/>
    <w:rsid w:val="337590E0"/>
    <w:rsid w:val="3388B182"/>
    <w:rsid w:val="339EB2BB"/>
    <w:rsid w:val="33B63A4D"/>
    <w:rsid w:val="33D0A9AB"/>
    <w:rsid w:val="33D56F5C"/>
    <w:rsid w:val="33D627C7"/>
    <w:rsid w:val="34186F06"/>
    <w:rsid w:val="3434F6F4"/>
    <w:rsid w:val="3465CE3F"/>
    <w:rsid w:val="347C7AC8"/>
    <w:rsid w:val="3485772C"/>
    <w:rsid w:val="34A9473B"/>
    <w:rsid w:val="34C84284"/>
    <w:rsid w:val="34D6D324"/>
    <w:rsid w:val="34DCF346"/>
    <w:rsid w:val="34E5F54E"/>
    <w:rsid w:val="351D2003"/>
    <w:rsid w:val="35337044"/>
    <w:rsid w:val="3539F9B8"/>
    <w:rsid w:val="354C8427"/>
    <w:rsid w:val="35A6F6B4"/>
    <w:rsid w:val="35B42D62"/>
    <w:rsid w:val="35EACC37"/>
    <w:rsid w:val="35F5EAB4"/>
    <w:rsid w:val="36573FB1"/>
    <w:rsid w:val="366D827D"/>
    <w:rsid w:val="367A8BCC"/>
    <w:rsid w:val="36B1363D"/>
    <w:rsid w:val="36B1670B"/>
    <w:rsid w:val="36BD3656"/>
    <w:rsid w:val="36D580C3"/>
    <w:rsid w:val="36DC4C70"/>
    <w:rsid w:val="36F9AAD0"/>
    <w:rsid w:val="3709C1AB"/>
    <w:rsid w:val="37147C62"/>
    <w:rsid w:val="3729CDAF"/>
    <w:rsid w:val="372A13F2"/>
    <w:rsid w:val="376B1179"/>
    <w:rsid w:val="3774FD96"/>
    <w:rsid w:val="37A758D7"/>
    <w:rsid w:val="37CA5C08"/>
    <w:rsid w:val="37D38FA1"/>
    <w:rsid w:val="37EB9131"/>
    <w:rsid w:val="3838E920"/>
    <w:rsid w:val="38649980"/>
    <w:rsid w:val="38C2121B"/>
    <w:rsid w:val="38C4AACB"/>
    <w:rsid w:val="38D0A522"/>
    <w:rsid w:val="38D6202E"/>
    <w:rsid w:val="38DDA8F1"/>
    <w:rsid w:val="3914C37D"/>
    <w:rsid w:val="391D804E"/>
    <w:rsid w:val="39203BBE"/>
    <w:rsid w:val="393F6B51"/>
    <w:rsid w:val="393FEADB"/>
    <w:rsid w:val="3947D8DC"/>
    <w:rsid w:val="39A88143"/>
    <w:rsid w:val="39B94200"/>
    <w:rsid w:val="39BC6C5B"/>
    <w:rsid w:val="39D19A4B"/>
    <w:rsid w:val="3A5873C1"/>
    <w:rsid w:val="3A6C1534"/>
    <w:rsid w:val="3A77827F"/>
    <w:rsid w:val="3A85CD09"/>
    <w:rsid w:val="3AAC9C64"/>
    <w:rsid w:val="3AAEA62E"/>
    <w:rsid w:val="3ABE9191"/>
    <w:rsid w:val="3AF019D6"/>
    <w:rsid w:val="3B7520D7"/>
    <w:rsid w:val="3B893D2E"/>
    <w:rsid w:val="3BA6AC47"/>
    <w:rsid w:val="3BB0A16D"/>
    <w:rsid w:val="3C112D27"/>
    <w:rsid w:val="3C24D6FC"/>
    <w:rsid w:val="3CD63D88"/>
    <w:rsid w:val="3CF1D2D2"/>
    <w:rsid w:val="3CFC10EE"/>
    <w:rsid w:val="3D329C26"/>
    <w:rsid w:val="3D4416D8"/>
    <w:rsid w:val="3D4C0B2B"/>
    <w:rsid w:val="3D6A644E"/>
    <w:rsid w:val="3DAFB423"/>
    <w:rsid w:val="3DB24897"/>
    <w:rsid w:val="3DECF968"/>
    <w:rsid w:val="3E1F3B88"/>
    <w:rsid w:val="3E300896"/>
    <w:rsid w:val="3E411EA1"/>
    <w:rsid w:val="3E416E7F"/>
    <w:rsid w:val="3E41D438"/>
    <w:rsid w:val="3E5FD1EC"/>
    <w:rsid w:val="3E69B822"/>
    <w:rsid w:val="3E6AB33C"/>
    <w:rsid w:val="3E6C5258"/>
    <w:rsid w:val="3E73BD8F"/>
    <w:rsid w:val="3EC5F2FF"/>
    <w:rsid w:val="3ED437A0"/>
    <w:rsid w:val="3ED43CE8"/>
    <w:rsid w:val="3F57E744"/>
    <w:rsid w:val="3F867904"/>
    <w:rsid w:val="3F998135"/>
    <w:rsid w:val="3FD0F957"/>
    <w:rsid w:val="3FED1824"/>
    <w:rsid w:val="4016A86E"/>
    <w:rsid w:val="401D247B"/>
    <w:rsid w:val="40516BBC"/>
    <w:rsid w:val="4056840B"/>
    <w:rsid w:val="4069C24A"/>
    <w:rsid w:val="40C98665"/>
    <w:rsid w:val="41544841"/>
    <w:rsid w:val="4192FB68"/>
    <w:rsid w:val="41CDACCE"/>
    <w:rsid w:val="41EA9140"/>
    <w:rsid w:val="4202E712"/>
    <w:rsid w:val="422B90EC"/>
    <w:rsid w:val="4250986B"/>
    <w:rsid w:val="42610236"/>
    <w:rsid w:val="429D8B2A"/>
    <w:rsid w:val="42B5FAB3"/>
    <w:rsid w:val="42E51F33"/>
    <w:rsid w:val="42F42E1C"/>
    <w:rsid w:val="43A0A48E"/>
    <w:rsid w:val="43AD0BA8"/>
    <w:rsid w:val="4488C205"/>
    <w:rsid w:val="449C2C68"/>
    <w:rsid w:val="449F385E"/>
    <w:rsid w:val="44AAF821"/>
    <w:rsid w:val="44C3B290"/>
    <w:rsid w:val="44D594F6"/>
    <w:rsid w:val="44DE3D33"/>
    <w:rsid w:val="44FD7F3E"/>
    <w:rsid w:val="45101A82"/>
    <w:rsid w:val="451A0514"/>
    <w:rsid w:val="4526953F"/>
    <w:rsid w:val="454DF8B4"/>
    <w:rsid w:val="4553D8AB"/>
    <w:rsid w:val="4560B8C0"/>
    <w:rsid w:val="45622267"/>
    <w:rsid w:val="4591C0E2"/>
    <w:rsid w:val="45B77CA0"/>
    <w:rsid w:val="45CBD32F"/>
    <w:rsid w:val="4663090D"/>
    <w:rsid w:val="4683AE23"/>
    <w:rsid w:val="46987755"/>
    <w:rsid w:val="46993E61"/>
    <w:rsid w:val="46C789A7"/>
    <w:rsid w:val="46CD1B91"/>
    <w:rsid w:val="46F26F0E"/>
    <w:rsid w:val="46F2FAC0"/>
    <w:rsid w:val="47529CEE"/>
    <w:rsid w:val="47561C0E"/>
    <w:rsid w:val="477A92C4"/>
    <w:rsid w:val="47A83CA9"/>
    <w:rsid w:val="47B77936"/>
    <w:rsid w:val="48073AC4"/>
    <w:rsid w:val="480E6E5D"/>
    <w:rsid w:val="482F9A04"/>
    <w:rsid w:val="487E4A17"/>
    <w:rsid w:val="4881E632"/>
    <w:rsid w:val="489D02A9"/>
    <w:rsid w:val="48BDD6DF"/>
    <w:rsid w:val="48F5AE1D"/>
    <w:rsid w:val="490E8AD1"/>
    <w:rsid w:val="494916BF"/>
    <w:rsid w:val="49778CCC"/>
    <w:rsid w:val="49830EF9"/>
    <w:rsid w:val="49C6EB24"/>
    <w:rsid w:val="4A38B0B5"/>
    <w:rsid w:val="4A756F5E"/>
    <w:rsid w:val="4A83879D"/>
    <w:rsid w:val="4AC8D059"/>
    <w:rsid w:val="4AD5A4AD"/>
    <w:rsid w:val="4AE184D4"/>
    <w:rsid w:val="4B349AE1"/>
    <w:rsid w:val="4B3F5341"/>
    <w:rsid w:val="4B6B1FAE"/>
    <w:rsid w:val="4B7F7C3C"/>
    <w:rsid w:val="4B8211CC"/>
    <w:rsid w:val="4B91C4A8"/>
    <w:rsid w:val="4B91E9BF"/>
    <w:rsid w:val="4BD576F8"/>
    <w:rsid w:val="4BDD281E"/>
    <w:rsid w:val="4BE669AB"/>
    <w:rsid w:val="4C020408"/>
    <w:rsid w:val="4C150A85"/>
    <w:rsid w:val="4C30D1B3"/>
    <w:rsid w:val="4C3D2144"/>
    <w:rsid w:val="4C4266C6"/>
    <w:rsid w:val="4C8C6EF8"/>
    <w:rsid w:val="4C8D771A"/>
    <w:rsid w:val="4D01844E"/>
    <w:rsid w:val="4D3D7FBE"/>
    <w:rsid w:val="4D49BBE2"/>
    <w:rsid w:val="4D702FFF"/>
    <w:rsid w:val="4DA14FAE"/>
    <w:rsid w:val="4DA4C784"/>
    <w:rsid w:val="4DC134F7"/>
    <w:rsid w:val="4DD4D563"/>
    <w:rsid w:val="4E03FDB2"/>
    <w:rsid w:val="4E27C483"/>
    <w:rsid w:val="4E7270B3"/>
    <w:rsid w:val="4E855D45"/>
    <w:rsid w:val="4EB21020"/>
    <w:rsid w:val="4EB6B772"/>
    <w:rsid w:val="4EBD80AB"/>
    <w:rsid w:val="4EBF4984"/>
    <w:rsid w:val="4F136B86"/>
    <w:rsid w:val="4F2060F6"/>
    <w:rsid w:val="4F26E4BA"/>
    <w:rsid w:val="4FA838B6"/>
    <w:rsid w:val="4FBD2A48"/>
    <w:rsid w:val="4FF03A3C"/>
    <w:rsid w:val="5006627A"/>
    <w:rsid w:val="50194E77"/>
    <w:rsid w:val="5026CD15"/>
    <w:rsid w:val="502BB131"/>
    <w:rsid w:val="504243F6"/>
    <w:rsid w:val="504FC4C3"/>
    <w:rsid w:val="5058BB6B"/>
    <w:rsid w:val="505C1DA6"/>
    <w:rsid w:val="50A9F558"/>
    <w:rsid w:val="50CEBFE7"/>
    <w:rsid w:val="5124E5CF"/>
    <w:rsid w:val="5130AF01"/>
    <w:rsid w:val="51324459"/>
    <w:rsid w:val="5172A85D"/>
    <w:rsid w:val="51C4797E"/>
    <w:rsid w:val="51D0EC66"/>
    <w:rsid w:val="51D3E4C7"/>
    <w:rsid w:val="51F41E4A"/>
    <w:rsid w:val="51FACD41"/>
    <w:rsid w:val="5208AD17"/>
    <w:rsid w:val="522202EF"/>
    <w:rsid w:val="524F0231"/>
    <w:rsid w:val="52939222"/>
    <w:rsid w:val="531A5C5C"/>
    <w:rsid w:val="53261C68"/>
    <w:rsid w:val="53308245"/>
    <w:rsid w:val="533E2573"/>
    <w:rsid w:val="53640CFA"/>
    <w:rsid w:val="5373624C"/>
    <w:rsid w:val="53953ECF"/>
    <w:rsid w:val="53C34992"/>
    <w:rsid w:val="53C393EA"/>
    <w:rsid w:val="53E58363"/>
    <w:rsid w:val="544C2B08"/>
    <w:rsid w:val="5455D542"/>
    <w:rsid w:val="545C090E"/>
    <w:rsid w:val="54ACE794"/>
    <w:rsid w:val="54DDF54B"/>
    <w:rsid w:val="553A1598"/>
    <w:rsid w:val="55552EB9"/>
    <w:rsid w:val="55589C60"/>
    <w:rsid w:val="55809DA3"/>
    <w:rsid w:val="55C1B9CE"/>
    <w:rsid w:val="55EBE6F5"/>
    <w:rsid w:val="55F64243"/>
    <w:rsid w:val="563AA983"/>
    <w:rsid w:val="563CF50C"/>
    <w:rsid w:val="564D97F4"/>
    <w:rsid w:val="5671C381"/>
    <w:rsid w:val="567C65D4"/>
    <w:rsid w:val="5686549B"/>
    <w:rsid w:val="56973AD0"/>
    <w:rsid w:val="569E55C5"/>
    <w:rsid w:val="56A80213"/>
    <w:rsid w:val="56EC1FBE"/>
    <w:rsid w:val="5792668E"/>
    <w:rsid w:val="57A012F6"/>
    <w:rsid w:val="58D57D5C"/>
    <w:rsid w:val="59547731"/>
    <w:rsid w:val="595ABB43"/>
    <w:rsid w:val="597BBB29"/>
    <w:rsid w:val="599EE9D6"/>
    <w:rsid w:val="59BA9D10"/>
    <w:rsid w:val="59C2DD15"/>
    <w:rsid w:val="59DCC806"/>
    <w:rsid w:val="5A14F54C"/>
    <w:rsid w:val="5A2BAEE8"/>
    <w:rsid w:val="5A67A852"/>
    <w:rsid w:val="5A715D66"/>
    <w:rsid w:val="5A858643"/>
    <w:rsid w:val="5A940432"/>
    <w:rsid w:val="5AA04F21"/>
    <w:rsid w:val="5AA5A8E4"/>
    <w:rsid w:val="5AA7709A"/>
    <w:rsid w:val="5AABEC21"/>
    <w:rsid w:val="5AAC4047"/>
    <w:rsid w:val="5AB2B365"/>
    <w:rsid w:val="5ADAEC98"/>
    <w:rsid w:val="5B1F5898"/>
    <w:rsid w:val="5B45F8FC"/>
    <w:rsid w:val="5B49BBDF"/>
    <w:rsid w:val="5B4B8868"/>
    <w:rsid w:val="5B4CAEC2"/>
    <w:rsid w:val="5B78F5A9"/>
    <w:rsid w:val="5B87440B"/>
    <w:rsid w:val="5B87FA77"/>
    <w:rsid w:val="5BA1DD0E"/>
    <w:rsid w:val="5BB44F22"/>
    <w:rsid w:val="5BC4364E"/>
    <w:rsid w:val="5BE827B4"/>
    <w:rsid w:val="5C484D0F"/>
    <w:rsid w:val="5C5FD02A"/>
    <w:rsid w:val="5C80318E"/>
    <w:rsid w:val="5CB38AA9"/>
    <w:rsid w:val="5D1428FC"/>
    <w:rsid w:val="5D15816D"/>
    <w:rsid w:val="5D231770"/>
    <w:rsid w:val="5D272DF0"/>
    <w:rsid w:val="5D3AE62E"/>
    <w:rsid w:val="5D58E95A"/>
    <w:rsid w:val="5D62E3F2"/>
    <w:rsid w:val="5D94C0C3"/>
    <w:rsid w:val="5DBCAAAB"/>
    <w:rsid w:val="5DCF69CA"/>
    <w:rsid w:val="5DEA9D5C"/>
    <w:rsid w:val="5E7BCE46"/>
    <w:rsid w:val="5E84C324"/>
    <w:rsid w:val="5EA033AE"/>
    <w:rsid w:val="5EAD62B5"/>
    <w:rsid w:val="5F3B9167"/>
    <w:rsid w:val="5F3E9464"/>
    <w:rsid w:val="5F61B5B8"/>
    <w:rsid w:val="5F67E3FE"/>
    <w:rsid w:val="5F6D8995"/>
    <w:rsid w:val="5F9F786B"/>
    <w:rsid w:val="5FCB90AF"/>
    <w:rsid w:val="5FCCCB59"/>
    <w:rsid w:val="60032082"/>
    <w:rsid w:val="6037239C"/>
    <w:rsid w:val="603ADD9C"/>
    <w:rsid w:val="603E1E9A"/>
    <w:rsid w:val="60450323"/>
    <w:rsid w:val="6062C0BF"/>
    <w:rsid w:val="607A7A0D"/>
    <w:rsid w:val="6095ABCC"/>
    <w:rsid w:val="60AEF809"/>
    <w:rsid w:val="60BA63F4"/>
    <w:rsid w:val="60BF934F"/>
    <w:rsid w:val="610373EA"/>
    <w:rsid w:val="6115D11B"/>
    <w:rsid w:val="6128BF87"/>
    <w:rsid w:val="613B5FAD"/>
    <w:rsid w:val="61414D00"/>
    <w:rsid w:val="61591C83"/>
    <w:rsid w:val="61B46E90"/>
    <w:rsid w:val="61C61A90"/>
    <w:rsid w:val="61CABE67"/>
    <w:rsid w:val="61DACFA2"/>
    <w:rsid w:val="621EB32F"/>
    <w:rsid w:val="62312BC7"/>
    <w:rsid w:val="624FDBF3"/>
    <w:rsid w:val="625DDC66"/>
    <w:rsid w:val="627AC3A5"/>
    <w:rsid w:val="62896BD3"/>
    <w:rsid w:val="62A6CAA1"/>
    <w:rsid w:val="631829D9"/>
    <w:rsid w:val="634FC0D4"/>
    <w:rsid w:val="63953DEA"/>
    <w:rsid w:val="63CA183A"/>
    <w:rsid w:val="63D07CE6"/>
    <w:rsid w:val="63D834D8"/>
    <w:rsid w:val="63E5DD08"/>
    <w:rsid w:val="63E90B34"/>
    <w:rsid w:val="64106E23"/>
    <w:rsid w:val="64140B79"/>
    <w:rsid w:val="641C1E14"/>
    <w:rsid w:val="642A93A1"/>
    <w:rsid w:val="645E1E09"/>
    <w:rsid w:val="646B6A7C"/>
    <w:rsid w:val="64877FE6"/>
    <w:rsid w:val="649E4B3C"/>
    <w:rsid w:val="64D185F3"/>
    <w:rsid w:val="64E4AD84"/>
    <w:rsid w:val="64FB5DA3"/>
    <w:rsid w:val="65056775"/>
    <w:rsid w:val="656178BC"/>
    <w:rsid w:val="6568A36E"/>
    <w:rsid w:val="658D399D"/>
    <w:rsid w:val="65991F8E"/>
    <w:rsid w:val="65A213D8"/>
    <w:rsid w:val="65B2EFB8"/>
    <w:rsid w:val="662B665D"/>
    <w:rsid w:val="663EAE95"/>
    <w:rsid w:val="663F6999"/>
    <w:rsid w:val="665FCFBE"/>
    <w:rsid w:val="66605C4F"/>
    <w:rsid w:val="666EDFB8"/>
    <w:rsid w:val="666F7CB6"/>
    <w:rsid w:val="675F4BCA"/>
    <w:rsid w:val="6762611C"/>
    <w:rsid w:val="676AC7F1"/>
    <w:rsid w:val="676C18C6"/>
    <w:rsid w:val="679877BD"/>
    <w:rsid w:val="67D424AE"/>
    <w:rsid w:val="67D7A04D"/>
    <w:rsid w:val="67DED07A"/>
    <w:rsid w:val="67E5FE33"/>
    <w:rsid w:val="67EDC500"/>
    <w:rsid w:val="6800CBE2"/>
    <w:rsid w:val="6803D4A6"/>
    <w:rsid w:val="684B8565"/>
    <w:rsid w:val="686659BD"/>
    <w:rsid w:val="6869555B"/>
    <w:rsid w:val="68872359"/>
    <w:rsid w:val="688917C8"/>
    <w:rsid w:val="68C1CAAB"/>
    <w:rsid w:val="68F74905"/>
    <w:rsid w:val="68FD42BC"/>
    <w:rsid w:val="691CD5D8"/>
    <w:rsid w:val="692E1470"/>
    <w:rsid w:val="69496255"/>
    <w:rsid w:val="694EDFF1"/>
    <w:rsid w:val="695A133E"/>
    <w:rsid w:val="696425AD"/>
    <w:rsid w:val="697FFB2C"/>
    <w:rsid w:val="698FC338"/>
    <w:rsid w:val="69C33822"/>
    <w:rsid w:val="69C433B5"/>
    <w:rsid w:val="6A03BD35"/>
    <w:rsid w:val="6A05D085"/>
    <w:rsid w:val="6A20FC8F"/>
    <w:rsid w:val="6A2BCC55"/>
    <w:rsid w:val="6A31DC30"/>
    <w:rsid w:val="6A503990"/>
    <w:rsid w:val="6A6A724D"/>
    <w:rsid w:val="6A75ABC7"/>
    <w:rsid w:val="6AB072EA"/>
    <w:rsid w:val="6AFFFF1E"/>
    <w:rsid w:val="6B2897F0"/>
    <w:rsid w:val="6B8A0574"/>
    <w:rsid w:val="6B984A98"/>
    <w:rsid w:val="6BBF8C15"/>
    <w:rsid w:val="6BF81747"/>
    <w:rsid w:val="6C279748"/>
    <w:rsid w:val="6C31584B"/>
    <w:rsid w:val="6C361BE5"/>
    <w:rsid w:val="6CCBB097"/>
    <w:rsid w:val="6CE70E80"/>
    <w:rsid w:val="6CF7A4A9"/>
    <w:rsid w:val="6D17E69B"/>
    <w:rsid w:val="6D219B81"/>
    <w:rsid w:val="6D7956ED"/>
    <w:rsid w:val="6D868F34"/>
    <w:rsid w:val="6DC6E136"/>
    <w:rsid w:val="6DDFD3F6"/>
    <w:rsid w:val="6DE34F20"/>
    <w:rsid w:val="6DF54E65"/>
    <w:rsid w:val="6E05E3E6"/>
    <w:rsid w:val="6E8C8C47"/>
    <w:rsid w:val="6E8CECC2"/>
    <w:rsid w:val="6E9BF6A4"/>
    <w:rsid w:val="6EB8D9EA"/>
    <w:rsid w:val="6EC5EFA4"/>
    <w:rsid w:val="6F048A65"/>
    <w:rsid w:val="6F2D0926"/>
    <w:rsid w:val="6F3564A7"/>
    <w:rsid w:val="6F429FF6"/>
    <w:rsid w:val="6FBC95F4"/>
    <w:rsid w:val="6FF4FB59"/>
    <w:rsid w:val="7065DB0D"/>
    <w:rsid w:val="70B5791E"/>
    <w:rsid w:val="70CFE61F"/>
    <w:rsid w:val="70D1DAF6"/>
    <w:rsid w:val="70D7231F"/>
    <w:rsid w:val="70E5553A"/>
    <w:rsid w:val="70FC382B"/>
    <w:rsid w:val="71309367"/>
    <w:rsid w:val="719B3491"/>
    <w:rsid w:val="71A86B8A"/>
    <w:rsid w:val="71BADCD0"/>
    <w:rsid w:val="71E73762"/>
    <w:rsid w:val="71FA3438"/>
    <w:rsid w:val="7252192E"/>
    <w:rsid w:val="7253949E"/>
    <w:rsid w:val="7262069A"/>
    <w:rsid w:val="72A63365"/>
    <w:rsid w:val="72DDA918"/>
    <w:rsid w:val="731EDEE7"/>
    <w:rsid w:val="7378E726"/>
    <w:rsid w:val="7390C88B"/>
    <w:rsid w:val="73C4F28D"/>
    <w:rsid w:val="73D70CFA"/>
    <w:rsid w:val="73E7F286"/>
    <w:rsid w:val="73F8B206"/>
    <w:rsid w:val="73FDE1F2"/>
    <w:rsid w:val="740E13F8"/>
    <w:rsid w:val="74424350"/>
    <w:rsid w:val="745ED40B"/>
    <w:rsid w:val="74A413D2"/>
    <w:rsid w:val="75430238"/>
    <w:rsid w:val="755DE220"/>
    <w:rsid w:val="759EE310"/>
    <w:rsid w:val="75A3A163"/>
    <w:rsid w:val="75AF9123"/>
    <w:rsid w:val="75B5702C"/>
    <w:rsid w:val="75F73881"/>
    <w:rsid w:val="7622CA91"/>
    <w:rsid w:val="762E402A"/>
    <w:rsid w:val="763350B5"/>
    <w:rsid w:val="763445CA"/>
    <w:rsid w:val="7646555C"/>
    <w:rsid w:val="765B5471"/>
    <w:rsid w:val="765E636B"/>
    <w:rsid w:val="766002CF"/>
    <w:rsid w:val="76A22A7A"/>
    <w:rsid w:val="76DD2B87"/>
    <w:rsid w:val="76EA149D"/>
    <w:rsid w:val="77074259"/>
    <w:rsid w:val="7732A402"/>
    <w:rsid w:val="773EEB07"/>
    <w:rsid w:val="77418B37"/>
    <w:rsid w:val="774A7013"/>
    <w:rsid w:val="7754C730"/>
    <w:rsid w:val="776BE21B"/>
    <w:rsid w:val="77B644DD"/>
    <w:rsid w:val="77BA1496"/>
    <w:rsid w:val="77CCF86F"/>
    <w:rsid w:val="77EE0947"/>
    <w:rsid w:val="77F76D52"/>
    <w:rsid w:val="77F96CDF"/>
    <w:rsid w:val="78072515"/>
    <w:rsid w:val="780747D8"/>
    <w:rsid w:val="781B5430"/>
    <w:rsid w:val="782C8184"/>
    <w:rsid w:val="782CACCA"/>
    <w:rsid w:val="785B5A2B"/>
    <w:rsid w:val="7873037D"/>
    <w:rsid w:val="7890356E"/>
    <w:rsid w:val="78B061CC"/>
    <w:rsid w:val="78B9A533"/>
    <w:rsid w:val="78DE1756"/>
    <w:rsid w:val="78EAB85F"/>
    <w:rsid w:val="78EC0892"/>
    <w:rsid w:val="78FED07C"/>
    <w:rsid w:val="7901569C"/>
    <w:rsid w:val="7903EBD6"/>
    <w:rsid w:val="792C5218"/>
    <w:rsid w:val="792E2E2A"/>
    <w:rsid w:val="7936E39B"/>
    <w:rsid w:val="79656DDE"/>
    <w:rsid w:val="79D83204"/>
    <w:rsid w:val="7A7AFFBB"/>
    <w:rsid w:val="7ADF495D"/>
    <w:rsid w:val="7AE10992"/>
    <w:rsid w:val="7AEE2D27"/>
    <w:rsid w:val="7AEF4BA7"/>
    <w:rsid w:val="7B13ABFC"/>
    <w:rsid w:val="7B9518F8"/>
    <w:rsid w:val="7B99356A"/>
    <w:rsid w:val="7BFE86FC"/>
    <w:rsid w:val="7C60E957"/>
    <w:rsid w:val="7CB0E7CF"/>
    <w:rsid w:val="7CC644EF"/>
    <w:rsid w:val="7CCDAF8C"/>
    <w:rsid w:val="7CD3A29A"/>
    <w:rsid w:val="7CDAA260"/>
    <w:rsid w:val="7CDB4933"/>
    <w:rsid w:val="7CDBF0BA"/>
    <w:rsid w:val="7D150147"/>
    <w:rsid w:val="7D6DEAF6"/>
    <w:rsid w:val="7DFD84AD"/>
    <w:rsid w:val="7E2B306B"/>
    <w:rsid w:val="7E86A9ED"/>
    <w:rsid w:val="7EC04D70"/>
    <w:rsid w:val="7EE8D19E"/>
    <w:rsid w:val="7F0056AA"/>
    <w:rsid w:val="7F0107B6"/>
    <w:rsid w:val="7F288AFF"/>
    <w:rsid w:val="7FACBBC4"/>
    <w:rsid w:val="7FCB00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16DB1F02-5104-47C3-8F2A-E4A2AE05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character" w:styleId="CommentReference">
    <w:name w:val="annotation reference"/>
    <w:basedOn w:val="DefaultParagraphFont"/>
    <w:uiPriority w:val="99"/>
    <w:semiHidden/>
    <w:unhideWhenUsed/>
    <w:rsid w:val="003A4420"/>
    <w:rPr>
      <w:sz w:val="16"/>
      <w:szCs w:val="16"/>
    </w:rPr>
  </w:style>
  <w:style w:type="paragraph" w:styleId="CommentText">
    <w:name w:val="annotation text"/>
    <w:basedOn w:val="Normal"/>
    <w:link w:val="CommentTextChar"/>
    <w:uiPriority w:val="99"/>
    <w:semiHidden/>
    <w:unhideWhenUsed/>
    <w:rsid w:val="003A4420"/>
    <w:pPr>
      <w:spacing w:line="240" w:lineRule="auto"/>
    </w:pPr>
    <w:rPr>
      <w:szCs w:val="20"/>
    </w:rPr>
  </w:style>
  <w:style w:type="character" w:customStyle="1" w:styleId="CommentTextChar">
    <w:name w:val="Comment Text Char"/>
    <w:basedOn w:val="DefaultParagraphFont"/>
    <w:link w:val="CommentText"/>
    <w:uiPriority w:val="99"/>
    <w:semiHidden/>
    <w:rsid w:val="003A442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A4420"/>
    <w:rPr>
      <w:b/>
      <w:bCs/>
    </w:rPr>
  </w:style>
  <w:style w:type="character" w:customStyle="1" w:styleId="CommentSubjectChar">
    <w:name w:val="Comment Subject Char"/>
    <w:basedOn w:val="CommentTextChar"/>
    <w:link w:val="CommentSubject"/>
    <w:uiPriority w:val="99"/>
    <w:semiHidden/>
    <w:rsid w:val="003A4420"/>
    <w:rPr>
      <w:rFonts w:ascii="Arial" w:hAnsi="Arial"/>
      <w:b/>
      <w:bCs/>
      <w:sz w:val="20"/>
      <w:szCs w:val="20"/>
    </w:rPr>
  </w:style>
  <w:style w:type="paragraph" w:styleId="Revision">
    <w:name w:val="Revision"/>
    <w:hidden/>
    <w:uiPriority w:val="99"/>
    <w:semiHidden/>
    <w:rsid w:val="005D17ED"/>
    <w:pPr>
      <w:spacing w:after="0" w:line="240" w:lineRule="auto"/>
    </w:pPr>
    <w:rPr>
      <w:rFonts w:ascii="Arial" w:hAnsi="Arial"/>
      <w:sz w:val="20"/>
    </w:rPr>
  </w:style>
  <w:style w:type="character" w:styleId="Hyperlink">
    <w:name w:val="Hyperlink"/>
    <w:basedOn w:val="DefaultParagraphFont"/>
    <w:uiPriority w:val="99"/>
    <w:unhideWhenUsed/>
    <w:rsid w:val="0891AA5B"/>
    <w:rPr>
      <w:color w:val="467886"/>
      <w:u w:val="single"/>
    </w:rPr>
  </w:style>
  <w:style w:type="character" w:styleId="FollowedHyperlink">
    <w:name w:val="FollowedHyperlink"/>
    <w:basedOn w:val="DefaultParagraphFont"/>
    <w:uiPriority w:val="99"/>
    <w:semiHidden/>
    <w:unhideWhenUsed/>
    <w:rsid w:val="001D5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B525A453-9084-4E4C-8A3E-A9CCD549A6D4}"/>
</file>

<file path=customXml/itemProps3.xml><?xml version="1.0" encoding="utf-8"?>
<ds:datastoreItem xmlns:ds="http://schemas.openxmlformats.org/officeDocument/2006/customXml" ds:itemID="{3AC327E3-F4E1-4361-A5FD-58B05809D0FB}"/>
</file>

<file path=customXml/itemProps4.xml><?xml version="1.0" encoding="utf-8"?>
<ds:datastoreItem xmlns:ds="http://schemas.openxmlformats.org/officeDocument/2006/customXml" ds:itemID="{3BA47A9D-21C4-4413-B297-8F115FDB4B31}"/>
</file>

<file path=docProps/app.xml><?xml version="1.0" encoding="utf-8"?>
<Properties xmlns="http://schemas.openxmlformats.org/officeDocument/2006/extended-properties" xmlns:vt="http://schemas.openxmlformats.org/officeDocument/2006/docPropsVTypes">
  <Template>Normal.dotm</Template>
  <TotalTime>0</TotalTime>
  <Pages>9</Pages>
  <Words>4593</Words>
  <Characters>26183</Characters>
  <Application>Microsoft Office Word</Application>
  <DocSecurity>0</DocSecurity>
  <Lines>218</Lines>
  <Paragraphs>61</Paragraphs>
  <ScaleCrop>false</ScaleCrop>
  <Company>University of Kansas</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Symposium Submission</dc:title>
  <dc:subject/>
  <dc:creator>Hallberg, Lisa K.</dc:creator>
  <cp:keywords/>
  <dc:description/>
  <cp:lastModifiedBy>Lee,Nancy</cp:lastModifiedBy>
  <cp:revision>2</cp:revision>
  <dcterms:created xsi:type="dcterms:W3CDTF">2024-11-05T05:35:00Z</dcterms:created>
  <dcterms:modified xsi:type="dcterms:W3CDTF">2024-11-05T05:35:00Z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