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B0DC" w14:textId="75142C58" w:rsidR="00F01EB9" w:rsidRDefault="00163A52" w:rsidP="009B17A1">
      <w:r>
        <w:rPr>
          <w:b/>
          <w:bCs/>
        </w:rPr>
        <w:t xml:space="preserve">Symposium </w:t>
      </w:r>
      <w:r w:rsidR="009B17A1" w:rsidRPr="007B5928">
        <w:rPr>
          <w:b/>
          <w:bCs/>
        </w:rPr>
        <w:t>Title</w:t>
      </w:r>
      <w:r w:rsidR="009B17A1">
        <w:t xml:space="preserve">: </w:t>
      </w:r>
      <w:r w:rsidR="003622A4" w:rsidRPr="003622A4">
        <w:t>Multi-Method, Multi-Stakeholder Approaches to Advancing Research and Clinical Trial Readiness in Rare Neurogenetic Conditions: A Focus on ASXL-Related Disorders</w:t>
      </w:r>
    </w:p>
    <w:p w14:paraId="7AF660EF" w14:textId="23ACB23D" w:rsidR="00163A52" w:rsidRDefault="00163A52" w:rsidP="009B17A1">
      <w:r>
        <w:rPr>
          <w:b/>
          <w:bCs/>
        </w:rPr>
        <w:t>Chair</w:t>
      </w:r>
      <w:r w:rsidR="009B17A1">
        <w:t xml:space="preserve">: </w:t>
      </w:r>
      <w:r w:rsidR="00B323AE" w:rsidRPr="00B323AE">
        <w:t>Natasha N. Ludwig</w:t>
      </w:r>
      <w:r w:rsidR="00B323AE" w:rsidRPr="00B323AE">
        <w:rPr>
          <w:vertAlign w:val="superscript"/>
        </w:rPr>
        <w:t>1,2</w:t>
      </w:r>
      <w:r w:rsidR="00B323AE" w:rsidRPr="00B323AE">
        <w:t xml:space="preserve"> &amp; Rujuta B. Wilson</w:t>
      </w:r>
      <w:r w:rsidR="00B323AE" w:rsidRPr="00B323AE">
        <w:rPr>
          <w:vertAlign w:val="superscript"/>
        </w:rPr>
        <w:t>3</w:t>
      </w:r>
    </w:p>
    <w:p w14:paraId="623354BE" w14:textId="350DA8AA" w:rsidR="009B17A1" w:rsidRDefault="00163A52" w:rsidP="009B17A1">
      <w:pPr>
        <w:rPr>
          <w:vertAlign w:val="superscript"/>
        </w:rPr>
      </w:pPr>
      <w:r w:rsidRPr="00163A52">
        <w:rPr>
          <w:b/>
          <w:bCs/>
        </w:rPr>
        <w:t>Discussant</w:t>
      </w:r>
      <w:r>
        <w:t xml:space="preserve">: </w:t>
      </w:r>
      <w:r w:rsidR="00533BCC" w:rsidRPr="00533BCC">
        <w:t>Audrey Thurm</w:t>
      </w:r>
      <w:r w:rsidR="00533BCC" w:rsidRPr="00533BCC">
        <w:rPr>
          <w:vertAlign w:val="superscript"/>
        </w:rPr>
        <w:t>4</w:t>
      </w:r>
    </w:p>
    <w:p w14:paraId="6115D606" w14:textId="77777777" w:rsidR="008E3A29" w:rsidRPr="00BB05F3" w:rsidRDefault="008E3A29" w:rsidP="008E3A29">
      <w:pPr>
        <w:spacing w:after="0"/>
        <w:contextualSpacing/>
        <w:rPr>
          <w:rFonts w:eastAsia="Times New Roman"/>
          <w:color w:val="000000"/>
          <w:szCs w:val="20"/>
        </w:rPr>
      </w:pPr>
      <w:r w:rsidRPr="00BB05F3">
        <w:rPr>
          <w:rFonts w:eastAsia="Times New Roman"/>
          <w:color w:val="000000"/>
          <w:szCs w:val="20"/>
        </w:rPr>
        <w:t>1. Center for Neuropsychological and Psychological Assessment, Kennedy Krieger Institute</w:t>
      </w:r>
    </w:p>
    <w:p w14:paraId="1DC09600" w14:textId="77777777" w:rsidR="008E3A29" w:rsidRPr="00BB05F3" w:rsidRDefault="008E3A29" w:rsidP="008E3A29">
      <w:pPr>
        <w:spacing w:after="0"/>
        <w:contextualSpacing/>
        <w:rPr>
          <w:rFonts w:eastAsia="Times New Roman"/>
          <w:color w:val="000000"/>
          <w:szCs w:val="20"/>
        </w:rPr>
      </w:pPr>
      <w:r w:rsidRPr="00BB05F3">
        <w:rPr>
          <w:rFonts w:eastAsia="Times New Roman"/>
          <w:color w:val="000000"/>
          <w:szCs w:val="20"/>
        </w:rPr>
        <w:t>2. Department of Psychiatry and Behavioral Sciences, Johns Hopkins School of Medicine</w:t>
      </w:r>
    </w:p>
    <w:p w14:paraId="00472E1C" w14:textId="77777777" w:rsidR="008E3A29" w:rsidRPr="00BB05F3" w:rsidRDefault="008E3A29" w:rsidP="008E3A29">
      <w:pPr>
        <w:spacing w:after="0"/>
        <w:contextualSpacing/>
        <w:rPr>
          <w:rFonts w:eastAsia="Times New Roman"/>
          <w:color w:val="000000"/>
          <w:szCs w:val="20"/>
        </w:rPr>
      </w:pPr>
      <w:r w:rsidRPr="00BB05F3">
        <w:rPr>
          <w:szCs w:val="20"/>
        </w:rPr>
        <w:t xml:space="preserve">3. </w:t>
      </w:r>
      <w:r w:rsidRPr="00BB05F3">
        <w:rPr>
          <w:rFonts w:eastAsia="Times New Roman"/>
          <w:color w:val="000000"/>
          <w:szCs w:val="20"/>
        </w:rPr>
        <w:t xml:space="preserve">David Geffen School of Medicine, </w:t>
      </w:r>
      <w:r w:rsidRPr="000F578E">
        <w:rPr>
          <w:rFonts w:eastAsia="Times New Roman"/>
          <w:color w:val="000000"/>
        </w:rPr>
        <w:t>University of California</w:t>
      </w:r>
      <w:r>
        <w:rPr>
          <w:rFonts w:eastAsia="Times New Roman"/>
          <w:color w:val="000000"/>
        </w:rPr>
        <w:t>,</w:t>
      </w:r>
      <w:r w:rsidRPr="000F578E">
        <w:rPr>
          <w:rFonts w:eastAsia="Times New Roman"/>
          <w:color w:val="000000"/>
        </w:rPr>
        <w:t xml:space="preserve"> Los Angeles</w:t>
      </w:r>
    </w:p>
    <w:p w14:paraId="17E5AC75" w14:textId="54E735E3" w:rsidR="008E3A29" w:rsidRDefault="008E3A29" w:rsidP="008E3A29">
      <w:pPr>
        <w:spacing w:after="0"/>
        <w:contextualSpacing/>
        <w:rPr>
          <w:rFonts w:eastAsia="Times New Roman"/>
          <w:color w:val="000000"/>
          <w:szCs w:val="20"/>
        </w:rPr>
      </w:pPr>
      <w:r w:rsidRPr="00BB05F3">
        <w:rPr>
          <w:rFonts w:eastAsia="Times New Roman"/>
          <w:color w:val="000000"/>
          <w:szCs w:val="20"/>
        </w:rPr>
        <w:t xml:space="preserve">4. </w:t>
      </w:r>
      <w:r w:rsidRPr="00BB05F3">
        <w:rPr>
          <w:rFonts w:cs="Arial"/>
          <w:szCs w:val="20"/>
        </w:rPr>
        <w:t>Intramural Research Program, National Institute of Mental Health</w:t>
      </w:r>
    </w:p>
    <w:p w14:paraId="5ADBB58B" w14:textId="77777777" w:rsidR="008E3A29" w:rsidRPr="008E3A29" w:rsidRDefault="008E3A29" w:rsidP="008E3A29">
      <w:pPr>
        <w:spacing w:after="0"/>
        <w:contextualSpacing/>
        <w:rPr>
          <w:rFonts w:eastAsia="Times New Roman"/>
          <w:color w:val="000000"/>
          <w:szCs w:val="20"/>
        </w:rPr>
      </w:pPr>
    </w:p>
    <w:p w14:paraId="159E207A" w14:textId="77777777" w:rsidR="00E36570" w:rsidRDefault="00163A52" w:rsidP="00E36570">
      <w:r>
        <w:rPr>
          <w:b/>
          <w:bCs/>
        </w:rPr>
        <w:t>Overview</w:t>
      </w:r>
      <w:r w:rsidR="009B17A1">
        <w:t xml:space="preserve">: </w:t>
      </w:r>
      <w:r w:rsidR="00E36570">
        <w:t xml:space="preserve">The identification of rare monogenic causes of neurodevelopmental disabilities has surged with advances in next-generation sequencing and broader access to genetic testing. This progress has paved the way for the development of novel disease-modifying therapies that address the root cause of these disorders rather than just managing symptoms. To prepare for patient-centered clinical trials that target meaningful outcomes for both patients and families, it is critical to bring together stakeholders, clinicians, and researchers to expand our understanding of the patient experience, natural history, genotype-phenotype relationships, and relevant biomarkers. </w:t>
      </w:r>
    </w:p>
    <w:p w14:paraId="6E50A875" w14:textId="77777777" w:rsidR="00E36570" w:rsidRDefault="00E36570" w:rsidP="00E36570">
      <w:r>
        <w:t>This symposium will explore multiple approaches to build a comprehensive knowledge base around three rare monogenic causes of neurodevelopmental disabilities—ASXL1, ASXL2, and ASXL3—collectively known as ASXL-Related Disorders (ASXL-RDs). These disorders are characterized by intellectual disability, autism spectrum disorder, severe motor impairments, and a range of medical complications including epilepsy, feeding difficulties, respiratory challenges, and vision impairment. Despite their clinical impact, current knowledge of ASXL-RDs is limited to case reports, underscoring the urgent need for richer data on patient experiences, natural history, and genotype-phenotype correlations, as well as the identification of biomarkers.</w:t>
      </w:r>
    </w:p>
    <w:p w14:paraId="4ABF8B67" w14:textId="14B62822" w:rsidR="007B0EBD" w:rsidRPr="001F1F00" w:rsidRDefault="00E36570" w:rsidP="001F1F00">
      <w:r>
        <w:t xml:space="preserve">This symposium, chaired by Drs. Natasha Ludwig (neuropsychologist and sibling of an adult with ASXL3-RD) and Rujuta Wilson (behavioral child neurologist), will highlight multiple methods of qualitative and quantitative patient-experience, behavioral, and brain function data collection. These methods include focus-groups, measures of cognition, language, autism symptoms, motor function, and neurophysiological examination of brain functioning. The symposium will demonstrate how stakeholders—including researchers, clinicians, and patient families—are collaborating to meet shared research goals and ascertain clinically meaningful information about these rare genetic neurodevelopmental disorders. Featured speakers include Amanda Johnson, Executive Director of the ASXL Rare Research Endowment (ARRE) Foundation, Dr. Bianca Russell, PI of the UCLA ASXL Natural History Study (NHS), Sereen Wong, an Autism Science Foundation Fellow working with Dr. Wilson, and Dr. Abigail Dickinson, a neuroscientist. The presenters represent a diverse range of stakeholders and bring experience from longstanding research collaborations with multiple rare disease patient advocacy groups. Through these presentations, we aim to showcase how these partnerships have driven rich, multi-method data collection efforts for ASXL-RDs. Dr. Audrey </w:t>
      </w:r>
      <w:r>
        <w:lastRenderedPageBreak/>
        <w:t>Thurm will discuss how the information shared through this symposium can serve as a model for academics, clinicians, patient groups, and other stakeholders, demonstrating how successful collaboration can lay the groundwork for patient-focused data collection and clinical trial readiness.</w:t>
      </w:r>
    </w:p>
    <w:p w14:paraId="1AB18FF1" w14:textId="00B1ABF4" w:rsidR="00163A52" w:rsidRPr="00163A52" w:rsidRDefault="00163A52" w:rsidP="00163A52">
      <w:pPr>
        <w:jc w:val="center"/>
        <w:rPr>
          <w:b/>
          <w:bCs/>
        </w:rPr>
      </w:pPr>
      <w:r w:rsidRPr="00163A52">
        <w:rPr>
          <w:b/>
          <w:bCs/>
        </w:rPr>
        <w:t xml:space="preserve">Paper 1 of </w:t>
      </w:r>
      <w:r w:rsidR="0064135E">
        <w:rPr>
          <w:b/>
          <w:bCs/>
        </w:rPr>
        <w:t>4</w:t>
      </w:r>
    </w:p>
    <w:p w14:paraId="588074D6" w14:textId="77777777" w:rsidR="009C7130" w:rsidRDefault="00163A52" w:rsidP="00163A52">
      <w:pPr>
        <w:rPr>
          <w:b/>
          <w:bCs/>
        </w:rPr>
      </w:pPr>
      <w:r w:rsidRPr="002A64F0">
        <w:rPr>
          <w:b/>
          <w:bCs/>
        </w:rPr>
        <w:t>Paper Title</w:t>
      </w:r>
      <w:r>
        <w:t xml:space="preserve">: </w:t>
      </w:r>
      <w:r w:rsidR="00FA55CE" w:rsidRPr="0033716F">
        <w:rPr>
          <w:szCs w:val="20"/>
        </w:rPr>
        <w:t xml:space="preserve">The power of a multi-stakeholder steering committee in understanding </w:t>
      </w:r>
      <w:r w:rsidR="00FA55CE">
        <w:rPr>
          <w:szCs w:val="20"/>
        </w:rPr>
        <w:t>family-centered</w:t>
      </w:r>
      <w:r w:rsidR="00FA55CE" w:rsidRPr="0033716F">
        <w:rPr>
          <w:szCs w:val="20"/>
        </w:rPr>
        <w:t xml:space="preserve"> </w:t>
      </w:r>
      <w:r w:rsidR="00FA55CE">
        <w:rPr>
          <w:szCs w:val="20"/>
        </w:rPr>
        <w:t xml:space="preserve">research </w:t>
      </w:r>
      <w:r w:rsidR="00FA55CE" w:rsidRPr="0033716F">
        <w:rPr>
          <w:szCs w:val="20"/>
        </w:rPr>
        <w:t>priorities in ASXL-related disorders</w:t>
      </w:r>
      <w:r w:rsidR="00FA55CE" w:rsidRPr="002A64F0">
        <w:rPr>
          <w:b/>
          <w:bCs/>
        </w:rPr>
        <w:t xml:space="preserve"> </w:t>
      </w:r>
    </w:p>
    <w:p w14:paraId="5B0A67EE" w14:textId="77777777" w:rsidR="00557DCA" w:rsidRDefault="00163A52" w:rsidP="00557DCA">
      <w:pPr>
        <w:rPr>
          <w:vertAlign w:val="superscript"/>
        </w:rPr>
      </w:pPr>
      <w:r w:rsidRPr="002A64F0">
        <w:rPr>
          <w:b/>
          <w:bCs/>
        </w:rPr>
        <w:t>Authors</w:t>
      </w:r>
      <w:r>
        <w:t xml:space="preserve">: </w:t>
      </w:r>
      <w:r w:rsidR="00557DCA" w:rsidRPr="00557DCA">
        <w:t>Amanda Johnson</w:t>
      </w:r>
      <w:r w:rsidR="00557DCA" w:rsidRPr="00557DCA">
        <w:rPr>
          <w:vertAlign w:val="superscript"/>
        </w:rPr>
        <w:t>1</w:t>
      </w:r>
    </w:p>
    <w:p w14:paraId="6F140DD1" w14:textId="5EA82789" w:rsidR="00D6351A" w:rsidRPr="00D6351A" w:rsidRDefault="00D6351A" w:rsidP="00557DCA">
      <w:pPr>
        <w:rPr>
          <w:szCs w:val="20"/>
        </w:rPr>
      </w:pPr>
      <w:r>
        <w:rPr>
          <w:szCs w:val="20"/>
        </w:rPr>
        <w:t xml:space="preserve">1. ASXL Rare Research Endowment Foundation </w:t>
      </w:r>
    </w:p>
    <w:p w14:paraId="7691180B" w14:textId="698E709E" w:rsidR="0030372A" w:rsidRDefault="00163A52" w:rsidP="009B17A1">
      <w:r w:rsidRPr="002A64F0">
        <w:rPr>
          <w:b/>
          <w:bCs/>
        </w:rPr>
        <w:t>Introduction</w:t>
      </w:r>
      <w:r>
        <w:t xml:space="preserve">: </w:t>
      </w:r>
      <w:r w:rsidR="0030372A" w:rsidRPr="0030372A">
        <w:t>Founded in 2018, the ASXL Rare Research Endowment (ARRE) Foundation is a small, family-led patient advocacy organization aiming to improve the quality of life for individuals living with ASXL-RDs through research and education. In 2022, the ARRE Foundation conducted a survey to assess family research priorities to help guide the development of the Foundation’s research strategic plan. This survey received 205 responses from affected families in 28 countries. The top three priority areas that emerged included GI-related symptoms, neurodevelopmental symptoms (specifically, cognition and communication), and behavioral dysregulation. Data and insights from this survey supported a collaboration between the ARRE Foundation and academic researchers to develop a multi-stakeholder project funded by a Eugene Washington PCORI Engagement Stakeholder Convening Award titled, “</w:t>
      </w:r>
      <w:r w:rsidR="0030372A" w:rsidRPr="0030372A">
        <w:rPr>
          <w:i/>
          <w:iCs/>
        </w:rPr>
        <w:t>Defining and Prioritizing Research Questions and Outcome Measures for ASXL-Related Disorders</w:t>
      </w:r>
      <w:r w:rsidR="0030372A" w:rsidRPr="0030372A">
        <w:t>.” The goal of the project was to a) engage caregivers, clinicians, and researchers in further defining the lived experience of families in the three research priority areas via focus groups and b) identify and prioritize specific research questions that are most important to families within these three areas.</w:t>
      </w:r>
    </w:p>
    <w:p w14:paraId="6D5F6721" w14:textId="6A215F09" w:rsidR="00A7139C" w:rsidRPr="0033716F" w:rsidRDefault="00A7139C" w:rsidP="00A7139C">
      <w:pPr>
        <w:rPr>
          <w:rFonts w:eastAsia="Calibri" w:cs="Calibri"/>
          <w:szCs w:val="20"/>
        </w:rPr>
      </w:pPr>
      <w:r w:rsidRPr="0033716F">
        <w:rPr>
          <w:b/>
          <w:bCs/>
          <w:szCs w:val="20"/>
        </w:rPr>
        <w:t xml:space="preserve">Method: </w:t>
      </w:r>
      <w:r w:rsidRPr="0033716F">
        <w:rPr>
          <w:szCs w:val="20"/>
        </w:rPr>
        <w:t xml:space="preserve">The collaborative project was co-led by </w:t>
      </w:r>
      <w:r w:rsidR="00B17A3E">
        <w:rPr>
          <w:szCs w:val="20"/>
        </w:rPr>
        <w:t xml:space="preserve">the ARRE Foundation Executive Director and </w:t>
      </w:r>
      <w:r w:rsidR="00236A86">
        <w:rPr>
          <w:szCs w:val="20"/>
        </w:rPr>
        <w:t>a</w:t>
      </w:r>
      <w:r w:rsidR="00813682">
        <w:rPr>
          <w:szCs w:val="20"/>
        </w:rPr>
        <w:t xml:space="preserve"> clinician</w:t>
      </w:r>
      <w:r w:rsidR="00236A86">
        <w:rPr>
          <w:szCs w:val="20"/>
        </w:rPr>
        <w:t xml:space="preserve"> </w:t>
      </w:r>
      <w:r w:rsidR="00D47264">
        <w:rPr>
          <w:szCs w:val="20"/>
        </w:rPr>
        <w:t>researcher</w:t>
      </w:r>
      <w:r w:rsidRPr="0033716F">
        <w:rPr>
          <w:szCs w:val="20"/>
        </w:rPr>
        <w:t xml:space="preserve"> with guidance from </w:t>
      </w:r>
      <w:r w:rsidRPr="0033716F">
        <w:rPr>
          <w:rFonts w:eastAsia="Calibri" w:cs="Calibri"/>
          <w:szCs w:val="20"/>
        </w:rPr>
        <w:t xml:space="preserve">a steering committee of 15 stakeholders </w:t>
      </w:r>
      <w:r>
        <w:rPr>
          <w:rFonts w:eastAsia="Calibri" w:cs="Calibri"/>
          <w:szCs w:val="20"/>
        </w:rPr>
        <w:t xml:space="preserve">from multiple institutions/regions across the country </w:t>
      </w:r>
      <w:r w:rsidRPr="0033716F">
        <w:rPr>
          <w:rFonts w:eastAsia="Calibri" w:cs="Calibri"/>
          <w:szCs w:val="20"/>
        </w:rPr>
        <w:t xml:space="preserve">called the Topic Group Team (TGT). The TGT included two parent-caregivers from each </w:t>
      </w:r>
      <w:r>
        <w:rPr>
          <w:rFonts w:eastAsia="Calibri" w:cs="Calibri"/>
          <w:szCs w:val="20"/>
        </w:rPr>
        <w:t xml:space="preserve">of the three </w:t>
      </w:r>
      <w:r w:rsidRPr="0033716F">
        <w:rPr>
          <w:rFonts w:eastAsia="Calibri" w:cs="Calibri"/>
          <w:szCs w:val="20"/>
        </w:rPr>
        <w:t>ASXL-RD</w:t>
      </w:r>
      <w:r>
        <w:rPr>
          <w:rFonts w:eastAsia="Calibri" w:cs="Calibri"/>
          <w:szCs w:val="20"/>
        </w:rPr>
        <w:t>s</w:t>
      </w:r>
      <w:r w:rsidRPr="0033716F">
        <w:rPr>
          <w:rFonts w:eastAsia="Calibri" w:cs="Calibri"/>
          <w:szCs w:val="20"/>
        </w:rPr>
        <w:t xml:space="preserve">, three outcomes measure experts, five clinical geneticists with expertise in ASXL-RDs, and two program/project experts. The TGT met monthly from March to June </w:t>
      </w:r>
      <w:r>
        <w:rPr>
          <w:rFonts w:eastAsia="Calibri" w:cs="Calibri"/>
          <w:szCs w:val="20"/>
        </w:rPr>
        <w:t xml:space="preserve">2024 </w:t>
      </w:r>
      <w:r w:rsidRPr="0033716F">
        <w:rPr>
          <w:rFonts w:eastAsia="Calibri" w:cs="Calibri"/>
          <w:szCs w:val="20"/>
        </w:rPr>
        <w:t>to develop a discussion guide for focus groups held in-person at the 2024 ASXL Family Conference in Baltimore, M</w:t>
      </w:r>
      <w:r>
        <w:rPr>
          <w:rFonts w:eastAsia="Calibri" w:cs="Calibri"/>
          <w:szCs w:val="20"/>
        </w:rPr>
        <w:t>D</w:t>
      </w:r>
      <w:r w:rsidRPr="0033716F">
        <w:rPr>
          <w:rFonts w:eastAsia="Calibri" w:cs="Calibri"/>
          <w:szCs w:val="20"/>
        </w:rPr>
        <w:t>. TGT members were compensated and provided travel support to attend the conference; additionally, the project funded 21 needs-based scholarship</w:t>
      </w:r>
      <w:r>
        <w:rPr>
          <w:rFonts w:eastAsia="Calibri" w:cs="Calibri"/>
          <w:szCs w:val="20"/>
        </w:rPr>
        <w:t>s</w:t>
      </w:r>
      <w:r w:rsidRPr="0033716F">
        <w:rPr>
          <w:rFonts w:eastAsia="Calibri" w:cs="Calibri"/>
          <w:szCs w:val="20"/>
        </w:rPr>
        <w:t xml:space="preserve"> to help ASXL families attend the conference to participate in the focus groups. </w:t>
      </w:r>
    </w:p>
    <w:p w14:paraId="000446F1" w14:textId="77777777" w:rsidR="00A7139C" w:rsidRPr="0033716F" w:rsidRDefault="00A7139C" w:rsidP="00A7139C">
      <w:pPr>
        <w:rPr>
          <w:szCs w:val="20"/>
        </w:rPr>
      </w:pPr>
      <w:r w:rsidRPr="0033716F">
        <w:rPr>
          <w:rFonts w:eastAsia="Calibri" w:cs="Calibri"/>
          <w:b/>
          <w:bCs/>
          <w:szCs w:val="20"/>
        </w:rPr>
        <w:t xml:space="preserve">Results: </w:t>
      </w:r>
      <w:r w:rsidRPr="0033716F">
        <w:rPr>
          <w:rFonts w:eastAsia="Calibri" w:cs="Calibri"/>
          <w:szCs w:val="20"/>
        </w:rPr>
        <w:t xml:space="preserve">45 ASXL families attended the conference, including 13 TGT members. </w:t>
      </w:r>
      <w:r>
        <w:rPr>
          <w:rFonts w:eastAsia="Calibri" w:cs="Calibri"/>
          <w:szCs w:val="20"/>
        </w:rPr>
        <w:t>40</w:t>
      </w:r>
      <w:r w:rsidRPr="0033716F">
        <w:rPr>
          <w:rFonts w:eastAsia="Calibri" w:cs="Calibri"/>
          <w:szCs w:val="20"/>
        </w:rPr>
        <w:t xml:space="preserve"> parent-caregivers participated in 15 focus group sessions held over two days. Post-conference observations by the TGT included </w:t>
      </w:r>
      <w:r w:rsidRPr="0033716F">
        <w:rPr>
          <w:szCs w:val="20"/>
        </w:rPr>
        <w:t xml:space="preserve">previously unidentified quality of life challenges and strong family engagement in research activities. Family respondents </w:t>
      </w:r>
      <w:r>
        <w:rPr>
          <w:szCs w:val="20"/>
        </w:rPr>
        <w:t>to</w:t>
      </w:r>
      <w:r w:rsidRPr="0033716F">
        <w:rPr>
          <w:szCs w:val="20"/>
        </w:rPr>
        <w:t xml:space="preserve"> a post-conference survey (N=21) had strong positive feedback about the focus groups including that they were a “therapeutic experience” and “offered rich conversations.” 44% of respondents suggested that the focus groups should </w:t>
      </w:r>
      <w:r w:rsidRPr="0033716F">
        <w:rPr>
          <w:szCs w:val="20"/>
        </w:rPr>
        <w:lastRenderedPageBreak/>
        <w:t>be repeated at a future conference.</w:t>
      </w:r>
      <w:r w:rsidRPr="006646F3">
        <w:rPr>
          <w:szCs w:val="20"/>
        </w:rPr>
        <w:t xml:space="preserve"> </w:t>
      </w:r>
      <w:r w:rsidRPr="0033716F">
        <w:rPr>
          <w:szCs w:val="20"/>
        </w:rPr>
        <w:t>Focus group recordings were transcribed</w:t>
      </w:r>
      <w:r>
        <w:rPr>
          <w:szCs w:val="20"/>
        </w:rPr>
        <w:t xml:space="preserve"> and coded. Preliminary thematic analysis has revealed concerns around limited communication of needs/wants/pain as well as concerns around child safety, both of which spanned across the three priority areas. In depth-thematic analysis is ongoing and results will be presented.</w:t>
      </w:r>
    </w:p>
    <w:p w14:paraId="3F223908" w14:textId="77777777" w:rsidR="00A7139C" w:rsidRPr="0033716F" w:rsidRDefault="00A7139C" w:rsidP="00A7139C">
      <w:pPr>
        <w:rPr>
          <w:rFonts w:eastAsia="Calibri" w:cs="Calibri"/>
          <w:szCs w:val="20"/>
        </w:rPr>
      </w:pPr>
      <w:r w:rsidRPr="0033716F">
        <w:rPr>
          <w:rFonts w:eastAsia="Calibri" w:cs="Calibri"/>
          <w:b/>
          <w:bCs/>
          <w:szCs w:val="20"/>
        </w:rPr>
        <w:t>Discussion:</w:t>
      </w:r>
      <w:r w:rsidRPr="0033716F">
        <w:rPr>
          <w:rFonts w:eastAsia="Calibri" w:cs="Calibri"/>
          <w:szCs w:val="20"/>
        </w:rPr>
        <w:t xml:space="preserve"> This project </w:t>
      </w:r>
      <w:r>
        <w:rPr>
          <w:rFonts w:eastAsia="Calibri" w:cs="Calibri"/>
          <w:szCs w:val="20"/>
        </w:rPr>
        <w:t xml:space="preserve">has </w:t>
      </w:r>
      <w:r w:rsidRPr="0033716F">
        <w:rPr>
          <w:rFonts w:eastAsia="Calibri" w:cs="Calibri"/>
          <w:szCs w:val="20"/>
        </w:rPr>
        <w:t>cultivated a new structure and communication channels for ongoing collaboration between academic researchers</w:t>
      </w:r>
      <w:r>
        <w:rPr>
          <w:rFonts w:eastAsia="Calibri" w:cs="Calibri"/>
          <w:szCs w:val="20"/>
        </w:rPr>
        <w:t>, clinicians</w:t>
      </w:r>
      <w:r w:rsidRPr="0033716F">
        <w:rPr>
          <w:rFonts w:eastAsia="Calibri" w:cs="Calibri"/>
          <w:szCs w:val="20"/>
        </w:rPr>
        <w:t xml:space="preserve"> and the ASXL family community facilitated by the ARRE Foundation</w:t>
      </w:r>
      <w:r>
        <w:rPr>
          <w:rFonts w:eastAsia="Calibri" w:cs="Calibri"/>
          <w:szCs w:val="20"/>
        </w:rPr>
        <w:t xml:space="preserve"> through the development of the TGT and beyond</w:t>
      </w:r>
      <w:r w:rsidRPr="0033716F">
        <w:rPr>
          <w:rFonts w:eastAsia="Calibri" w:cs="Calibri"/>
          <w:szCs w:val="20"/>
        </w:rPr>
        <w:t xml:space="preserve">. </w:t>
      </w:r>
      <w:r>
        <w:rPr>
          <w:rFonts w:eastAsia="Calibri" w:cs="Calibri"/>
          <w:szCs w:val="20"/>
        </w:rPr>
        <w:t>Next steps involve generation of draft</w:t>
      </w:r>
      <w:r w:rsidRPr="0033716F">
        <w:rPr>
          <w:rFonts w:eastAsia="Calibri" w:cs="Calibri"/>
          <w:szCs w:val="20"/>
        </w:rPr>
        <w:t xml:space="preserve"> research questions based on </w:t>
      </w:r>
      <w:r>
        <w:rPr>
          <w:rFonts w:eastAsia="Calibri" w:cs="Calibri"/>
          <w:szCs w:val="20"/>
        </w:rPr>
        <w:t>the themes identified</w:t>
      </w:r>
      <w:r w:rsidRPr="0033716F">
        <w:rPr>
          <w:rFonts w:eastAsia="Calibri" w:cs="Calibri"/>
          <w:szCs w:val="20"/>
        </w:rPr>
        <w:t xml:space="preserve"> from the focus groups</w:t>
      </w:r>
      <w:r>
        <w:rPr>
          <w:rFonts w:eastAsia="Calibri" w:cs="Calibri"/>
          <w:szCs w:val="20"/>
        </w:rPr>
        <w:t xml:space="preserve"> and </w:t>
      </w:r>
      <w:r w:rsidRPr="0033716F">
        <w:rPr>
          <w:rFonts w:eastAsia="Calibri" w:cs="Calibri"/>
          <w:szCs w:val="20"/>
        </w:rPr>
        <w:t>sharing the</w:t>
      </w:r>
      <w:r>
        <w:rPr>
          <w:rFonts w:eastAsia="Calibri" w:cs="Calibri"/>
          <w:szCs w:val="20"/>
        </w:rPr>
        <w:t xml:space="preserve">se draft </w:t>
      </w:r>
      <w:r w:rsidRPr="0033716F">
        <w:rPr>
          <w:rFonts w:eastAsia="Calibri" w:cs="Calibri"/>
          <w:szCs w:val="20"/>
        </w:rPr>
        <w:t xml:space="preserve">research questions with the ASXL community to be prioritized via a </w:t>
      </w:r>
      <w:r>
        <w:rPr>
          <w:rFonts w:eastAsia="Calibri" w:cs="Calibri"/>
          <w:szCs w:val="20"/>
        </w:rPr>
        <w:t>survey</w:t>
      </w:r>
      <w:r w:rsidRPr="0033716F">
        <w:rPr>
          <w:rFonts w:eastAsia="Calibri" w:cs="Calibri"/>
          <w:szCs w:val="20"/>
        </w:rPr>
        <w:t xml:space="preserve"> in January 2025. </w:t>
      </w:r>
      <w:r>
        <w:rPr>
          <w:rFonts w:eastAsia="Calibri" w:cs="Calibri"/>
          <w:szCs w:val="20"/>
        </w:rPr>
        <w:t>Both the themes generated from the focus groups and research question prioritization s</w:t>
      </w:r>
      <w:r w:rsidRPr="0033716F">
        <w:rPr>
          <w:rFonts w:eastAsia="Calibri" w:cs="Calibri"/>
          <w:szCs w:val="20"/>
        </w:rPr>
        <w:t>urvey results will inform the ARRE Foundation’s future investments in research and will guide future endpoint development for these rare disorders.</w:t>
      </w:r>
    </w:p>
    <w:p w14:paraId="53CE437E" w14:textId="13BA9D48" w:rsidR="0098121E" w:rsidRDefault="009B17A1" w:rsidP="0098121E">
      <w:pPr>
        <w:rPr>
          <w:szCs w:val="20"/>
        </w:rPr>
      </w:pPr>
      <w:r w:rsidRPr="007B5928">
        <w:rPr>
          <w:b/>
          <w:bCs/>
        </w:rPr>
        <w:t>References</w:t>
      </w:r>
      <w:r w:rsidR="00515F91">
        <w:rPr>
          <w:b/>
          <w:bCs/>
        </w:rPr>
        <w:t>:</w:t>
      </w:r>
      <w:r>
        <w:t xml:space="preserve"> </w:t>
      </w:r>
      <w:r w:rsidR="0098121E" w:rsidRPr="0033716F">
        <w:rPr>
          <w:szCs w:val="20"/>
        </w:rPr>
        <w:t>Johnson A, Badmaev L, Lopez J, Ordower D, Bichell TJ, Ludwig NN. Building a Research Roadmap for ASXL-related disorders: Determining family research priorities. Poster presented at: National Organization for Rare Disorders (NORD) Breakthrough Summit; October 17-19, 2022; Washington, DC.</w:t>
      </w:r>
    </w:p>
    <w:p w14:paraId="6F13206B" w14:textId="50DD45DE" w:rsidR="0064135E" w:rsidRPr="00163A52" w:rsidRDefault="0064135E" w:rsidP="0098121E">
      <w:pPr>
        <w:jc w:val="center"/>
        <w:rPr>
          <w:b/>
          <w:bCs/>
        </w:rPr>
      </w:pPr>
      <w:r w:rsidRPr="00163A52">
        <w:rPr>
          <w:b/>
          <w:bCs/>
        </w:rPr>
        <w:t xml:space="preserve">Paper </w:t>
      </w:r>
      <w:r>
        <w:rPr>
          <w:b/>
          <w:bCs/>
        </w:rPr>
        <w:t>2</w:t>
      </w:r>
      <w:r w:rsidRPr="00163A52">
        <w:rPr>
          <w:b/>
          <w:bCs/>
        </w:rPr>
        <w:t xml:space="preserve"> of </w:t>
      </w:r>
      <w:r>
        <w:rPr>
          <w:b/>
          <w:bCs/>
        </w:rPr>
        <w:t>4</w:t>
      </w:r>
    </w:p>
    <w:p w14:paraId="7A2F0145" w14:textId="77777777" w:rsidR="003E4C12" w:rsidRDefault="0064135E" w:rsidP="0064135E">
      <w:r w:rsidRPr="002A64F0">
        <w:rPr>
          <w:b/>
          <w:bCs/>
        </w:rPr>
        <w:t>Paper Title</w:t>
      </w:r>
      <w:r>
        <w:t xml:space="preserve">: </w:t>
      </w:r>
      <w:r w:rsidR="003E4C12" w:rsidRPr="003E4C12">
        <w:t xml:space="preserve">Enhancing Research for Rare Neurogenetic Conditions: The Role of a Centralized Patient Registry and Collaborative Data Collection During the ASXL Family Conference </w:t>
      </w:r>
    </w:p>
    <w:p w14:paraId="65F0F191" w14:textId="4F8061A7" w:rsidR="00F01E44" w:rsidRDefault="00C464F6" w:rsidP="00F01E44">
      <w:pPr>
        <w:rPr>
          <w:rFonts w:eastAsia="Times New Roman"/>
          <w:color w:val="000000"/>
        </w:rPr>
      </w:pPr>
      <w:r>
        <w:rPr>
          <w:rFonts w:eastAsia="Times New Roman"/>
          <w:b/>
          <w:bCs/>
          <w:color w:val="000000"/>
        </w:rPr>
        <w:t>Authors:</w:t>
      </w:r>
      <w:r>
        <w:rPr>
          <w:rFonts w:eastAsia="Times New Roman"/>
          <w:color w:val="000000"/>
        </w:rPr>
        <w:t> </w:t>
      </w:r>
      <w:r w:rsidR="00F01E44">
        <w:rPr>
          <w:rFonts w:eastAsia="Times New Roman"/>
          <w:color w:val="000000"/>
        </w:rPr>
        <w:t>Bianca E. Russell</w:t>
      </w:r>
      <w:r w:rsidR="00F01E44" w:rsidRPr="0076633A">
        <w:rPr>
          <w:rFonts w:eastAsia="Times New Roman"/>
          <w:color w:val="000000"/>
          <w:vertAlign w:val="superscript"/>
        </w:rPr>
        <w:t>1</w:t>
      </w:r>
      <w:r w:rsidR="00F01E44">
        <w:rPr>
          <w:rFonts w:eastAsia="Times New Roman"/>
          <w:color w:val="000000"/>
        </w:rPr>
        <w:t>, Julia Sloan</w:t>
      </w:r>
      <w:r w:rsidR="00F01E44" w:rsidRPr="0076633A">
        <w:rPr>
          <w:rFonts w:eastAsia="Times New Roman"/>
          <w:color w:val="000000"/>
          <w:vertAlign w:val="superscript"/>
        </w:rPr>
        <w:t>1</w:t>
      </w:r>
      <w:r w:rsidR="00F01E44">
        <w:rPr>
          <w:rFonts w:eastAsia="Times New Roman"/>
          <w:color w:val="000000"/>
        </w:rPr>
        <w:t>, Rachel Northrup</w:t>
      </w:r>
      <w:r w:rsidR="00F01E44" w:rsidRPr="0076633A">
        <w:rPr>
          <w:rFonts w:eastAsia="Times New Roman"/>
          <w:color w:val="000000"/>
          <w:vertAlign w:val="superscript"/>
        </w:rPr>
        <w:t>2</w:t>
      </w:r>
      <w:r w:rsidR="00F01E44">
        <w:rPr>
          <w:rFonts w:eastAsia="Times New Roman"/>
          <w:color w:val="000000"/>
        </w:rPr>
        <w:t>, Jennea Franklin</w:t>
      </w:r>
      <w:r w:rsidR="00F01E44" w:rsidRPr="0076633A">
        <w:rPr>
          <w:rFonts w:eastAsia="Times New Roman"/>
          <w:color w:val="000000"/>
          <w:vertAlign w:val="superscript"/>
        </w:rPr>
        <w:t>2</w:t>
      </w:r>
      <w:r w:rsidR="00F01E44">
        <w:rPr>
          <w:rFonts w:eastAsia="Times New Roman"/>
          <w:color w:val="000000"/>
        </w:rPr>
        <w:t>, Isabella Capps</w:t>
      </w:r>
      <w:r w:rsidR="00F01E44" w:rsidRPr="0076633A">
        <w:rPr>
          <w:rFonts w:eastAsia="Times New Roman"/>
          <w:color w:val="000000"/>
          <w:vertAlign w:val="superscript"/>
        </w:rPr>
        <w:t>2</w:t>
      </w:r>
      <w:r w:rsidR="00F01E44">
        <w:rPr>
          <w:rFonts w:eastAsia="Times New Roman"/>
          <w:color w:val="000000"/>
        </w:rPr>
        <w:t xml:space="preserve"> &amp; Natasha N. Ludwig</w:t>
      </w:r>
      <w:r w:rsidR="00F01E44" w:rsidRPr="0076633A">
        <w:rPr>
          <w:rFonts w:eastAsia="Times New Roman"/>
          <w:color w:val="000000"/>
          <w:vertAlign w:val="superscript"/>
        </w:rPr>
        <w:t>2,3</w:t>
      </w:r>
    </w:p>
    <w:p w14:paraId="67703299" w14:textId="77777777" w:rsidR="00F01E44" w:rsidRPr="0076633A" w:rsidRDefault="00F01E44" w:rsidP="00F01E44">
      <w:pPr>
        <w:spacing w:after="0"/>
        <w:rPr>
          <w:rFonts w:eastAsia="Times New Roman"/>
          <w:color w:val="000000"/>
        </w:rPr>
      </w:pPr>
      <w:r w:rsidRPr="0076633A">
        <w:rPr>
          <w:rFonts w:eastAsia="Times New Roman"/>
          <w:color w:val="000000"/>
        </w:rPr>
        <w:t>1.</w:t>
      </w:r>
      <w:r>
        <w:rPr>
          <w:rFonts w:eastAsia="Times New Roman"/>
          <w:color w:val="000000"/>
        </w:rPr>
        <w:t xml:space="preserve"> </w:t>
      </w:r>
      <w:bookmarkStart w:id="0" w:name="_Hlk181618168"/>
      <w:r w:rsidRPr="006E73F8">
        <w:rPr>
          <w:rFonts w:eastAsia="Times New Roman"/>
          <w:color w:val="000000"/>
        </w:rPr>
        <w:t>David Geffen School of Medicine, University of California, Los Angeles</w:t>
      </w:r>
    </w:p>
    <w:p w14:paraId="5651F923" w14:textId="77777777" w:rsidR="00F01E44" w:rsidRDefault="00F01E44" w:rsidP="00F01E44">
      <w:pPr>
        <w:spacing w:after="0"/>
        <w:rPr>
          <w:rFonts w:eastAsia="Times New Roman"/>
          <w:color w:val="000000"/>
        </w:rPr>
      </w:pPr>
      <w:r>
        <w:rPr>
          <w:rFonts w:eastAsia="Times New Roman"/>
          <w:color w:val="000000"/>
        </w:rPr>
        <w:t xml:space="preserve">2. </w:t>
      </w:r>
      <w:r w:rsidRPr="006E0300">
        <w:rPr>
          <w:rFonts w:eastAsia="Times New Roman"/>
          <w:color w:val="000000"/>
        </w:rPr>
        <w:t>Center for Neuropsychological and Psychological Assessment, Kennedy Krieger Institute</w:t>
      </w:r>
    </w:p>
    <w:p w14:paraId="1910B15B" w14:textId="3608DD34" w:rsidR="00F01E44" w:rsidRDefault="00F01E44" w:rsidP="00C464F6">
      <w:pPr>
        <w:spacing w:after="0"/>
        <w:rPr>
          <w:rFonts w:eastAsia="Times New Roman"/>
          <w:color w:val="000000"/>
        </w:rPr>
      </w:pPr>
      <w:r>
        <w:rPr>
          <w:rFonts w:eastAsia="Times New Roman"/>
          <w:color w:val="000000"/>
        </w:rPr>
        <w:t xml:space="preserve">3. </w:t>
      </w:r>
      <w:r w:rsidRPr="006E0300">
        <w:rPr>
          <w:rFonts w:eastAsia="Times New Roman"/>
          <w:color w:val="000000"/>
        </w:rPr>
        <w:t>Department of Psychiatry and Behavioral Sciences, Johns Hopkins School of Medicine</w:t>
      </w:r>
      <w:bookmarkEnd w:id="0"/>
    </w:p>
    <w:p w14:paraId="5B2DA6FA" w14:textId="77777777" w:rsidR="00C464F6" w:rsidRPr="00C464F6" w:rsidRDefault="00C464F6" w:rsidP="00C464F6">
      <w:pPr>
        <w:spacing w:after="0"/>
        <w:rPr>
          <w:rFonts w:eastAsia="Times New Roman"/>
          <w:color w:val="000000"/>
        </w:rPr>
      </w:pPr>
    </w:p>
    <w:p w14:paraId="23BFA373" w14:textId="27FFBADF" w:rsidR="00A916FC" w:rsidRDefault="00A916FC" w:rsidP="00A916FC">
      <w:pPr>
        <w:rPr>
          <w:rFonts w:eastAsia="Times New Roman"/>
          <w:color w:val="000000"/>
        </w:rPr>
      </w:pPr>
      <w:r>
        <w:rPr>
          <w:rFonts w:eastAsia="Times New Roman"/>
          <w:b/>
          <w:bCs/>
          <w:color w:val="000000"/>
        </w:rPr>
        <w:t>Introduction:</w:t>
      </w:r>
      <w:r>
        <w:rPr>
          <w:rFonts w:eastAsia="Times New Roman"/>
          <w:color w:val="000000"/>
        </w:rPr>
        <w:t xml:space="preserve"> Investigating rare neurogenetic conditions presents significant challenges, primarily due to small patient populations that hinder the achievement of robust sample sizes. Patient registries are invaluable for centralizing data collection, enabling more </w:t>
      </w:r>
      <w:r w:rsidRPr="00096BFD">
        <w:rPr>
          <w:rFonts w:eastAsia="Times New Roman"/>
          <w:color w:val="000000"/>
        </w:rPr>
        <w:t xml:space="preserve">comprehensive research. The UCLA </w:t>
      </w:r>
      <w:r>
        <w:rPr>
          <w:rFonts w:eastAsia="Times New Roman"/>
          <w:color w:val="000000"/>
        </w:rPr>
        <w:t xml:space="preserve">ASXL </w:t>
      </w:r>
      <w:r w:rsidRPr="00096BFD">
        <w:rPr>
          <w:rFonts w:eastAsia="Times New Roman"/>
          <w:color w:val="000000"/>
        </w:rPr>
        <w:t>Natural History Study (NHS),</w:t>
      </w:r>
      <w:r>
        <w:rPr>
          <w:rFonts w:eastAsia="Times New Roman"/>
          <w:color w:val="000000"/>
        </w:rPr>
        <w:t xml:space="preserve"> initiated in 2018</w:t>
      </w:r>
      <w:r w:rsidR="002E2D54">
        <w:rPr>
          <w:rFonts w:eastAsia="Times New Roman"/>
          <w:color w:val="000000"/>
        </w:rPr>
        <w:t xml:space="preserve">, </w:t>
      </w:r>
      <w:r w:rsidRPr="00096BFD">
        <w:rPr>
          <w:rFonts w:eastAsia="Times New Roman"/>
          <w:color w:val="000000"/>
        </w:rPr>
        <w:t>has enrolled 137 families</w:t>
      </w:r>
      <w:r>
        <w:rPr>
          <w:rFonts w:eastAsia="Times New Roman"/>
          <w:color w:val="000000"/>
        </w:rPr>
        <w:t xml:space="preserve"> across five academic institutions as a multi-site study. Funded by the </w:t>
      </w:r>
      <w:r>
        <w:t>ASXL Rare Research Endowment (ARRE) Foundation</w:t>
      </w:r>
      <w:r>
        <w:rPr>
          <w:rFonts w:eastAsia="Times New Roman"/>
          <w:color w:val="000000"/>
        </w:rPr>
        <w:t>, the NHS is guided by a diverse multi-stakeholder steering committee. To date</w:t>
      </w:r>
      <w:r w:rsidRPr="005F0784">
        <w:rPr>
          <w:rFonts w:eastAsia="Times New Roman"/>
          <w:color w:val="000000"/>
        </w:rPr>
        <w:t>, six studies</w:t>
      </w:r>
      <w:r>
        <w:rPr>
          <w:rFonts w:eastAsia="Times New Roman"/>
          <w:color w:val="000000"/>
        </w:rPr>
        <w:t xml:space="preserve"> have either emerged from or utilized the NHS framework, employing methodologies such as biospecimen collection, electroencephalogram, caregiver surveys, and remote interviews. However, performance-based neurodevelopmental assessments—crucial for understanding neurodevelopmental phenotypes and preparing for clinical trials—have yet to be conducted. This presentation will showcase a collaborative effort leveraging the NHS </w:t>
      </w:r>
      <w:r>
        <w:rPr>
          <w:rFonts w:eastAsia="Times New Roman"/>
          <w:color w:val="000000"/>
        </w:rPr>
        <w:lastRenderedPageBreak/>
        <w:t>infrastructure and the ARRE Foundation’s 2024 ASXL Family Conference at Kennedy Krieger Institute (a NHS site) to collect rich neurodevelopmental data.</w:t>
      </w:r>
    </w:p>
    <w:p w14:paraId="09EE37DD" w14:textId="79AC6A7C" w:rsidR="00A916FC" w:rsidRPr="00FF1602" w:rsidRDefault="00A916FC" w:rsidP="00A916FC">
      <w:pPr>
        <w:rPr>
          <w:szCs w:val="20"/>
        </w:rPr>
      </w:pPr>
      <w:r>
        <w:rPr>
          <w:rFonts w:eastAsia="Times New Roman"/>
          <w:b/>
          <w:bCs/>
          <w:color w:val="000000"/>
        </w:rPr>
        <w:t>Method:</w:t>
      </w:r>
      <w:r>
        <w:rPr>
          <w:rFonts w:eastAsia="Times New Roman"/>
          <w:color w:val="000000"/>
        </w:rPr>
        <w:t xml:space="preserve"> Individuals with </w:t>
      </w:r>
      <w:r>
        <w:rPr>
          <w:szCs w:val="20"/>
        </w:rPr>
        <w:t>ASXL1-Related Disorders (</w:t>
      </w:r>
      <w:r>
        <w:rPr>
          <w:rFonts w:eastAsia="Times New Roman"/>
          <w:color w:val="000000"/>
        </w:rPr>
        <w:t xml:space="preserve">ASXL-RDs) participated in data collection across three research initiatives during the Family Conference: The NHS/Biorepository, the ASXL-Behavioral Phenotyping Study, and the Chromatinopathies and Autism: Motor Phenotyping and Indicators of Neurodevelopment study. To streamline participant experience and minimize burden, the research teams collaborated extensively on data collection and data sharing through the NHS. Participants completed a pre-conference questionnaire to gauge interest in the studies, functioning level to support neurodevelopmental test selection, and logistical preferences to support planning and feasibility (e.g., optimal testing times, attention span). An additional 30-minute pre-conference meeting with families helped to illustrate the connectedness across the three studies, provided further instructions (e.g., what to bring, who should accompany the child to research sessions), and ensured that the study team was prepared to address individual participant requirements (e.g., sensory needs, behavioral supports). The ARRE Foundation provided feedback on all pre-conference surveys and meeting activities to support understanding and relevance for families and to maximize utility for the research team. The conference schedule allowed families to engage in five research sessions including assessment of cognition/communication (3 hours), neurological and motor function (1.5 hours), autism symptomatology (1.5 hours), cortical vision impairment (1.5 hours), and biospecimen collection (30 minutes), alongside caregiver questionnaires (~2 hours) over the four-day conference. Post-conference remote caregiver interviews of adaptive behavior (1.5 hours) and behavioral functioning (1.5 hours) were also conducted. </w:t>
      </w:r>
    </w:p>
    <w:p w14:paraId="12E1DEE6" w14:textId="77777777" w:rsidR="00A916FC" w:rsidRDefault="00A916FC" w:rsidP="00A916FC">
      <w:pPr>
        <w:rPr>
          <w:rFonts w:eastAsia="Times New Roman"/>
          <w:color w:val="000000"/>
        </w:rPr>
      </w:pPr>
      <w:r>
        <w:rPr>
          <w:rFonts w:eastAsia="Times New Roman"/>
          <w:b/>
          <w:bCs/>
          <w:color w:val="000000"/>
        </w:rPr>
        <w:t>Results:</w:t>
      </w:r>
      <w:r>
        <w:rPr>
          <w:rFonts w:eastAsia="Times New Roman"/>
          <w:color w:val="000000"/>
        </w:rPr>
        <w:t xml:space="preserve"> A total of 29 participants (ages 1 to 26 years, M=9.44) with diverse functional abilities (15 non-verbal, 8 non-ambulatory) were enrolled. All individuals, except one, attended the conference with more than one caregiver. Cognitive assessments were successfully conducted for all participants (n=16 </w:t>
      </w:r>
      <w:r w:rsidRPr="003F061F">
        <w:rPr>
          <w:rFonts w:eastAsia="Times New Roman"/>
          <w:color w:val="000000"/>
        </w:rPr>
        <w:t>Bayley Scales of Infant and Toddler Development</w:t>
      </w:r>
      <w:r>
        <w:rPr>
          <w:rFonts w:eastAsia="Times New Roman"/>
          <w:color w:val="000000"/>
        </w:rPr>
        <w:t xml:space="preserve">, Fourth Edition, n=6 </w:t>
      </w:r>
      <w:r w:rsidRPr="00361797">
        <w:rPr>
          <w:rFonts w:eastAsia="Times New Roman"/>
          <w:color w:val="000000"/>
        </w:rPr>
        <w:t>Differential Abilities Scale</w:t>
      </w:r>
      <w:r>
        <w:rPr>
          <w:rFonts w:eastAsia="Times New Roman"/>
          <w:color w:val="000000"/>
        </w:rPr>
        <w:t xml:space="preserve">, Second Edition, n=7 </w:t>
      </w:r>
      <w:r w:rsidRPr="00361797">
        <w:rPr>
          <w:rFonts w:eastAsia="Times New Roman"/>
          <w:color w:val="000000"/>
        </w:rPr>
        <w:t>Wechsler Abbreviated Scale of Intelligence</w:t>
      </w:r>
      <w:r>
        <w:rPr>
          <w:rFonts w:eastAsia="Times New Roman"/>
          <w:color w:val="000000"/>
        </w:rPr>
        <w:t xml:space="preserve">, Second Edition). 28 neuro/motor exams, 21 cortical vision impairment assessments, and 23 autism assessments (n=18 </w:t>
      </w:r>
      <w:r w:rsidRPr="00DD361D">
        <w:rPr>
          <w:rFonts w:eastAsia="Times New Roman"/>
          <w:color w:val="000000"/>
        </w:rPr>
        <w:t>Autism Diagnostic Observation Schedule</w:t>
      </w:r>
      <w:r>
        <w:rPr>
          <w:rFonts w:eastAsia="Times New Roman"/>
          <w:color w:val="000000"/>
        </w:rPr>
        <w:t xml:space="preserve">, Second Edition, n=5 </w:t>
      </w:r>
      <w:r w:rsidRPr="003F061F">
        <w:rPr>
          <w:rFonts w:eastAsia="Times New Roman"/>
          <w:color w:val="000000"/>
        </w:rPr>
        <w:t>Autism Observation Scale for Infants</w:t>
      </w:r>
      <w:r>
        <w:rPr>
          <w:rFonts w:eastAsia="Times New Roman"/>
          <w:color w:val="000000"/>
        </w:rPr>
        <w:t xml:space="preserve">) were completed. All but one family completed the caregiver questionnaires by the end of the conference, and nearly all participated in the two post-conference interviews within 3 months. Feedback from a post-conference survey indicated a highly positive research experience, with an average rating of 5.53 (1=low to 6=high). Positively, the event also led to an increase in NHS participants (n=15). </w:t>
      </w:r>
      <w:r>
        <w:t xml:space="preserve">All data was fed back into the NHS to promote comprehensive characterization on each participant, which is important for clinical trial readiness. Notably, this </w:t>
      </w:r>
      <w:r w:rsidRPr="000F042B">
        <w:t xml:space="preserve">has resulted in longitudinal adaptive functioning data in the NHS for 7 individuals with ASXL1-RD, illustrating the power and potential of data sharing </w:t>
      </w:r>
      <w:r>
        <w:t xml:space="preserve">over time </w:t>
      </w:r>
      <w:r w:rsidRPr="000F042B">
        <w:t>through a centralized data repository in rare neurogenetic conditions.</w:t>
      </w:r>
    </w:p>
    <w:p w14:paraId="61BB8FA3" w14:textId="260B86FD" w:rsidR="0064135E" w:rsidRPr="00A916FC" w:rsidRDefault="00A916FC" w:rsidP="0064135E">
      <w:pPr>
        <w:rPr>
          <w:rFonts w:eastAsia="Times New Roman"/>
          <w:color w:val="000000"/>
        </w:rPr>
      </w:pPr>
      <w:r>
        <w:rPr>
          <w:rFonts w:eastAsia="Times New Roman"/>
          <w:b/>
          <w:bCs/>
          <w:color w:val="000000"/>
        </w:rPr>
        <w:t>Discussion:</w:t>
      </w:r>
      <w:r>
        <w:rPr>
          <w:rFonts w:eastAsia="Times New Roman"/>
          <w:color w:val="000000"/>
        </w:rPr>
        <w:t xml:space="preserve"> This presentation will illustrate the successful collaboration between the ARRE Foundation, UCLA, and the Kennedy Krieger Institute, highlighting the logistics and strategic planning that facilitated this data collection model. Key considerations, including challenges faced and solutions implemented, will be discussed, along with lessons learned regarding the unique needs of participants (e.g., attention span and how this impacted feasibility of data </w:t>
      </w:r>
      <w:r>
        <w:rPr>
          <w:rFonts w:eastAsia="Times New Roman"/>
          <w:color w:val="000000"/>
        </w:rPr>
        <w:lastRenderedPageBreak/>
        <w:t>collection). This collaborative approach will not only advance our understanding of ASXL-RDs and help the community prepare for clinical trials, but also serves as a scalable framework for future research in other rare neurogenetic conditions.</w:t>
      </w:r>
    </w:p>
    <w:p w14:paraId="46304025" w14:textId="51477382" w:rsidR="0064135E" w:rsidRPr="00163A52" w:rsidRDefault="0064135E" w:rsidP="0064135E">
      <w:pPr>
        <w:jc w:val="center"/>
        <w:rPr>
          <w:b/>
          <w:bCs/>
        </w:rPr>
      </w:pPr>
      <w:r w:rsidRPr="00163A52">
        <w:rPr>
          <w:b/>
          <w:bCs/>
        </w:rPr>
        <w:t xml:space="preserve">Paper </w:t>
      </w:r>
      <w:r>
        <w:rPr>
          <w:b/>
          <w:bCs/>
        </w:rPr>
        <w:t>3</w:t>
      </w:r>
      <w:r w:rsidRPr="00163A52">
        <w:rPr>
          <w:b/>
          <w:bCs/>
        </w:rPr>
        <w:t xml:space="preserve"> of </w:t>
      </w:r>
      <w:r>
        <w:rPr>
          <w:b/>
          <w:bCs/>
        </w:rPr>
        <w:t>4</w:t>
      </w:r>
    </w:p>
    <w:p w14:paraId="15C42DC8" w14:textId="3A9ABBB0" w:rsidR="00BB08F5" w:rsidRDefault="00BB08F5" w:rsidP="00BB08F5">
      <w:r>
        <w:rPr>
          <w:b/>
          <w:bCs/>
        </w:rPr>
        <w:t>Paper Title</w:t>
      </w:r>
      <w:r>
        <w:t>: Multi-</w:t>
      </w:r>
      <w:r w:rsidR="000D5C68">
        <w:t>m</w:t>
      </w:r>
      <w:r>
        <w:t xml:space="preserve">odal </w:t>
      </w:r>
      <w:r w:rsidR="000D5C68">
        <w:t>a</w:t>
      </w:r>
      <w:r>
        <w:t xml:space="preserve">pproach to evaluate motor function and autism symptoms in ASXL </w:t>
      </w:r>
      <w:r w:rsidR="000D5C68">
        <w:t>c</w:t>
      </w:r>
      <w:r>
        <w:t>onditions</w:t>
      </w:r>
    </w:p>
    <w:p w14:paraId="221D2162" w14:textId="77777777" w:rsidR="00BB08F5" w:rsidRDefault="00BB08F5" w:rsidP="00BB08F5">
      <w:r>
        <w:rPr>
          <w:b/>
          <w:bCs/>
        </w:rPr>
        <w:t>Authors</w:t>
      </w:r>
      <w:r>
        <w:t>: Sereen Wong</w:t>
      </w:r>
      <w:r>
        <w:rPr>
          <w:rStyle w:val="FootnoteReference"/>
        </w:rPr>
        <w:footnoteReference w:id="1"/>
      </w:r>
      <w:r>
        <w:t>, Sonia Tran</w:t>
      </w:r>
      <w:r>
        <w:rPr>
          <w:vertAlign w:val="superscript"/>
        </w:rPr>
        <w:t>2</w:t>
      </w:r>
      <w:r>
        <w:t>, Laura Dinh</w:t>
      </w:r>
      <w:r>
        <w:rPr>
          <w:vertAlign w:val="superscript"/>
        </w:rPr>
        <w:t>2</w:t>
      </w:r>
      <w:r>
        <w:t>, Jina Song</w:t>
      </w:r>
      <w:r>
        <w:rPr>
          <w:vertAlign w:val="superscript"/>
        </w:rPr>
        <w:t>2</w:t>
      </w:r>
      <w:r>
        <w:t>, Jessica Le</w:t>
      </w:r>
      <w:r>
        <w:rPr>
          <w:vertAlign w:val="superscript"/>
        </w:rPr>
        <w:t>2</w:t>
      </w:r>
      <w:r>
        <w:t>, Sitaram Vangala</w:t>
      </w:r>
      <w:r>
        <w:rPr>
          <w:vertAlign w:val="superscript"/>
        </w:rPr>
        <w:t>3</w:t>
      </w:r>
      <w:r>
        <w:t>, Nicole McDonald</w:t>
      </w:r>
      <w:r>
        <w:rPr>
          <w:vertAlign w:val="superscript"/>
        </w:rPr>
        <w:t>4</w:t>
      </w:r>
      <w:r>
        <w:t>, Rujuta B. Wilson</w:t>
      </w:r>
      <w:r>
        <w:rPr>
          <w:rStyle w:val="FootnoteReference"/>
        </w:rPr>
        <w:t>1</w:t>
      </w:r>
    </w:p>
    <w:p w14:paraId="52966A44" w14:textId="77777777" w:rsidR="00BB08F5" w:rsidRPr="000F578E" w:rsidRDefault="00BB08F5" w:rsidP="00BB08F5">
      <w:pPr>
        <w:pStyle w:val="ListParagraph"/>
        <w:numPr>
          <w:ilvl w:val="0"/>
          <w:numId w:val="1"/>
        </w:numPr>
        <w:spacing w:after="0"/>
        <w:rPr>
          <w:rFonts w:eastAsia="Times New Roman"/>
          <w:color w:val="000000"/>
        </w:rPr>
      </w:pPr>
      <w:r w:rsidRPr="000F578E">
        <w:rPr>
          <w:rFonts w:eastAsia="Times New Roman"/>
          <w:color w:val="000000"/>
        </w:rPr>
        <w:t>David Geffen School of Medicine, University of California</w:t>
      </w:r>
      <w:r>
        <w:rPr>
          <w:rFonts w:eastAsia="Times New Roman"/>
          <w:color w:val="000000"/>
        </w:rPr>
        <w:t>,</w:t>
      </w:r>
      <w:r w:rsidRPr="000F578E">
        <w:rPr>
          <w:rFonts w:eastAsia="Times New Roman"/>
          <w:color w:val="000000"/>
        </w:rPr>
        <w:t xml:space="preserve"> Los Angeles</w:t>
      </w:r>
    </w:p>
    <w:p w14:paraId="6F779F59" w14:textId="77777777" w:rsidR="00BB08F5" w:rsidRDefault="00BB08F5" w:rsidP="00BB08F5">
      <w:pPr>
        <w:pStyle w:val="ListParagraph"/>
        <w:numPr>
          <w:ilvl w:val="0"/>
          <w:numId w:val="1"/>
        </w:numPr>
        <w:spacing w:after="0"/>
      </w:pPr>
      <w:r>
        <w:t>Department of Psychology, University of California, Los Angeles</w:t>
      </w:r>
    </w:p>
    <w:p w14:paraId="5B2901B5" w14:textId="77777777" w:rsidR="00BB08F5" w:rsidRDefault="00BB08F5" w:rsidP="00BB08F5">
      <w:pPr>
        <w:pStyle w:val="ListParagraph"/>
        <w:numPr>
          <w:ilvl w:val="0"/>
          <w:numId w:val="1"/>
        </w:numPr>
        <w:spacing w:after="0"/>
      </w:pPr>
      <w:r>
        <w:t>Department of Medicine, Statistics Core, University of California, Los Angeles</w:t>
      </w:r>
    </w:p>
    <w:p w14:paraId="4F3357A4" w14:textId="77777777" w:rsidR="00BB08F5" w:rsidRDefault="00BB08F5" w:rsidP="00BB08F5">
      <w:pPr>
        <w:pStyle w:val="ListParagraph"/>
        <w:numPr>
          <w:ilvl w:val="0"/>
          <w:numId w:val="1"/>
        </w:numPr>
        <w:spacing w:after="0"/>
      </w:pPr>
      <w:r>
        <w:t>Semel Institute of Neuroscience and Behavior, University of California, Los Angeles</w:t>
      </w:r>
    </w:p>
    <w:p w14:paraId="7FB61514" w14:textId="77777777" w:rsidR="00BB08F5" w:rsidRDefault="00BB08F5" w:rsidP="00BB08F5">
      <w:pPr>
        <w:pStyle w:val="ListParagraph"/>
        <w:spacing w:after="0" w:line="240" w:lineRule="auto"/>
      </w:pPr>
    </w:p>
    <w:p w14:paraId="07538CB1" w14:textId="77777777" w:rsidR="00BB08F5" w:rsidRDefault="00BB08F5" w:rsidP="00BB08F5">
      <w:r>
        <w:rPr>
          <w:b/>
          <w:bCs/>
        </w:rPr>
        <w:t>Introduction</w:t>
      </w:r>
      <w:r>
        <w:t>: ASXL 1, 2, and 3 are a group of homologous genes that each cause a distinct neurodevelopmental disorder</w:t>
      </w:r>
      <w:r w:rsidRPr="000F578E">
        <w:rPr>
          <w:vertAlign w:val="superscript"/>
        </w:rPr>
        <w:t>1-2</w:t>
      </w:r>
      <w:r>
        <w:t>. However, central to these three conditions are a range of motor impairments, including hypo and hypertonia, delayed and atypical gait, intellectual disability and autism symptoms</w:t>
      </w:r>
      <w:r>
        <w:rPr>
          <w:vertAlign w:val="superscript"/>
        </w:rPr>
        <w:t>3</w:t>
      </w:r>
      <w:r>
        <w:t xml:space="preserve">. These conditions are representative of many genetic neurodevelopmental disorders (genetic NDDs) that have similar presentations. Our previous pilot work in ASXL conditions and other genetic NDDS has indicated the limitations in current standardized assessments of motor, with many individuals achieving “floor” effects due to the cognitive level needed to understand how to complete necessary testing items. Additionally, well-established autism spectrum disorder (ASD) screening and diagnostic assessments require individuals to be ambulatory, a milestone that is often achieved after 2 years of age in ASXL conditions and other genetic NDDs. These are important considerations for using tools that can best ascertain variation in motor abilities and autism symptoms in these conditions. Here we present a multi-method approach, including in-person and remote methods, to evaluate motor function and autism symptoms in a representative sample of individuals with ASXL conditions. Ultimately these data can lead to better characterization of motor impairments, autism symptoms, and the relationship of these domains in genetic NDDs. This information is critical to inform clinical monitoring, diagnosis, and the development of outcome measures for burgeoning natural history studies and therapeutic trials in these conditions.  </w:t>
      </w:r>
    </w:p>
    <w:p w14:paraId="2B490F7C" w14:textId="77777777" w:rsidR="00BB08F5" w:rsidRDefault="00BB08F5" w:rsidP="00BB08F5">
      <w:r>
        <w:rPr>
          <w:b/>
          <w:bCs/>
        </w:rPr>
        <w:t>Method</w:t>
      </w:r>
      <w:r>
        <w:t xml:space="preserve">: Data were collected as a part of an ongoing study on chromatin-modifying conditions at UCLA and in conjunction with the </w:t>
      </w:r>
      <w:r>
        <w:rPr>
          <w:rFonts w:eastAsia="Times New Roman"/>
          <w:color w:val="000000"/>
        </w:rPr>
        <w:t>ASXL-Behavioral Phenotyping Study at Kennedy Krieger Institute</w:t>
      </w:r>
      <w:r>
        <w:t xml:space="preserve">. </w:t>
      </w:r>
      <w:r w:rsidRPr="008E3B33">
        <w:t>Autism symptoms were measured</w:t>
      </w:r>
      <w:r>
        <w:t xml:space="preserve"> by the </w:t>
      </w:r>
      <w:r w:rsidRPr="008E3B33">
        <w:t xml:space="preserve">Autism Observation Scale for Infants </w:t>
      </w:r>
      <w:r>
        <w:t>[</w:t>
      </w:r>
      <w:r w:rsidRPr="008E3B33">
        <w:t>AOSI</w:t>
      </w:r>
      <w:r>
        <w:t xml:space="preserve">] </w:t>
      </w:r>
      <w:r w:rsidRPr="00691B2B">
        <w:t>(</w:t>
      </w:r>
      <w:r w:rsidRPr="00C614CE">
        <w:t>n =5, M</w:t>
      </w:r>
      <w:r w:rsidRPr="00C614CE">
        <w:rPr>
          <w:vertAlign w:val="subscript"/>
        </w:rPr>
        <w:t>age</w:t>
      </w:r>
      <w:r w:rsidRPr="00C614CE">
        <w:t xml:space="preserve"> = 26.8 months, SD</w:t>
      </w:r>
      <w:r w:rsidRPr="00C614CE">
        <w:rPr>
          <w:vertAlign w:val="subscript"/>
        </w:rPr>
        <w:t>age</w:t>
      </w:r>
      <w:r w:rsidRPr="00C614CE">
        <w:t xml:space="preserve"> = 15.12)</w:t>
      </w:r>
      <w:r w:rsidRPr="00691B2B">
        <w:t>,</w:t>
      </w:r>
      <w:r>
        <w:t xml:space="preserve"> </w:t>
      </w:r>
      <w:r w:rsidRPr="008E3B33">
        <w:t xml:space="preserve">the Autism Diagnostic Observation Schedule, 2nd Edition </w:t>
      </w:r>
      <w:r>
        <w:t>[</w:t>
      </w:r>
      <w:r w:rsidRPr="008E3B33">
        <w:t>ADOS-2</w:t>
      </w:r>
      <w:r>
        <w:t>]</w:t>
      </w:r>
      <w:r w:rsidRPr="008E3B33">
        <w:t xml:space="preserve"> (n =14</w:t>
      </w:r>
      <w:r>
        <w:t>, M</w:t>
      </w:r>
      <w:r>
        <w:rPr>
          <w:vertAlign w:val="subscript"/>
        </w:rPr>
        <w:t>age</w:t>
      </w:r>
      <w:r>
        <w:t xml:space="preserve"> = 90.14 months, SD</w:t>
      </w:r>
      <w:r>
        <w:rPr>
          <w:vertAlign w:val="subscript"/>
        </w:rPr>
        <w:t>age</w:t>
      </w:r>
      <w:r>
        <w:t xml:space="preserve"> = 34.85</w:t>
      </w:r>
      <w:r w:rsidRPr="008E3B33">
        <w:t>)</w:t>
      </w:r>
      <w:r>
        <w:t>, and remotely using the</w:t>
      </w:r>
      <w:r w:rsidRPr="008E3B33">
        <w:t xml:space="preserve"> Childhood Autism Rating Scale, 2nd Edition </w:t>
      </w:r>
      <w:r>
        <w:t>[</w:t>
      </w:r>
      <w:r w:rsidRPr="008E3B33">
        <w:t>CARS-2</w:t>
      </w:r>
      <w:r>
        <w:t>]</w:t>
      </w:r>
      <w:r w:rsidRPr="008E3B33">
        <w:t xml:space="preserve"> (n=3</w:t>
      </w:r>
      <w:r>
        <w:t>, M</w:t>
      </w:r>
      <w:r w:rsidRPr="00982507">
        <w:rPr>
          <w:vertAlign w:val="subscript"/>
        </w:rPr>
        <w:t>age</w:t>
      </w:r>
      <w:r>
        <w:t xml:space="preserve"> = 43 months, SD</w:t>
      </w:r>
      <w:r>
        <w:rPr>
          <w:vertAlign w:val="subscript"/>
        </w:rPr>
        <w:t>age</w:t>
      </w:r>
      <w:r>
        <w:t xml:space="preserve"> = 13.9</w:t>
      </w:r>
      <w:r w:rsidRPr="008E3B33">
        <w:t>)</w:t>
      </w:r>
      <w:r>
        <w:t>.</w:t>
      </w:r>
      <w:r w:rsidRPr="008E3B33">
        <w:t xml:space="preserve"> Developmental level was evaluated by </w:t>
      </w:r>
      <w:r>
        <w:t>the Bayley Scales of Infant and Toddler Development, 4</w:t>
      </w:r>
      <w:r w:rsidRPr="00982507">
        <w:rPr>
          <w:vertAlign w:val="superscript"/>
        </w:rPr>
        <w:t>th</w:t>
      </w:r>
      <w:r>
        <w:t xml:space="preserve"> Edition [Bayley-IV] (n=6, M</w:t>
      </w:r>
      <w:r>
        <w:rPr>
          <w:vertAlign w:val="subscript"/>
        </w:rPr>
        <w:t xml:space="preserve">age </w:t>
      </w:r>
      <w:r>
        <w:t xml:space="preserve">=79 </w:t>
      </w:r>
      <w:r>
        <w:lastRenderedPageBreak/>
        <w:t>months, SD</w:t>
      </w:r>
      <w:r>
        <w:rPr>
          <w:vertAlign w:val="subscript"/>
        </w:rPr>
        <w:t xml:space="preserve">age </w:t>
      </w:r>
      <w:r>
        <w:t xml:space="preserve">=34.01), the </w:t>
      </w:r>
      <w:r w:rsidRPr="008E3B33">
        <w:t xml:space="preserve">Mullen Scales of Early </w:t>
      </w:r>
      <w:r>
        <w:t>L</w:t>
      </w:r>
      <w:r w:rsidRPr="008E3B33">
        <w:t>earning</w:t>
      </w:r>
      <w:r>
        <w:t xml:space="preserve"> [MSEL] (n=2, M</w:t>
      </w:r>
      <w:r>
        <w:rPr>
          <w:vertAlign w:val="subscript"/>
        </w:rPr>
        <w:t xml:space="preserve">age </w:t>
      </w:r>
      <w:r>
        <w:t>= 43 months, SD</w:t>
      </w:r>
      <w:r>
        <w:rPr>
          <w:vertAlign w:val="subscript"/>
        </w:rPr>
        <w:t>age</w:t>
      </w:r>
      <w:r>
        <w:t xml:space="preserve"> = 29.7)</w:t>
      </w:r>
      <w:r w:rsidRPr="008E3B33">
        <w:t>, the Differential Abilities Scale,</w:t>
      </w:r>
      <w:r>
        <w:t xml:space="preserve"> </w:t>
      </w:r>
      <w:r w:rsidRPr="008E3B33">
        <w:t xml:space="preserve">2nd Edition </w:t>
      </w:r>
      <w:r>
        <w:t>[DAS-II] (n=4, M</w:t>
      </w:r>
      <w:r>
        <w:rPr>
          <w:vertAlign w:val="subscript"/>
        </w:rPr>
        <w:t>age</w:t>
      </w:r>
      <w:r>
        <w:t>=78.5 months, SD</w:t>
      </w:r>
      <w:r>
        <w:rPr>
          <w:vertAlign w:val="subscript"/>
        </w:rPr>
        <w:t>age</w:t>
      </w:r>
      <w:r>
        <w:t xml:space="preserve"> = 17.41), or</w:t>
      </w:r>
      <w:r w:rsidRPr="008E3B33">
        <w:t xml:space="preserve"> </w:t>
      </w:r>
      <w:r>
        <w:t>the Wechsler Abbreviated Scale of Intelligence, 2</w:t>
      </w:r>
      <w:r>
        <w:rPr>
          <w:vertAlign w:val="superscript"/>
        </w:rPr>
        <w:t xml:space="preserve">nd </w:t>
      </w:r>
      <w:r>
        <w:t>Edition [WASI-II] (n=2, M</w:t>
      </w:r>
      <w:r w:rsidRPr="00982507">
        <w:rPr>
          <w:vertAlign w:val="subscript"/>
        </w:rPr>
        <w:t>age</w:t>
      </w:r>
      <w:r>
        <w:t xml:space="preserve"> =126.5 months, SD</w:t>
      </w:r>
      <w:r>
        <w:rPr>
          <w:vertAlign w:val="subscript"/>
        </w:rPr>
        <w:t>age</w:t>
      </w:r>
      <w:r>
        <w:t xml:space="preserve"> = 3.54). Developmental quotients (DQs) were calculated to compare scores across measures. </w:t>
      </w:r>
      <w:r w:rsidRPr="008E3B33">
        <w:t xml:space="preserve">Motor function was measured using the Vineland Adaptive Behavior Scale, 3rd Edition </w:t>
      </w:r>
      <w:r>
        <w:t>[</w:t>
      </w:r>
      <w:r w:rsidRPr="008E3B33">
        <w:t>VABS-III</w:t>
      </w:r>
      <w:r>
        <w:t>]</w:t>
      </w:r>
      <w:r w:rsidRPr="008E3B33">
        <w:t xml:space="preserve"> (n=16</w:t>
      </w:r>
      <w:r>
        <w:t>, M</w:t>
      </w:r>
      <w:r>
        <w:rPr>
          <w:vertAlign w:val="subscript"/>
        </w:rPr>
        <w:t>age</w:t>
      </w:r>
      <w:r>
        <w:t xml:space="preserve"> = 45.75 months, SD</w:t>
      </w:r>
      <w:r>
        <w:rPr>
          <w:vertAlign w:val="subscript"/>
        </w:rPr>
        <w:t>age</w:t>
      </w:r>
      <w:r>
        <w:t xml:space="preserve"> = 18.96</w:t>
      </w:r>
      <w:r w:rsidRPr="008E3B33">
        <w:t>)</w:t>
      </w:r>
      <w:r>
        <w:t>.</w:t>
      </w:r>
      <w:r w:rsidRPr="008E3B33">
        <w:t xml:space="preserve"> </w:t>
      </w:r>
      <w:r>
        <w:t>T</w:t>
      </w:r>
      <w:r w:rsidRPr="008E3B33">
        <w:t xml:space="preserve">he Protokinetics Zeno Pressure sensor walkway was used to evaluate quantitative measures of gait in ambulatory individuals. Participants used a spontaneous self-paced gait and walked at least 4 trials across the 16-foot walkway. Gait trials were averaged and here we present spatiotemporal </w:t>
      </w:r>
      <w:r>
        <w:t>gait variables of pace and v</w:t>
      </w:r>
      <w:r w:rsidRPr="008E3B33">
        <w:t>ariability</w:t>
      </w:r>
      <w:r>
        <w:t>, two measures shown to be atypical in other genetic NDDs</w:t>
      </w:r>
      <w:r w:rsidRPr="008E3B33">
        <w:t>. As a preliminary analysis, we examined the association of gait variables to developmental quotient (DQ)</w:t>
      </w:r>
      <w:r>
        <w:t>, adjusting for age.</w:t>
      </w:r>
      <w:r w:rsidRPr="008E3B33">
        <w:t xml:space="preserve"> </w:t>
      </w:r>
      <w:r>
        <w:t xml:space="preserve">We </w:t>
      </w:r>
      <w:r w:rsidRPr="008E3B33">
        <w:t xml:space="preserve">hypothesized that greater gait variability, lower </w:t>
      </w:r>
      <w:r>
        <w:t>step length and velocity</w:t>
      </w:r>
      <w:r w:rsidRPr="008E3B33">
        <w:t xml:space="preserve"> would be associated with lower DQ scores.  </w:t>
      </w:r>
    </w:p>
    <w:p w14:paraId="2CE3CFD4" w14:textId="77777777" w:rsidR="00BB08F5" w:rsidRDefault="00BB08F5" w:rsidP="00BB08F5">
      <w:r>
        <w:rPr>
          <w:b/>
          <w:bCs/>
        </w:rPr>
        <w:t>Results</w:t>
      </w:r>
      <w:r>
        <w:t xml:space="preserve">: Total scores on the AOSI ranged from 12-21. On ADOS-2 and CARS-2, 16 individuals met cut-offs for ASD, with one child scoring in the non-spectrum range. The ADOS-2 Calibrated Severity Scores (CSS) ranged from 3 to 10 and developmental quotients ranged from 5 to 107. There was a significant association between lower DQ and higher gait variability (p=0.016) and nearing significance for higher DQ and higher step length (p=0.086). There was a non-significant positive relationship between higher velocity and higher DQ (p=0.104). </w:t>
      </w:r>
    </w:p>
    <w:p w14:paraId="3AA8D24E" w14:textId="77777777" w:rsidR="00BB08F5" w:rsidRDefault="00BB08F5" w:rsidP="00BB08F5">
      <w:r>
        <w:rPr>
          <w:b/>
          <w:bCs/>
        </w:rPr>
        <w:t>Discussion</w:t>
      </w:r>
      <w:r>
        <w:t xml:space="preserve">: Our results indicate that a range of ASD screening and diagnostic tools, cognitive assessments, and motor assessments need to be utilized when studying heterogenous manifestations of genetic NDDs. The ADOS-2, a well-established diagnostic measure of ASD, is not valid for use in non-ambulatory individuals. Our team holds expertise in ASD diagnosis and the use of tools outside of typical chronological age ranges, thus we utilized the AOSI to observe autism symptoms through direct tasks for non-ambulatory individuals when it was developmentally appropriate to be utilized. Based on ADOS-2 and CARS-2, 16 out of 17 individuals met clinical cut-offs for ASD, highlighting the prevalence of ASD symptoms in these ASXL conditions, along with potential over-estimation of autism in this cohort based with currently available measures. The large range of DQ scores indicate that ASXL genetic mutations have differential impact on cognition. Lastly, we were able to ascertain granular aspects of gait quality from 14 individuals and as hypothesized found that aspects of gait are related to developmental level. Establishing appropriate measures to evaluate motor function, autism symptoms, and developmental level in these conditions is necessary to inform accurate phenotypes, diagnosis, and clinical management. In addition to this data, at the time of the symposium, our team will discuss limitations and strengths of utilizing different ASD and motor assessments in this population. We will also include the interpretation of ASD diagnoses using a combination of direct standardized assessment, validated caregiver interviews using the Autism Diagnostic Interview-Revised, and a wholistic view of the individual rather than reliance on single diagnostic assessments. </w:t>
      </w:r>
    </w:p>
    <w:p w14:paraId="765B7C2A" w14:textId="05BF6B34" w:rsidR="00BB08F5" w:rsidRPr="00C97E00" w:rsidRDefault="00BB08F5" w:rsidP="00C97E00">
      <w:pPr>
        <w:rPr>
          <w:szCs w:val="20"/>
        </w:rPr>
      </w:pPr>
      <w:r w:rsidRPr="0033716F">
        <w:rPr>
          <w:b/>
          <w:bCs/>
          <w:szCs w:val="20"/>
        </w:rPr>
        <w:t>References</w:t>
      </w:r>
      <w:r w:rsidR="00C97E00">
        <w:rPr>
          <w:b/>
          <w:bCs/>
          <w:szCs w:val="20"/>
        </w:rPr>
        <w:t>:</w:t>
      </w:r>
      <w:r w:rsidRPr="0033716F">
        <w:rPr>
          <w:szCs w:val="20"/>
        </w:rPr>
        <w:t xml:space="preserve"> </w:t>
      </w:r>
      <w:r w:rsidR="00C97E00">
        <w:rPr>
          <w:szCs w:val="20"/>
        </w:rPr>
        <w:t xml:space="preserve"> </w:t>
      </w:r>
      <w:r w:rsidRPr="00C97E00">
        <w:rPr>
          <w:rFonts w:cs="Arial"/>
          <w:shd w:val="clear" w:color="auto" w:fill="FFFFFF"/>
        </w:rPr>
        <w:t>Russell BE, Kianmahd RR, Munster C, Yu A, Ahad L, Tan WH. Clinical findings in 39 individuals with Bohring-Opitz syndrome from a global patient-driven registry with implications for tumor surveillance and recurrence risk.</w:t>
      </w:r>
      <w:r w:rsidRPr="00C97E00">
        <w:rPr>
          <w:rStyle w:val="apple-converted-space"/>
          <w:rFonts w:cs="Arial"/>
          <w:shd w:val="clear" w:color="auto" w:fill="FFFFFF"/>
        </w:rPr>
        <w:t> </w:t>
      </w:r>
      <w:r w:rsidRPr="00C97E00">
        <w:rPr>
          <w:rFonts w:cs="Arial"/>
          <w:i/>
          <w:iCs/>
        </w:rPr>
        <w:t>Am J Med Genet A</w:t>
      </w:r>
      <w:r w:rsidRPr="00C97E00">
        <w:rPr>
          <w:rFonts w:cs="Arial"/>
          <w:shd w:val="clear" w:color="auto" w:fill="FFFFFF"/>
        </w:rPr>
        <w:t>. 2023;191(4):1050-1058. doi:10.1002/ajmg.a.63125</w:t>
      </w:r>
    </w:p>
    <w:p w14:paraId="2EB74E2C" w14:textId="77777777" w:rsidR="00BB08F5" w:rsidRPr="00C97E00" w:rsidRDefault="00BB08F5" w:rsidP="00C97E00">
      <w:pPr>
        <w:spacing w:after="0"/>
        <w:rPr>
          <w:rFonts w:cs="Arial"/>
          <w:szCs w:val="20"/>
        </w:rPr>
      </w:pPr>
      <w:r w:rsidRPr="00C97E00">
        <w:rPr>
          <w:rFonts w:cs="Arial"/>
          <w:shd w:val="clear" w:color="auto" w:fill="FFFFFF"/>
        </w:rPr>
        <w:lastRenderedPageBreak/>
        <w:t>Schirwani S, Albaba S, Carere DA, et al. Expanding the phenotype of ASXL3-related syndrome: A comprehensive description of 45 unpublished individuals with inherited and de novo pathogenic variants in ASXL3 [published correction appears in Am J Med Genet A. 2023 Jan;191(1):310. doi: 10.1002/ajmg.a.62993].</w:t>
      </w:r>
      <w:r w:rsidRPr="00C97E00">
        <w:rPr>
          <w:rStyle w:val="apple-converted-space"/>
          <w:rFonts w:cs="Arial"/>
          <w:shd w:val="clear" w:color="auto" w:fill="FFFFFF"/>
        </w:rPr>
        <w:t> </w:t>
      </w:r>
      <w:r w:rsidRPr="00C97E00">
        <w:rPr>
          <w:rFonts w:cs="Arial"/>
          <w:i/>
          <w:iCs/>
        </w:rPr>
        <w:t>Am J Med Genet A</w:t>
      </w:r>
      <w:r w:rsidRPr="00C97E00">
        <w:rPr>
          <w:rFonts w:cs="Arial"/>
          <w:shd w:val="clear" w:color="auto" w:fill="FFFFFF"/>
        </w:rPr>
        <w:t>. 2021;185(11):3446-3458. doi:10.1002/ajmg.a.62465</w:t>
      </w:r>
    </w:p>
    <w:p w14:paraId="2BC3F7F0" w14:textId="77777777" w:rsidR="00C97E00" w:rsidRDefault="00C97E00" w:rsidP="00C97E00">
      <w:pPr>
        <w:spacing w:after="0"/>
        <w:rPr>
          <w:rFonts w:cs="Arial"/>
          <w:shd w:val="clear" w:color="auto" w:fill="FFFFFF"/>
        </w:rPr>
      </w:pPr>
    </w:p>
    <w:p w14:paraId="493EABA6" w14:textId="7FF316F0" w:rsidR="00BB08F5" w:rsidRDefault="00BB08F5" w:rsidP="00C97E00">
      <w:pPr>
        <w:spacing w:after="0"/>
        <w:rPr>
          <w:rFonts w:cs="Arial"/>
          <w:shd w:val="clear" w:color="auto" w:fill="FFFFFF"/>
        </w:rPr>
      </w:pPr>
      <w:r w:rsidRPr="00C97E00">
        <w:rPr>
          <w:rFonts w:cs="Arial"/>
          <w:shd w:val="clear" w:color="auto" w:fill="FFFFFF"/>
        </w:rPr>
        <w:t>Ayoub MC, Anderson JT, Russell BE, Wilson RB. Examining the neurodevelopmental and motor phenotypes of Bohring-Opitz syndrome (ASXL1) and Bainbridge-Ropers syndrome (ASXL3).</w:t>
      </w:r>
      <w:r w:rsidRPr="00C97E00">
        <w:rPr>
          <w:rStyle w:val="apple-converted-space"/>
          <w:rFonts w:cs="Arial"/>
          <w:shd w:val="clear" w:color="auto" w:fill="FFFFFF"/>
        </w:rPr>
        <w:t> </w:t>
      </w:r>
      <w:r w:rsidRPr="00C97E00">
        <w:rPr>
          <w:rFonts w:cs="Arial"/>
          <w:i/>
          <w:iCs/>
        </w:rPr>
        <w:t>Front Neurosci</w:t>
      </w:r>
      <w:r w:rsidRPr="00C97E00">
        <w:rPr>
          <w:rFonts w:cs="Arial"/>
          <w:shd w:val="clear" w:color="auto" w:fill="FFFFFF"/>
        </w:rPr>
        <w:t>. 2023;17:1244176. Published 2023 Nov 6. doi:10.3389/fnins.2023.1244176</w:t>
      </w:r>
    </w:p>
    <w:p w14:paraId="7DE7E573" w14:textId="77777777" w:rsidR="0025258E" w:rsidRPr="00C97E00" w:rsidRDefault="0025258E" w:rsidP="00C97E00">
      <w:pPr>
        <w:spacing w:after="0"/>
        <w:rPr>
          <w:rFonts w:cs="Arial"/>
          <w:szCs w:val="20"/>
        </w:rPr>
      </w:pPr>
    </w:p>
    <w:p w14:paraId="3D273325" w14:textId="5497499B" w:rsidR="0064135E" w:rsidRPr="00163A52" w:rsidRDefault="0064135E" w:rsidP="0064135E">
      <w:pPr>
        <w:jc w:val="center"/>
        <w:rPr>
          <w:b/>
          <w:bCs/>
        </w:rPr>
      </w:pPr>
      <w:r w:rsidRPr="00163A52">
        <w:rPr>
          <w:b/>
          <w:bCs/>
        </w:rPr>
        <w:t xml:space="preserve">Paper </w:t>
      </w:r>
      <w:r>
        <w:rPr>
          <w:b/>
          <w:bCs/>
        </w:rPr>
        <w:t>4</w:t>
      </w:r>
      <w:r w:rsidRPr="00163A52">
        <w:rPr>
          <w:b/>
          <w:bCs/>
        </w:rPr>
        <w:t xml:space="preserve"> of </w:t>
      </w:r>
      <w:r>
        <w:rPr>
          <w:b/>
          <w:bCs/>
        </w:rPr>
        <w:t>4</w:t>
      </w:r>
    </w:p>
    <w:p w14:paraId="3D7EAAAF" w14:textId="77777777" w:rsidR="00226F0F" w:rsidRPr="0033716F" w:rsidRDefault="00226F0F" w:rsidP="00226F0F">
      <w:pPr>
        <w:rPr>
          <w:szCs w:val="20"/>
        </w:rPr>
      </w:pPr>
      <w:r w:rsidRPr="0033716F">
        <w:rPr>
          <w:b/>
          <w:bCs/>
          <w:szCs w:val="20"/>
        </w:rPr>
        <w:t>Paper Title</w:t>
      </w:r>
      <w:r w:rsidRPr="0033716F">
        <w:rPr>
          <w:szCs w:val="20"/>
        </w:rPr>
        <w:t xml:space="preserve">: Quantitative EEG Reveals Atypical Spectral Profiles in </w:t>
      </w:r>
      <w:r>
        <w:rPr>
          <w:szCs w:val="20"/>
        </w:rPr>
        <w:t>ASXL1-Related Disorder</w:t>
      </w:r>
    </w:p>
    <w:p w14:paraId="3F66C8D3" w14:textId="77777777" w:rsidR="00226F0F" w:rsidRDefault="00226F0F" w:rsidP="00226F0F">
      <w:pPr>
        <w:rPr>
          <w:szCs w:val="20"/>
          <w:vertAlign w:val="superscript"/>
        </w:rPr>
      </w:pPr>
      <w:r w:rsidRPr="0033716F">
        <w:rPr>
          <w:b/>
          <w:bCs/>
          <w:szCs w:val="20"/>
        </w:rPr>
        <w:t>Authors</w:t>
      </w:r>
      <w:r w:rsidRPr="0033716F">
        <w:rPr>
          <w:szCs w:val="20"/>
        </w:rPr>
        <w:t>: Abigail Dickinson</w:t>
      </w:r>
      <w:r>
        <w:rPr>
          <w:szCs w:val="20"/>
          <w:vertAlign w:val="superscript"/>
        </w:rPr>
        <w:t>1</w:t>
      </w:r>
      <w:r w:rsidRPr="005F0153">
        <w:t xml:space="preserve"> </w:t>
      </w:r>
      <w:r w:rsidRPr="005F0153">
        <w:rPr>
          <w:szCs w:val="20"/>
        </w:rPr>
        <w:t>Hiroki</w:t>
      </w:r>
      <w:r>
        <w:rPr>
          <w:szCs w:val="20"/>
        </w:rPr>
        <w:t xml:space="preserve"> Nariai</w:t>
      </w:r>
      <w:r w:rsidRPr="0018771C">
        <w:rPr>
          <w:szCs w:val="20"/>
          <w:vertAlign w:val="superscript"/>
        </w:rPr>
        <w:t>2</w:t>
      </w:r>
      <w:r w:rsidRPr="005F0153">
        <w:rPr>
          <w:szCs w:val="20"/>
        </w:rPr>
        <w:t xml:space="preserve">, </w:t>
      </w:r>
      <w:r>
        <w:rPr>
          <w:szCs w:val="20"/>
        </w:rPr>
        <w:t xml:space="preserve">Rosanna </w:t>
      </w:r>
      <w:r w:rsidRPr="005F0153">
        <w:rPr>
          <w:szCs w:val="20"/>
        </w:rPr>
        <w:t>Weksberg</w:t>
      </w:r>
      <w:r w:rsidRPr="000A342B">
        <w:rPr>
          <w:szCs w:val="20"/>
          <w:vertAlign w:val="superscript"/>
        </w:rPr>
        <w:t>3</w:t>
      </w:r>
      <w:r w:rsidRPr="005F0153">
        <w:rPr>
          <w:szCs w:val="20"/>
        </w:rPr>
        <w:t xml:space="preserve">, </w:t>
      </w:r>
      <w:r>
        <w:rPr>
          <w:szCs w:val="20"/>
        </w:rPr>
        <w:t xml:space="preserve">Natasha N. </w:t>
      </w:r>
      <w:r w:rsidRPr="005F0153">
        <w:rPr>
          <w:szCs w:val="20"/>
        </w:rPr>
        <w:t>Ludwig</w:t>
      </w:r>
      <w:r w:rsidRPr="000A342B">
        <w:rPr>
          <w:szCs w:val="20"/>
          <w:vertAlign w:val="superscript"/>
        </w:rPr>
        <w:t>4</w:t>
      </w:r>
      <w:r>
        <w:rPr>
          <w:szCs w:val="20"/>
          <w:vertAlign w:val="superscript"/>
        </w:rPr>
        <w:t>,5</w:t>
      </w:r>
      <w:r w:rsidRPr="005F0153">
        <w:rPr>
          <w:szCs w:val="20"/>
        </w:rPr>
        <w:t xml:space="preserve">, </w:t>
      </w:r>
      <w:r>
        <w:rPr>
          <w:szCs w:val="20"/>
        </w:rPr>
        <w:t xml:space="preserve">Bianca E. </w:t>
      </w:r>
      <w:r w:rsidRPr="005F0153">
        <w:rPr>
          <w:szCs w:val="20"/>
        </w:rPr>
        <w:t>Russell</w:t>
      </w:r>
      <w:r w:rsidRPr="00A34D4C">
        <w:rPr>
          <w:szCs w:val="20"/>
          <w:vertAlign w:val="superscript"/>
        </w:rPr>
        <w:t>2</w:t>
      </w:r>
    </w:p>
    <w:p w14:paraId="65332AE8" w14:textId="77777777" w:rsidR="00226F0F" w:rsidRPr="00E4005A" w:rsidRDefault="00226F0F" w:rsidP="00226F0F">
      <w:pPr>
        <w:pStyle w:val="ListParagraph"/>
        <w:numPr>
          <w:ilvl w:val="0"/>
          <w:numId w:val="3"/>
        </w:numPr>
        <w:rPr>
          <w:szCs w:val="20"/>
        </w:rPr>
      </w:pPr>
      <w:r w:rsidRPr="006F72D5">
        <w:rPr>
          <w:szCs w:val="20"/>
        </w:rPr>
        <w:t>Semel Institute of Neuroscience and Behavior</w:t>
      </w:r>
      <w:r w:rsidRPr="00E4005A">
        <w:rPr>
          <w:szCs w:val="20"/>
        </w:rPr>
        <w:t>, University of California, Los Angeles</w:t>
      </w:r>
    </w:p>
    <w:p w14:paraId="7701E177" w14:textId="77777777" w:rsidR="00226F0F" w:rsidRDefault="00226F0F" w:rsidP="00226F0F">
      <w:pPr>
        <w:pStyle w:val="ListParagraph"/>
        <w:numPr>
          <w:ilvl w:val="0"/>
          <w:numId w:val="3"/>
        </w:numPr>
        <w:rPr>
          <w:szCs w:val="20"/>
        </w:rPr>
      </w:pPr>
      <w:r w:rsidRPr="00E4005A">
        <w:rPr>
          <w:szCs w:val="20"/>
        </w:rPr>
        <w:t>David Geffen School of Medicine, University of California, Los Angeles</w:t>
      </w:r>
    </w:p>
    <w:p w14:paraId="1E33949C" w14:textId="77777777" w:rsidR="00226F0F" w:rsidRDefault="00226F0F" w:rsidP="00226F0F">
      <w:pPr>
        <w:pStyle w:val="ListParagraph"/>
        <w:numPr>
          <w:ilvl w:val="0"/>
          <w:numId w:val="3"/>
        </w:numPr>
        <w:rPr>
          <w:szCs w:val="20"/>
        </w:rPr>
      </w:pPr>
      <w:r>
        <w:rPr>
          <w:szCs w:val="20"/>
        </w:rPr>
        <w:t>Research Institute, Hospital for Sick Children</w:t>
      </w:r>
    </w:p>
    <w:p w14:paraId="3BD8DA3F" w14:textId="77777777" w:rsidR="00226F0F" w:rsidRDefault="00226F0F" w:rsidP="00226F0F">
      <w:pPr>
        <w:pStyle w:val="ListParagraph"/>
        <w:numPr>
          <w:ilvl w:val="0"/>
          <w:numId w:val="3"/>
        </w:numPr>
        <w:spacing w:after="0"/>
        <w:rPr>
          <w:rFonts w:eastAsia="Times New Roman"/>
          <w:color w:val="000000"/>
        </w:rPr>
      </w:pPr>
      <w:r w:rsidRPr="002E552D">
        <w:rPr>
          <w:rFonts w:eastAsia="Times New Roman"/>
          <w:color w:val="000000"/>
        </w:rPr>
        <w:t>Center for Neuropsychological and Psychological Assessment, Kennedy Krieger Institute</w:t>
      </w:r>
    </w:p>
    <w:p w14:paraId="093977DC" w14:textId="77777777" w:rsidR="00226F0F" w:rsidRDefault="00226F0F" w:rsidP="00226F0F">
      <w:pPr>
        <w:pStyle w:val="ListParagraph"/>
        <w:numPr>
          <w:ilvl w:val="0"/>
          <w:numId w:val="3"/>
        </w:numPr>
        <w:spacing w:after="0"/>
        <w:rPr>
          <w:rFonts w:eastAsia="Times New Roman"/>
          <w:color w:val="000000"/>
        </w:rPr>
      </w:pPr>
      <w:r w:rsidRPr="00604C66">
        <w:rPr>
          <w:rFonts w:eastAsia="Times New Roman"/>
          <w:color w:val="000000"/>
        </w:rPr>
        <w:t>Department of Psychiatry and Behavioral Sciences, Johns Hopkins School of Medicine</w:t>
      </w:r>
    </w:p>
    <w:p w14:paraId="7CB7E5A5" w14:textId="77777777" w:rsidR="00226F0F" w:rsidRPr="005B545C" w:rsidRDefault="00226F0F" w:rsidP="00226F0F">
      <w:pPr>
        <w:pStyle w:val="ListParagraph"/>
        <w:spacing w:after="0" w:line="240" w:lineRule="auto"/>
        <w:rPr>
          <w:rFonts w:eastAsia="Times New Roman"/>
          <w:color w:val="000000"/>
        </w:rPr>
      </w:pPr>
    </w:p>
    <w:p w14:paraId="35F1EA05" w14:textId="77777777" w:rsidR="00226F0F" w:rsidRDefault="00226F0F" w:rsidP="00226F0F">
      <w:r>
        <w:rPr>
          <w:b/>
          <w:bCs/>
          <w:szCs w:val="20"/>
        </w:rPr>
        <w:t>Introduction</w:t>
      </w:r>
      <w:r>
        <w:t>: Electroencephalogram (</w:t>
      </w:r>
      <w:r w:rsidRPr="00884651">
        <w:t>EEG</w:t>
      </w:r>
      <w:r>
        <w:t>)</w:t>
      </w:r>
      <w:r w:rsidRPr="00884651">
        <w:t xml:space="preserve"> is a powerful tool for analyzing atypical developmental trajectories in neurodevelopmental disorders like</w:t>
      </w:r>
      <w:r>
        <w:t xml:space="preserve"> </w:t>
      </w:r>
      <w:r w:rsidRPr="00926B43">
        <w:t>ASXL1-Related Disorder</w:t>
      </w:r>
      <w:r>
        <w:t xml:space="preserve"> (ASXL1-RD)</w:t>
      </w:r>
      <w:r w:rsidRPr="00884651">
        <w:t>.</w:t>
      </w:r>
      <w:r w:rsidRPr="004B42A8">
        <w:rPr>
          <w:rFonts w:ascii="-webkit-standard" w:hAnsi="-webkit-standard"/>
          <w:color w:val="000000"/>
          <w:sz w:val="27"/>
          <w:szCs w:val="27"/>
        </w:rPr>
        <w:t xml:space="preserve"> </w:t>
      </w:r>
      <w:r w:rsidRPr="004B42A8">
        <w:t xml:space="preserve">By capturing patterns of neural oscillations, EEG </w:t>
      </w:r>
      <w:r>
        <w:t>provides insights into</w:t>
      </w:r>
      <w:r w:rsidRPr="004B42A8">
        <w:t xml:space="preserve"> circuit functions essential for higher-order cognitive processes, including memory, attention, and executive function. </w:t>
      </w:r>
      <w:r>
        <w:t xml:space="preserve">As such, </w:t>
      </w:r>
      <w:r w:rsidRPr="004B42A8">
        <w:t>EEG metrics can track the functional organization of neural circuits and detect deviations from typical developmental trajectories. This study examines oscillatory characteristics extracted from EEG data in children with BOS to understand age-related trends in spectral profiles and their relationships with behavioral measures.</w:t>
      </w:r>
    </w:p>
    <w:p w14:paraId="1CAB9E0E" w14:textId="2C68B1B0" w:rsidR="00226F0F" w:rsidRDefault="00226F0F" w:rsidP="00226F0F">
      <w:r w:rsidRPr="000B29F1">
        <w:rPr>
          <w:b/>
          <w:bCs/>
        </w:rPr>
        <w:t>Method:</w:t>
      </w:r>
      <w:r>
        <w:t xml:space="preserve"> </w:t>
      </w:r>
      <w:r w:rsidRPr="001B5477">
        <w:t>EEG data were collected from 26 children diagnosed with</w:t>
      </w:r>
      <w:r>
        <w:t xml:space="preserve"> ASXL1-RD</w:t>
      </w:r>
      <w:r w:rsidRPr="001B5477">
        <w:t xml:space="preserve">, with an average age of 7.07 years (SD = 3.90; range = 1.17–14.92). Participants were identified through the UCLA </w:t>
      </w:r>
      <w:r>
        <w:t>Natural History Study (NHS)</w:t>
      </w:r>
      <w:r w:rsidRPr="001B5477">
        <w:t xml:space="preserve"> and were geographically distributed across the United States</w:t>
      </w:r>
      <w:r>
        <w:t xml:space="preserve"> and Canada.</w:t>
      </w:r>
      <w:r w:rsidRPr="00D83BBB">
        <w:t xml:space="preserve"> </w:t>
      </w:r>
      <w:r>
        <w:t>P</w:t>
      </w:r>
      <w:r w:rsidRPr="00D83BBB">
        <w:t>athogenicity of variants</w:t>
      </w:r>
      <w:r>
        <w:t xml:space="preserve"> was confirmed </w:t>
      </w:r>
      <w:r w:rsidRPr="00D83BBB">
        <w:t>with methylation signature data</w:t>
      </w:r>
      <w:r>
        <w:t xml:space="preserve"> for inclusion.</w:t>
      </w:r>
      <w:r w:rsidRPr="001B5477">
        <w:t xml:space="preserve"> EEG recordings, conducted in participants' homes using a 21-channel clinical montage, included standard clinical protocols with hyperventilation, photic stimulation, and rest. Task-free periods were used to examine resting-state EEG, with data filtered (1–50 Hz) and inspected to remove artifacts. </w:t>
      </w:r>
      <w:r>
        <w:t xml:space="preserve">EEGs were reviewed for clinical features. </w:t>
      </w:r>
      <w:r w:rsidRPr="001B5477">
        <w:t xml:space="preserve">Spectral power was extracted across canonical frequency bands (delta, theta, alpha, beta, and gamma) within frontal, central, and occipital regions, and peak alpha frequency (PAF) was calculated as the dominant frequency within the alpha range (6–12 Hz). Multiple linear regression models were used to examine relationships between EEG metrics, age, and </w:t>
      </w:r>
      <w:r>
        <w:t>neurodevelopmental abilities</w:t>
      </w:r>
      <w:r w:rsidRPr="00552BCB">
        <w:t xml:space="preserve"> </w:t>
      </w:r>
      <w:r>
        <w:t xml:space="preserve">(i.e., </w:t>
      </w:r>
      <w:r w:rsidRPr="001B5477">
        <w:t>Developmental Profile</w:t>
      </w:r>
      <w:r>
        <w:t>, Fourth Edition</w:t>
      </w:r>
      <w:r w:rsidRPr="001B5477">
        <w:t xml:space="preserve"> </w:t>
      </w:r>
      <w:r>
        <w:lastRenderedPageBreak/>
        <w:t>C</w:t>
      </w:r>
      <w:r w:rsidRPr="001B5477">
        <w:t xml:space="preserve">ognitive </w:t>
      </w:r>
      <w:r>
        <w:t xml:space="preserve">Scale; </w:t>
      </w:r>
      <w:r w:rsidRPr="001B5477">
        <w:t xml:space="preserve">Vineland Adaptive Behavior </w:t>
      </w:r>
      <w:r>
        <w:t>Scales, Third Edition Parent/Caregiver Interview). Data collected through this study was shared back with the NHS.</w:t>
      </w:r>
    </w:p>
    <w:p w14:paraId="7EDB4990" w14:textId="77777777" w:rsidR="00226F0F" w:rsidRDefault="00226F0F" w:rsidP="00226F0F">
      <w:r w:rsidRPr="007B5928">
        <w:rPr>
          <w:b/>
          <w:bCs/>
        </w:rPr>
        <w:t>Results</w:t>
      </w:r>
      <w:r>
        <w:t>: 50% of participants had a history of epilepsy and 100% demonstrated clinical abnormalities (i.e., 77% generalized slowing, 69% focal spikes, 62% excessive beta activity, 35% generalized spike-wave discharges, 15% notched delta pattern, and 4% hypsarrhythmia). F</w:t>
      </w:r>
      <w:r w:rsidRPr="001B5477">
        <w:t xml:space="preserve">indings characterize spectral profiles across canonical frequency bands and brain regions, revealing both typical and atypical developmental patterns. Age-related decreases in delta power were observed, as expected, but over 50% of participants displayed significant increases in beta power, diverging from typical trajectories. Additionally, only 60% of participants exhibited a clear alpha peak, lower than expected for this age range. We also present analyses examining associations between spectral characteristics and </w:t>
      </w:r>
      <w:r>
        <w:t>neuro</w:t>
      </w:r>
      <w:r w:rsidRPr="001B5477">
        <w:t xml:space="preserve">developmental </w:t>
      </w:r>
      <w:r>
        <w:t>abilities.</w:t>
      </w:r>
    </w:p>
    <w:p w14:paraId="3DA20848" w14:textId="77777777" w:rsidR="00226F0F" w:rsidRDefault="00226F0F" w:rsidP="00226F0F">
      <w:r w:rsidRPr="007B5928">
        <w:rPr>
          <w:b/>
          <w:bCs/>
        </w:rPr>
        <w:t>Discussion</w:t>
      </w:r>
      <w:r>
        <w:t xml:space="preserve">: </w:t>
      </w:r>
      <w:r w:rsidRPr="00435473">
        <w:t xml:space="preserve">Our findings reveal distinct EEG spectral profiles in </w:t>
      </w:r>
      <w:r>
        <w:t>individuals with ASXL1-RD,</w:t>
      </w:r>
      <w:r w:rsidRPr="00435473">
        <w:t xml:space="preserve"> </w:t>
      </w:r>
      <w:r>
        <w:t>reflecting</w:t>
      </w:r>
      <w:r w:rsidRPr="00435473">
        <w:t xml:space="preserve"> typical and atypical spectral characteristics. For instance, we observed age-related decreases in delta power, aligning with patterns seen in typical development. However, we also noted a significant absence of a clear alpha peak in many participants</w:t>
      </w:r>
      <w:r>
        <w:t xml:space="preserve"> (~40%)</w:t>
      </w:r>
      <w:r w:rsidRPr="00435473">
        <w:t xml:space="preserve">, </w:t>
      </w:r>
      <w:r>
        <w:t xml:space="preserve">where a consistent alpha peak would typically be expected across this age range. </w:t>
      </w:r>
      <w:r w:rsidRPr="00435473">
        <w:t xml:space="preserve">Additionally, many participants exhibited increased beta </w:t>
      </w:r>
      <w:r>
        <w:t xml:space="preserve">power, and we saw age-related increases in beta power, </w:t>
      </w:r>
      <w:r w:rsidRPr="00435473">
        <w:t>a pattern that may indicate evolving disruptions in neural circuit function with age.</w:t>
      </w:r>
      <w:r>
        <w:t xml:space="preserve"> </w:t>
      </w:r>
      <w:r w:rsidRPr="00435473">
        <w:t xml:space="preserve">These spectral differences provide valuable insights into neural circuit variations that may shape developmental trajectories in </w:t>
      </w:r>
      <w:r>
        <w:t xml:space="preserve">ASXL1-RD and other </w:t>
      </w:r>
      <w:r w:rsidRPr="00435473">
        <w:t xml:space="preserve">neurodevelopmental disorders. For instance, elevated beta power is similarly observed in conditions like Dup15q and Fragile X syndrome, suggesting potential converging mechanisms. Understanding these shared pathways could illuminate the underlying processes driving atypical brain development across </w:t>
      </w:r>
      <w:r>
        <w:t>different</w:t>
      </w:r>
      <w:r w:rsidRPr="00435473">
        <w:t xml:space="preserve"> conditions.</w:t>
      </w:r>
      <w:r>
        <w:t xml:space="preserve"> </w:t>
      </w:r>
      <w:r w:rsidRPr="000B29F1">
        <w:t xml:space="preserve">In this context, </w:t>
      </w:r>
      <w:r>
        <w:t>examining</w:t>
      </w:r>
      <w:r w:rsidRPr="000B29F1">
        <w:t xml:space="preserve"> spectral profiles offer</w:t>
      </w:r>
      <w:r>
        <w:t>s</w:t>
      </w:r>
      <w:r w:rsidRPr="000B29F1">
        <w:t xml:space="preserve"> a basis for more targeted insights into the mechanisms through which brain development is altered in </w:t>
      </w:r>
      <w:r>
        <w:t>ASXL1-RDs</w:t>
      </w:r>
      <w:r w:rsidRPr="000B29F1">
        <w:t xml:space="preserve"> and how these neural differences relate to</w:t>
      </w:r>
      <w:r>
        <w:t xml:space="preserve"> complex</w:t>
      </w:r>
      <w:r w:rsidRPr="000B29F1">
        <w:t xml:space="preserve"> behavioral </w:t>
      </w:r>
      <w:r>
        <w:t>trajectories</w:t>
      </w:r>
      <w:r w:rsidRPr="000B29F1">
        <w:t xml:space="preserve">. </w:t>
      </w:r>
    </w:p>
    <w:p w14:paraId="43F37D1A" w14:textId="77777777" w:rsidR="0064135E" w:rsidRDefault="0064135E" w:rsidP="00226F0F"/>
    <w:sectPr w:rsidR="0064135E" w:rsidSect="00F01EB9">
      <w:headerReference w:type="default" r:id="rId8"/>
      <w:footerReference w:type="default" r:id="rId9"/>
      <w:endnotePr>
        <w:numFmt w:val="decimal"/>
      </w:endnotePr>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0F9D5" w14:textId="77777777" w:rsidR="00AE0BAD" w:rsidRDefault="00AE0BAD" w:rsidP="00F01EB9">
      <w:pPr>
        <w:spacing w:after="0" w:line="240" w:lineRule="auto"/>
      </w:pPr>
      <w:r>
        <w:separator/>
      </w:r>
    </w:p>
  </w:endnote>
  <w:endnote w:type="continuationSeparator" w:id="0">
    <w:p w14:paraId="302459B8" w14:textId="77777777" w:rsidR="00AE0BAD" w:rsidRDefault="00AE0BAD" w:rsidP="00F0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Kefa">
    <w:altName w:val="Nyala"/>
    <w:charset w:val="00"/>
    <w:family w:val="auto"/>
    <w:pitch w:val="variable"/>
    <w:sig w:usb0="800000AF" w:usb1="4000204B" w:usb2="000008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3C01" w14:textId="77777777" w:rsidR="00F01EB9" w:rsidRPr="00F361B2" w:rsidRDefault="00000000" w:rsidP="00F01EB9">
    <w:pPr>
      <w:pStyle w:val="Footer"/>
      <w:jc w:val="center"/>
      <w:rPr>
        <w:b/>
        <w:szCs w:val="20"/>
      </w:rPr>
    </w:pPr>
    <w:sdt>
      <w:sdtPr>
        <w:rPr>
          <w:b/>
        </w:rPr>
        <w:id w:val="-1669238322"/>
        <w:docPartObj>
          <w:docPartGallery w:val="Page Numbers (Top of Page)"/>
          <w:docPartUnique/>
        </w:docPartObj>
      </w:sdtPr>
      <w:sdtContent>
        <w:r w:rsidR="00F01EB9" w:rsidRPr="00F361B2">
          <w:rPr>
            <w:b/>
            <w:szCs w:val="20"/>
          </w:rPr>
          <w:t xml:space="preserve">Page </w:t>
        </w:r>
        <w:r w:rsidR="00F01EB9" w:rsidRPr="00F361B2">
          <w:rPr>
            <w:b/>
            <w:bCs/>
          </w:rPr>
          <w:fldChar w:fldCharType="begin"/>
        </w:r>
        <w:r w:rsidR="00F01EB9" w:rsidRPr="00F361B2">
          <w:rPr>
            <w:b/>
            <w:bCs/>
          </w:rPr>
          <w:instrText xml:space="preserve"> PAGE </w:instrText>
        </w:r>
        <w:r w:rsidR="00F01EB9" w:rsidRPr="00F361B2">
          <w:rPr>
            <w:b/>
            <w:bCs/>
          </w:rPr>
          <w:fldChar w:fldCharType="separate"/>
        </w:r>
        <w:r w:rsidR="00F01EB9">
          <w:rPr>
            <w:b/>
            <w:bCs/>
          </w:rPr>
          <w:t>1</w:t>
        </w:r>
        <w:r w:rsidR="00F01EB9" w:rsidRPr="00F361B2">
          <w:rPr>
            <w:b/>
            <w:bCs/>
          </w:rPr>
          <w:fldChar w:fldCharType="end"/>
        </w:r>
        <w:r w:rsidR="00F01EB9" w:rsidRPr="00F361B2">
          <w:rPr>
            <w:b/>
            <w:szCs w:val="20"/>
          </w:rPr>
          <w:t xml:space="preserve"> of </w:t>
        </w:r>
        <w:r w:rsidR="00F01EB9" w:rsidRPr="00F361B2">
          <w:rPr>
            <w:b/>
            <w:bCs/>
          </w:rPr>
          <w:fldChar w:fldCharType="begin"/>
        </w:r>
        <w:r w:rsidR="00F01EB9" w:rsidRPr="00F361B2">
          <w:rPr>
            <w:b/>
            <w:bCs/>
          </w:rPr>
          <w:instrText xml:space="preserve"> NUMPAGES  </w:instrText>
        </w:r>
        <w:r w:rsidR="00F01EB9" w:rsidRPr="00F361B2">
          <w:rPr>
            <w:b/>
            <w:bCs/>
          </w:rPr>
          <w:fldChar w:fldCharType="separate"/>
        </w:r>
        <w:r w:rsidR="00F01EB9">
          <w:rPr>
            <w:b/>
            <w:bCs/>
          </w:rPr>
          <w:t>2</w:t>
        </w:r>
        <w:r w:rsidR="00F01EB9" w:rsidRPr="00F361B2">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881E" w14:textId="77777777" w:rsidR="00AE0BAD" w:rsidRDefault="00AE0BAD" w:rsidP="00F01EB9">
      <w:pPr>
        <w:spacing w:after="0" w:line="240" w:lineRule="auto"/>
      </w:pPr>
      <w:r>
        <w:separator/>
      </w:r>
    </w:p>
  </w:footnote>
  <w:footnote w:type="continuationSeparator" w:id="0">
    <w:p w14:paraId="30C1D5BC" w14:textId="77777777" w:rsidR="00AE0BAD" w:rsidRDefault="00AE0BAD" w:rsidP="00F01EB9">
      <w:pPr>
        <w:spacing w:after="0" w:line="240" w:lineRule="auto"/>
      </w:pPr>
      <w:r>
        <w:continuationSeparator/>
      </w:r>
    </w:p>
  </w:footnote>
  <w:footnote w:id="1">
    <w:p w14:paraId="044BEBF4" w14:textId="77777777" w:rsidR="00BB08F5" w:rsidRDefault="00BB08F5" w:rsidP="00BB08F5">
      <w:pPr>
        <w:pStyle w:val="FootnoteText"/>
      </w:pPr>
      <w:r>
        <w:rPr>
          <w:rStyle w:val="FootnoteReference"/>
        </w:rPr>
        <w:footnoteRef/>
      </w:r>
      <w:r>
        <w:t xml:space="preserve"> Prestige Institute of Learning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4FE1F" w14:textId="2B4F3B86" w:rsidR="00F01EB9" w:rsidRDefault="00EA77BA" w:rsidP="00F01EB9">
    <w:pPr>
      <w:pStyle w:val="Header"/>
    </w:pPr>
    <w:r>
      <w:rPr>
        <w:noProof/>
      </w:rPr>
      <mc:AlternateContent>
        <mc:Choice Requires="wps">
          <w:drawing>
            <wp:anchor distT="0" distB="0" distL="114300" distR="114300" simplePos="0" relativeHeight="251659264" behindDoc="0" locked="0" layoutInCell="1" allowOverlap="1" wp14:anchorId="19AB5428" wp14:editId="556952A5">
              <wp:simplePos x="0" y="0"/>
              <wp:positionH relativeFrom="column">
                <wp:posOffset>-9467</wp:posOffset>
              </wp:positionH>
              <wp:positionV relativeFrom="paragraph">
                <wp:posOffset>-188191</wp:posOffset>
              </wp:positionV>
              <wp:extent cx="5371690" cy="349448"/>
              <wp:effectExtent l="12700" t="12700" r="1333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90" cy="349448"/>
                      </a:xfrm>
                      <a:prstGeom prst="rect">
                        <a:avLst/>
                      </a:prstGeom>
                      <a:noFill/>
                      <a:ln w="25400">
                        <a:solidFill>
                          <a:srgbClr val="444C6A"/>
                        </a:solidFill>
                        <a:miter lim="800000"/>
                        <a:headEnd/>
                        <a:tailEnd/>
                      </a:ln>
                    </wps:spPr>
                    <wps:txb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7696FDDE" w:rsidR="00F01EB9" w:rsidRPr="00163A52" w:rsidRDefault="00EA77BA" w:rsidP="00F01EB9">
                              <w:pPr>
                                <w:pStyle w:val="Header"/>
                                <w:rPr>
                                  <w:rFonts w:ascii="Kefa" w:hAnsi="Kefa"/>
                                  <w:b/>
                                  <w:color w:val="444C6A"/>
                                  <w:sz w:val="32"/>
                                  <w:szCs w:val="32"/>
                                </w:rPr>
                              </w:pPr>
                              <w:r>
                                <w:rPr>
                                  <w:rFonts w:ascii="Kefa" w:hAnsi="Kefa"/>
                                  <w:b/>
                                  <w:color w:val="444C6A"/>
                                  <w:sz w:val="32"/>
                                  <w:szCs w:val="32"/>
                                </w:rPr>
                                <w:t>202</w:t>
                              </w:r>
                              <w:r w:rsidR="003D0C5B">
                                <w:rPr>
                                  <w:rFonts w:ascii="Kefa" w:hAnsi="Kefa"/>
                                  <w:b/>
                                  <w:color w:val="444C6A"/>
                                  <w:sz w:val="32"/>
                                  <w:szCs w:val="32"/>
                                </w:rPr>
                                <w:t>5</w:t>
                              </w:r>
                              <w:r>
                                <w:rPr>
                                  <w:rFonts w:ascii="Kefa" w:hAnsi="Kefa"/>
                                  <w:b/>
                                  <w:color w:val="444C6A"/>
                                  <w:sz w:val="32"/>
                                  <w:szCs w:val="32"/>
                                </w:rPr>
                                <w:t xml:space="preserve"> Gatlinburg Conference Symposium Submission</w:t>
                              </w:r>
                            </w:p>
                          </w:sdtContent>
                        </w:sdt>
                      </w:txbxContent>
                    </wps:txbx>
                    <wps:bodyPr rot="0" vert="horz" wrap="square" lIns="91440" tIns="45720" rIns="91440" bIns="45720" anchor="ctr" anchorCtr="0" upright="1">
                      <a:noAutofit/>
                    </wps:bodyPr>
                  </wps:wsp>
                </a:graphicData>
              </a:graphic>
            </wp:anchor>
          </w:drawing>
        </mc:Choice>
        <mc:Fallback>
          <w:pict>
            <v:rect w14:anchorId="19AB5428" id="Rectangle 197" o:spid="_x0000_s1026" style="position:absolute;margin-left:-.75pt;margin-top:-14.8pt;width:422.9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" filled="f" strokecolor="#444c6a" strokeweight="2pt">
              <v:textbo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7696FDDE" w:rsidR="00F01EB9" w:rsidRPr="00163A52" w:rsidRDefault="00EA77BA" w:rsidP="00F01EB9">
                        <w:pPr>
                          <w:pStyle w:val="Header"/>
                          <w:rPr>
                            <w:rFonts w:ascii="Kefa" w:hAnsi="Kefa"/>
                            <w:b/>
                            <w:color w:val="444C6A"/>
                            <w:sz w:val="32"/>
                            <w:szCs w:val="32"/>
                          </w:rPr>
                        </w:pPr>
                        <w:r>
                          <w:rPr>
                            <w:rFonts w:ascii="Kefa" w:hAnsi="Kefa"/>
                            <w:b/>
                            <w:color w:val="444C6A"/>
                            <w:sz w:val="32"/>
                            <w:szCs w:val="32"/>
                          </w:rPr>
                          <w:t>202</w:t>
                        </w:r>
                        <w:r w:rsidR="003D0C5B">
                          <w:rPr>
                            <w:rFonts w:ascii="Kefa" w:hAnsi="Kefa"/>
                            <w:b/>
                            <w:color w:val="444C6A"/>
                            <w:sz w:val="32"/>
                            <w:szCs w:val="32"/>
                          </w:rPr>
                          <w:t>5</w:t>
                        </w:r>
                        <w:r>
                          <w:rPr>
                            <w:rFonts w:ascii="Kefa" w:hAnsi="Kefa"/>
                            <w:b/>
                            <w:color w:val="444C6A"/>
                            <w:sz w:val="32"/>
                            <w:szCs w:val="32"/>
                          </w:rPr>
                          <w:t xml:space="preserve"> Gatlinburg Conference Symposium Submission</w:t>
                        </w:r>
                      </w:p>
                    </w:sdtContent>
                  </w:sdt>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E7FCA"/>
    <w:multiLevelType w:val="hybridMultilevel"/>
    <w:tmpl w:val="81424BF0"/>
    <w:lvl w:ilvl="0" w:tplc="B65C6EE0">
      <w:start w:val="1"/>
      <w:numFmt w:val="decimal"/>
      <w:lvlText w:val="%1."/>
      <w:lvlJc w:val="left"/>
      <w:pPr>
        <w:ind w:left="360" w:hanging="360"/>
      </w:pPr>
      <w:rPr>
        <w:rFonts w:ascii="Arial" w:eastAsia="Times New Roman" w:hAnsi="Arial"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6C174E"/>
    <w:multiLevelType w:val="hybridMultilevel"/>
    <w:tmpl w:val="A30ED586"/>
    <w:lvl w:ilvl="0" w:tplc="ACA48E40">
      <w:start w:val="1"/>
      <w:numFmt w:val="decimal"/>
      <w:lvlText w:val="%1."/>
      <w:lvlJc w:val="left"/>
      <w:pPr>
        <w:ind w:left="720" w:hanging="360"/>
      </w:pPr>
      <w:rPr>
        <w:rFonts w:ascii="Segoe UI" w:hAnsi="Segoe UI" w:cs="Segoe UI"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C2CD5"/>
    <w:multiLevelType w:val="hybridMultilevel"/>
    <w:tmpl w:val="D2BC2E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7402540">
    <w:abstractNumId w:val="0"/>
  </w:num>
  <w:num w:numId="2" w16cid:durableId="1831942383">
    <w:abstractNumId w:val="1"/>
  </w:num>
  <w:num w:numId="3" w16cid:durableId="749035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27"/>
    <w:rsid w:val="00000994"/>
    <w:rsid w:val="000D5C68"/>
    <w:rsid w:val="000E193A"/>
    <w:rsid w:val="00115D14"/>
    <w:rsid w:val="00141419"/>
    <w:rsid w:val="00163A52"/>
    <w:rsid w:val="001C6F6A"/>
    <w:rsid w:val="001F1F00"/>
    <w:rsid w:val="00226F0F"/>
    <w:rsid w:val="00236A86"/>
    <w:rsid w:val="0025258E"/>
    <w:rsid w:val="00274279"/>
    <w:rsid w:val="002755F9"/>
    <w:rsid w:val="002A64F0"/>
    <w:rsid w:val="002B7B38"/>
    <w:rsid w:val="002E2D54"/>
    <w:rsid w:val="0030372A"/>
    <w:rsid w:val="003622A4"/>
    <w:rsid w:val="00373627"/>
    <w:rsid w:val="003D0C5B"/>
    <w:rsid w:val="003E4C12"/>
    <w:rsid w:val="00515F91"/>
    <w:rsid w:val="00533BCC"/>
    <w:rsid w:val="00557DCA"/>
    <w:rsid w:val="0064135E"/>
    <w:rsid w:val="0064369F"/>
    <w:rsid w:val="00791BFE"/>
    <w:rsid w:val="007B0EBD"/>
    <w:rsid w:val="007B5928"/>
    <w:rsid w:val="007E694B"/>
    <w:rsid w:val="00813682"/>
    <w:rsid w:val="008D3D04"/>
    <w:rsid w:val="008E3A29"/>
    <w:rsid w:val="00970098"/>
    <w:rsid w:val="0098121E"/>
    <w:rsid w:val="009B17A1"/>
    <w:rsid w:val="009C7130"/>
    <w:rsid w:val="009E30F9"/>
    <w:rsid w:val="00A25EDD"/>
    <w:rsid w:val="00A7139C"/>
    <w:rsid w:val="00A916FC"/>
    <w:rsid w:val="00AE0BAD"/>
    <w:rsid w:val="00B17A3E"/>
    <w:rsid w:val="00B323AE"/>
    <w:rsid w:val="00BB08F5"/>
    <w:rsid w:val="00C00311"/>
    <w:rsid w:val="00C464F6"/>
    <w:rsid w:val="00C97E00"/>
    <w:rsid w:val="00D47264"/>
    <w:rsid w:val="00D6351A"/>
    <w:rsid w:val="00D726F5"/>
    <w:rsid w:val="00DB59A8"/>
    <w:rsid w:val="00DD7722"/>
    <w:rsid w:val="00E34365"/>
    <w:rsid w:val="00E36570"/>
    <w:rsid w:val="00EA77BA"/>
    <w:rsid w:val="00F01E44"/>
    <w:rsid w:val="00F01EB9"/>
    <w:rsid w:val="00FA3BF4"/>
    <w:rsid w:val="00FA5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12A58"/>
  <w15:chartTrackingRefBased/>
  <w15:docId w15:val="{512F01A4-99F6-4E9E-8CEE-69E1BE0D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A1"/>
    <w:pPr>
      <w:spacing w:after="240" w:line="36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B9"/>
    <w:pPr>
      <w:tabs>
        <w:tab w:val="center" w:pos="4680"/>
        <w:tab w:val="right" w:pos="9360"/>
      </w:tabs>
      <w:spacing w:line="240" w:lineRule="auto"/>
    </w:pPr>
  </w:style>
  <w:style w:type="character" w:customStyle="1" w:styleId="HeaderChar">
    <w:name w:val="Header Char"/>
    <w:basedOn w:val="DefaultParagraphFont"/>
    <w:link w:val="Header"/>
    <w:uiPriority w:val="99"/>
    <w:rsid w:val="00F01EB9"/>
    <w:rPr>
      <w:rFonts w:ascii="Arial" w:hAnsi="Arial"/>
      <w:sz w:val="20"/>
    </w:rPr>
  </w:style>
  <w:style w:type="paragraph" w:styleId="Footer">
    <w:name w:val="footer"/>
    <w:basedOn w:val="Normal"/>
    <w:link w:val="FooterChar"/>
    <w:uiPriority w:val="99"/>
    <w:unhideWhenUsed/>
    <w:rsid w:val="00F01EB9"/>
    <w:pPr>
      <w:tabs>
        <w:tab w:val="center" w:pos="4680"/>
        <w:tab w:val="right" w:pos="9360"/>
      </w:tabs>
      <w:spacing w:line="240" w:lineRule="auto"/>
    </w:pPr>
  </w:style>
  <w:style w:type="character" w:customStyle="1" w:styleId="FooterChar">
    <w:name w:val="Footer Char"/>
    <w:basedOn w:val="DefaultParagraphFont"/>
    <w:link w:val="Footer"/>
    <w:uiPriority w:val="99"/>
    <w:rsid w:val="00F01EB9"/>
    <w:rPr>
      <w:rFonts w:ascii="Arial" w:hAnsi="Arial"/>
      <w:sz w:val="20"/>
    </w:rPr>
  </w:style>
  <w:style w:type="paragraph" w:styleId="EndnoteText">
    <w:name w:val="endnote text"/>
    <w:basedOn w:val="Normal"/>
    <w:link w:val="EndnoteTextChar"/>
    <w:uiPriority w:val="99"/>
    <w:semiHidden/>
    <w:unhideWhenUsed/>
    <w:rsid w:val="009B17A1"/>
    <w:pPr>
      <w:spacing w:after="0" w:line="240" w:lineRule="auto"/>
    </w:pPr>
    <w:rPr>
      <w:szCs w:val="20"/>
    </w:rPr>
  </w:style>
  <w:style w:type="character" w:customStyle="1" w:styleId="EndnoteTextChar">
    <w:name w:val="Endnote Text Char"/>
    <w:basedOn w:val="DefaultParagraphFont"/>
    <w:link w:val="EndnoteText"/>
    <w:uiPriority w:val="99"/>
    <w:semiHidden/>
    <w:rsid w:val="009B17A1"/>
    <w:rPr>
      <w:rFonts w:ascii="Arial" w:hAnsi="Arial"/>
      <w:sz w:val="20"/>
      <w:szCs w:val="20"/>
    </w:rPr>
  </w:style>
  <w:style w:type="character" w:styleId="EndnoteReference">
    <w:name w:val="endnote reference"/>
    <w:basedOn w:val="DefaultParagraphFont"/>
    <w:uiPriority w:val="99"/>
    <w:semiHidden/>
    <w:unhideWhenUsed/>
    <w:rsid w:val="009B17A1"/>
    <w:rPr>
      <w:vertAlign w:val="superscript"/>
    </w:rPr>
  </w:style>
  <w:style w:type="paragraph" w:styleId="FootnoteText">
    <w:name w:val="footnote text"/>
    <w:basedOn w:val="Normal"/>
    <w:link w:val="FootnoteTextChar"/>
    <w:uiPriority w:val="99"/>
    <w:semiHidden/>
    <w:unhideWhenUsed/>
    <w:rsid w:val="0064135E"/>
    <w:pPr>
      <w:spacing w:after="0" w:line="240" w:lineRule="auto"/>
    </w:pPr>
    <w:rPr>
      <w:szCs w:val="20"/>
    </w:rPr>
  </w:style>
  <w:style w:type="character" w:customStyle="1" w:styleId="FootnoteTextChar">
    <w:name w:val="Footnote Text Char"/>
    <w:basedOn w:val="DefaultParagraphFont"/>
    <w:link w:val="FootnoteText"/>
    <w:uiPriority w:val="99"/>
    <w:semiHidden/>
    <w:rsid w:val="0064135E"/>
    <w:rPr>
      <w:rFonts w:ascii="Arial" w:hAnsi="Arial"/>
      <w:sz w:val="20"/>
      <w:szCs w:val="20"/>
    </w:rPr>
  </w:style>
  <w:style w:type="character" w:styleId="FootnoteReference">
    <w:name w:val="footnote reference"/>
    <w:basedOn w:val="DefaultParagraphFont"/>
    <w:uiPriority w:val="99"/>
    <w:semiHidden/>
    <w:unhideWhenUsed/>
    <w:rsid w:val="0064135E"/>
    <w:rPr>
      <w:vertAlign w:val="superscript"/>
    </w:rPr>
  </w:style>
  <w:style w:type="paragraph" w:styleId="ListParagraph">
    <w:name w:val="List Paragraph"/>
    <w:basedOn w:val="Normal"/>
    <w:uiPriority w:val="34"/>
    <w:qFormat/>
    <w:rsid w:val="00BB08F5"/>
    <w:pPr>
      <w:ind w:left="720"/>
      <w:contextualSpacing/>
    </w:pPr>
  </w:style>
  <w:style w:type="character" w:customStyle="1" w:styleId="apple-converted-space">
    <w:name w:val="apple-converted-space"/>
    <w:basedOn w:val="DefaultParagraphFont"/>
    <w:rsid w:val="00BB0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7" ma:contentTypeDescription="Create a new document." ma:contentTypeScope="" ma:versionID="819b4ee962be2bddd2474e785d1181b8">
  <xsd:schema xmlns:xsd="http://www.w3.org/2001/XMLSchema" xmlns:xs="http://www.w3.org/2001/XMLSchema" xmlns:p="http://schemas.microsoft.com/office/2006/metadata/properties" xmlns:ns2="bfec5155-cd0c-46a7-a3ba-4de02cda8ac5" xmlns:ns3="ef7c5145-e159-46d3-924d-b50a59624be6" xmlns:ns4="19a4d83b-00ce-4127-a5b3-b065af9349eb" targetNamespace="http://schemas.microsoft.com/office/2006/metadata/properties" ma:root="true" ma:fieldsID="f34546f8b4ac1cec3bd81821bd59e526" ns2:_="" ns3:_="" ns4:_="">
    <xsd:import namespace="bfec5155-cd0c-46a7-a3ba-4de02cda8ac5"/>
    <xsd:import namespace="ef7c5145-e159-46d3-924d-b50a59624be6"/>
    <xsd:import namespace="19a4d83b-00ce-4127-a5b3-b065af934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d83b-00ce-4127-a5b3-b065af9349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1f28c6-8888-4c4a-84f6-b5cc35d41f63}" ma:internalName="TaxCatchAll" ma:showField="CatchAllData" ma:web="19a4d83b-00ce-4127-a5b3-b065af934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c5155-cd0c-46a7-a3ba-4de02cda8ac5">
      <Terms xmlns="http://schemas.microsoft.com/office/infopath/2007/PartnerControls"/>
    </lcf76f155ced4ddcb4097134ff3c332f>
    <TaxCatchAll xmlns="19a4d83b-00ce-4127-a5b3-b065af9349eb" xsi:nil="true"/>
  </documentManagement>
</p:properties>
</file>

<file path=customXml/itemProps1.xml><?xml version="1.0" encoding="utf-8"?>
<ds:datastoreItem xmlns:ds="http://schemas.openxmlformats.org/officeDocument/2006/customXml" ds:itemID="{3BF7A4B2-441C-45FB-8822-085009B7B96F}">
  <ds:schemaRefs>
    <ds:schemaRef ds:uri="http://schemas.openxmlformats.org/officeDocument/2006/bibliography"/>
  </ds:schemaRefs>
</ds:datastoreItem>
</file>

<file path=customXml/itemProps2.xml><?xml version="1.0" encoding="utf-8"?>
<ds:datastoreItem xmlns:ds="http://schemas.openxmlformats.org/officeDocument/2006/customXml" ds:itemID="{07B58064-F1B1-48DF-800D-1A5F92BA10EC}"/>
</file>

<file path=customXml/itemProps3.xml><?xml version="1.0" encoding="utf-8"?>
<ds:datastoreItem xmlns:ds="http://schemas.openxmlformats.org/officeDocument/2006/customXml" ds:itemID="{EA98BE51-1243-47EA-AD95-8BCAF17F1851}"/>
</file>

<file path=customXml/itemProps4.xml><?xml version="1.0" encoding="utf-8"?>
<ds:datastoreItem xmlns:ds="http://schemas.openxmlformats.org/officeDocument/2006/customXml" ds:itemID="{98D0ECDF-21E9-413B-B093-DA6A7FB4FCB9}"/>
</file>

<file path=docProps/app.xml><?xml version="1.0" encoding="utf-8"?>
<Properties xmlns="http://schemas.openxmlformats.org/officeDocument/2006/extended-properties" xmlns:vt="http://schemas.openxmlformats.org/officeDocument/2006/docPropsVTypes">
  <Template>Normal</Template>
  <TotalTime>17</TotalTime>
  <Pages>8</Pages>
  <Words>3826</Words>
  <Characters>21812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25587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Symposium Submission</dc:title>
  <dc:subject/>
  <dc:creator>Hallberg, Lisa K.</dc:creator>
  <cp:keywords/>
  <dc:description/>
  <cp:lastModifiedBy>Ludwig, Natasha</cp:lastModifiedBy>
  <cp:revision>38</cp:revision>
  <dcterms:created xsi:type="dcterms:W3CDTF">2023-08-04T19:45:00Z</dcterms:created>
  <dcterms:modified xsi:type="dcterms:W3CDTF">2024-11-05T03:26:00Z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