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B0DC" w14:textId="0831427B" w:rsidR="00F01EB9" w:rsidRDefault="00163A52" w:rsidP="009B17A1">
      <w:r>
        <w:rPr>
          <w:b/>
          <w:bCs/>
        </w:rPr>
        <w:t xml:space="preserve">Symposium </w:t>
      </w:r>
      <w:r w:rsidR="009B17A1" w:rsidRPr="007B5928">
        <w:rPr>
          <w:b/>
          <w:bCs/>
        </w:rPr>
        <w:t>Title</w:t>
      </w:r>
      <w:r w:rsidR="009B17A1">
        <w:t xml:space="preserve">: </w:t>
      </w:r>
      <w:r w:rsidR="00037F87">
        <w:t>Interventions to support care</w:t>
      </w:r>
      <w:r w:rsidR="0018178F">
        <w:t>giver</w:t>
      </w:r>
      <w:r w:rsidR="00037F87">
        <w:t>s</w:t>
      </w:r>
      <w:r w:rsidR="0018178F">
        <w:t xml:space="preserve"> and teachers</w:t>
      </w:r>
      <w:r w:rsidR="00037F87">
        <w:t xml:space="preserve"> of children with an intellectual or developmental disability</w:t>
      </w:r>
      <w:r w:rsidR="009B17A1" w:rsidRPr="009B17A1">
        <w:t>.</w:t>
      </w:r>
    </w:p>
    <w:p w14:paraId="7AF660EF" w14:textId="0758B164" w:rsidR="00163A52" w:rsidRDefault="00163A52" w:rsidP="009B17A1">
      <w:r>
        <w:rPr>
          <w:b/>
          <w:bCs/>
        </w:rPr>
        <w:t>Chair</w:t>
      </w:r>
      <w:r w:rsidR="009B17A1">
        <w:t xml:space="preserve">: </w:t>
      </w:r>
      <w:r>
        <w:t>Chair</w:t>
      </w:r>
      <w:r w:rsidR="009B17A1">
        <w:t xml:space="preserve"> </w:t>
      </w:r>
      <w:r w:rsidR="00EF4132">
        <w:t>Jan Blacher</w:t>
      </w:r>
      <w:r w:rsidR="0064135E">
        <w:rPr>
          <w:rStyle w:val="FootnoteReference"/>
        </w:rPr>
        <w:footnoteReference w:id="1"/>
      </w:r>
    </w:p>
    <w:p w14:paraId="623354BE" w14:textId="58347CCE" w:rsidR="009B17A1" w:rsidRDefault="00163A52" w:rsidP="009B17A1">
      <w:r w:rsidRPr="00163A52">
        <w:rPr>
          <w:b/>
          <w:bCs/>
        </w:rPr>
        <w:t>Discussant</w:t>
      </w:r>
      <w:r>
        <w:t xml:space="preserve">: </w:t>
      </w:r>
      <w:r w:rsidR="00037F87">
        <w:t>Christine</w:t>
      </w:r>
      <w:r w:rsidR="000C4147">
        <w:t xml:space="preserve"> Moody</w:t>
      </w:r>
      <w:r w:rsidR="002A64F0">
        <w:rPr>
          <w:rStyle w:val="FootnoteReference"/>
        </w:rPr>
        <w:footnoteReference w:id="2"/>
      </w:r>
    </w:p>
    <w:p w14:paraId="22FE818A" w14:textId="30A4EB0F" w:rsidR="009B17A1" w:rsidRDefault="00163A52" w:rsidP="009B17A1">
      <w:r>
        <w:rPr>
          <w:b/>
          <w:bCs/>
        </w:rPr>
        <w:t>Overview</w:t>
      </w:r>
      <w:r w:rsidR="009B17A1">
        <w:t xml:space="preserve">: </w:t>
      </w:r>
      <w:r w:rsidR="00973604">
        <w:t xml:space="preserve">Caregivers (parents or carers) and teachers </w:t>
      </w:r>
      <w:r w:rsidR="00C9249B">
        <w:t>of children with intellectual and/or developmental disabilities</w:t>
      </w:r>
      <w:r w:rsidR="00033F17">
        <w:t xml:space="preserve"> (IDD) </w:t>
      </w:r>
      <w:r w:rsidR="00C9249B">
        <w:t>experience higher levels of negative psychological well-being (stress, distress, anxiety, etc) and lower levels of positive mental well-being</w:t>
      </w:r>
      <w:r w:rsidR="00531EBB">
        <w:t xml:space="preserve">. As part of the environment within which the child grows, </w:t>
      </w:r>
      <w:r w:rsidR="00033F17">
        <w:t>t</w:t>
      </w:r>
      <w:r w:rsidR="00531EBB">
        <w:t xml:space="preserve">hey are also instrumental </w:t>
      </w:r>
      <w:r w:rsidR="00033F17">
        <w:t xml:space="preserve">in the well-being and positive outcomes achieved by children with IDD. For example, there is evidence that </w:t>
      </w:r>
      <w:r w:rsidR="00542452">
        <w:t xml:space="preserve">relationship quality and </w:t>
      </w:r>
      <w:r w:rsidR="00033F17">
        <w:t xml:space="preserve">psychological well-being </w:t>
      </w:r>
      <w:r w:rsidR="008917B1">
        <w:t>in</w:t>
      </w:r>
      <w:r w:rsidR="00F30457">
        <w:t xml:space="preserve"> parents or teachers of children with IDD are important factors determining the child’s mental health. This symposium will </w:t>
      </w:r>
      <w:r w:rsidR="00C2300F">
        <w:t>describe three</w:t>
      </w:r>
      <w:r w:rsidR="00F30457">
        <w:t xml:space="preserve"> </w:t>
      </w:r>
      <w:r w:rsidR="00D41AE6">
        <w:t>intervention</w:t>
      </w:r>
      <w:r w:rsidR="00F30457">
        <w:t xml:space="preserve"> approaches designed to support mental well-being and positive relationships</w:t>
      </w:r>
      <w:r w:rsidR="005F5DCE">
        <w:t xml:space="preserve"> between caregivers/teachers and children with an IDD. </w:t>
      </w:r>
    </w:p>
    <w:p w14:paraId="1AB18FF1" w14:textId="00B1ABF4" w:rsidR="00163A52" w:rsidRPr="00163A52" w:rsidRDefault="00163A52" w:rsidP="00163A52">
      <w:pPr>
        <w:jc w:val="center"/>
        <w:rPr>
          <w:b/>
          <w:bCs/>
        </w:rPr>
      </w:pPr>
      <w:r w:rsidRPr="00163A52">
        <w:rPr>
          <w:b/>
          <w:bCs/>
        </w:rPr>
        <w:t xml:space="preserve">Paper 1 of </w:t>
      </w:r>
      <w:r w:rsidR="0064135E">
        <w:rPr>
          <w:b/>
          <w:bCs/>
        </w:rPr>
        <w:t>4</w:t>
      </w:r>
    </w:p>
    <w:p w14:paraId="060E50F8" w14:textId="77777777" w:rsidR="007C639A" w:rsidRPr="004A6109" w:rsidRDefault="00163A52" w:rsidP="007C639A">
      <w:pPr>
        <w:rPr>
          <w:rFonts w:cs="Arial"/>
          <w:szCs w:val="20"/>
        </w:rPr>
      </w:pPr>
      <w:r w:rsidRPr="002A64F0">
        <w:rPr>
          <w:b/>
          <w:bCs/>
        </w:rPr>
        <w:t>Paper Title</w:t>
      </w:r>
      <w:r>
        <w:t xml:space="preserve">: </w:t>
      </w:r>
      <w:r w:rsidR="007C639A" w:rsidRPr="004A6109">
        <w:rPr>
          <w:rFonts w:cs="Arial"/>
          <w:szCs w:val="20"/>
        </w:rPr>
        <w:t>A feasibility randomised controlled trial of remotely-delivered Video Interaction Guidance (VIG) for parents of children with intellectual disability referred to specialist mental health services</w:t>
      </w:r>
    </w:p>
    <w:p w14:paraId="45789F9E" w14:textId="060E7D18" w:rsidR="00FB16F6" w:rsidRPr="004A6109" w:rsidRDefault="00163A52" w:rsidP="00FB16F6">
      <w:pPr>
        <w:rPr>
          <w:rFonts w:cs="Arial"/>
          <w:szCs w:val="20"/>
        </w:rPr>
      </w:pPr>
      <w:r w:rsidRPr="002A64F0">
        <w:rPr>
          <w:b/>
          <w:bCs/>
        </w:rPr>
        <w:t>Authors</w:t>
      </w:r>
      <w:r>
        <w:t xml:space="preserve">: </w:t>
      </w:r>
      <w:r w:rsidR="00FB16F6" w:rsidRPr="004A6109">
        <w:rPr>
          <w:rFonts w:cs="Arial"/>
          <w:szCs w:val="20"/>
        </w:rPr>
        <w:t xml:space="preserve">Vaso Totsika </w:t>
      </w:r>
      <w:r w:rsidR="00FB16F6" w:rsidRPr="004A6109">
        <w:rPr>
          <w:rStyle w:val="FootnoteReference"/>
          <w:rFonts w:cs="Arial"/>
          <w:szCs w:val="20"/>
        </w:rPr>
        <w:footnoteReference w:id="3"/>
      </w:r>
      <w:r w:rsidR="00FB16F6" w:rsidRPr="004A6109">
        <w:rPr>
          <w:rFonts w:cs="Arial"/>
          <w:szCs w:val="20"/>
        </w:rPr>
        <w:t>, Angela Hassiotis</w:t>
      </w:r>
      <w:r w:rsidR="0076135D">
        <w:rPr>
          <w:rFonts w:cs="Arial"/>
          <w:szCs w:val="20"/>
        </w:rPr>
        <w:t xml:space="preserve"> </w:t>
      </w:r>
      <w:r w:rsidR="0076135D">
        <w:rPr>
          <w:rStyle w:val="FootnoteReference"/>
          <w:rFonts w:cs="Arial"/>
          <w:szCs w:val="20"/>
        </w:rPr>
        <w:t>3</w:t>
      </w:r>
      <w:r w:rsidR="00FB16F6" w:rsidRPr="004A6109">
        <w:rPr>
          <w:rFonts w:cs="Arial"/>
          <w:szCs w:val="20"/>
        </w:rPr>
        <w:t xml:space="preserve">  , Eilis Kennedy </w:t>
      </w:r>
      <w:r w:rsidR="00FB16F6" w:rsidRPr="004A6109">
        <w:rPr>
          <w:rStyle w:val="FootnoteReference"/>
          <w:rFonts w:cs="Arial"/>
          <w:szCs w:val="20"/>
        </w:rPr>
        <w:footnoteReference w:id="4"/>
      </w:r>
      <w:r w:rsidR="00FB16F6" w:rsidRPr="004A6109">
        <w:rPr>
          <w:rFonts w:cs="Arial"/>
          <w:szCs w:val="20"/>
        </w:rPr>
        <w:t xml:space="preserve">, Michael Absoud </w:t>
      </w:r>
      <w:r w:rsidR="00FB16F6" w:rsidRPr="004A6109">
        <w:rPr>
          <w:rStyle w:val="FootnoteReference"/>
          <w:rFonts w:cs="Arial"/>
          <w:szCs w:val="20"/>
        </w:rPr>
        <w:footnoteReference w:id="5"/>
      </w:r>
      <w:r w:rsidR="00FB16F6" w:rsidRPr="004A6109">
        <w:rPr>
          <w:rFonts w:cs="Arial"/>
          <w:szCs w:val="20"/>
        </w:rPr>
        <w:t xml:space="preserve">, Rachel McNamara </w:t>
      </w:r>
      <w:r w:rsidR="00FB16F6" w:rsidRPr="004A6109">
        <w:rPr>
          <w:rStyle w:val="FootnoteReference"/>
          <w:rFonts w:cs="Arial"/>
          <w:szCs w:val="20"/>
        </w:rPr>
        <w:footnoteReference w:id="6"/>
      </w:r>
      <w:r w:rsidR="00FB16F6" w:rsidRPr="004A6109">
        <w:rPr>
          <w:rFonts w:cs="Arial"/>
          <w:szCs w:val="20"/>
        </w:rPr>
        <w:t xml:space="preserve">, Elizabeth Randell </w:t>
      </w:r>
      <w:r w:rsidR="00827233" w:rsidRPr="00827233">
        <w:rPr>
          <w:rFonts w:cs="Arial"/>
          <w:szCs w:val="20"/>
          <w:vertAlign w:val="superscript"/>
        </w:rPr>
        <w:t>6</w:t>
      </w:r>
      <w:r w:rsidR="00FB16F6" w:rsidRPr="004A6109">
        <w:rPr>
          <w:rFonts w:cs="Arial"/>
          <w:szCs w:val="20"/>
        </w:rPr>
        <w:t xml:space="preserve">, Manuel Gomes </w:t>
      </w:r>
      <w:r w:rsidR="00827233">
        <w:rPr>
          <w:rStyle w:val="FootnoteReference"/>
          <w:rFonts w:cs="Arial"/>
          <w:szCs w:val="20"/>
        </w:rPr>
        <w:t>3</w:t>
      </w:r>
      <w:r w:rsidR="00FB16F6" w:rsidRPr="004A6109">
        <w:rPr>
          <w:rFonts w:cs="Arial"/>
          <w:szCs w:val="20"/>
        </w:rPr>
        <w:t xml:space="preserve">, Sophie Levitt </w:t>
      </w:r>
      <w:r w:rsidR="00FB16F6" w:rsidRPr="004A6109">
        <w:rPr>
          <w:rStyle w:val="FootnoteReference"/>
          <w:rFonts w:cs="Arial"/>
          <w:szCs w:val="20"/>
        </w:rPr>
        <w:footnoteReference w:id="7"/>
      </w:r>
      <w:r w:rsidR="00FB16F6" w:rsidRPr="004A6109">
        <w:rPr>
          <w:rFonts w:cs="Arial"/>
          <w:szCs w:val="20"/>
        </w:rPr>
        <w:t xml:space="preserve">, Gemma Grant </w:t>
      </w:r>
      <w:r w:rsidR="00FB16F6" w:rsidRPr="004A6109">
        <w:rPr>
          <w:rStyle w:val="FootnoteReference"/>
          <w:rFonts w:cs="Arial"/>
          <w:szCs w:val="20"/>
        </w:rPr>
        <w:footnoteReference w:id="8"/>
      </w:r>
      <w:r w:rsidR="00FB16F6" w:rsidRPr="004A6109">
        <w:rPr>
          <w:rFonts w:cs="Arial"/>
          <w:szCs w:val="20"/>
        </w:rPr>
        <w:t xml:space="preserve">, Angela Casbard </w:t>
      </w:r>
      <w:r w:rsidR="006A1A31">
        <w:rPr>
          <w:rStyle w:val="FootnoteReference"/>
          <w:rFonts w:cs="Arial"/>
          <w:szCs w:val="20"/>
        </w:rPr>
        <w:t>6</w:t>
      </w:r>
      <w:r w:rsidR="00FB16F6" w:rsidRPr="004A6109">
        <w:rPr>
          <w:rFonts w:cs="Arial"/>
          <w:szCs w:val="20"/>
        </w:rPr>
        <w:t xml:space="preserve">, Charmaine Kohn </w:t>
      </w:r>
      <w:r w:rsidR="006A1A31" w:rsidRPr="006A1A31">
        <w:rPr>
          <w:rFonts w:cs="Arial"/>
          <w:szCs w:val="20"/>
          <w:vertAlign w:val="superscript"/>
        </w:rPr>
        <w:t>4</w:t>
      </w:r>
      <w:r w:rsidR="00FB16F6" w:rsidRPr="004A6109">
        <w:rPr>
          <w:rFonts w:cs="Arial"/>
          <w:szCs w:val="20"/>
        </w:rPr>
        <w:t xml:space="preserve">, Zhixing Yang </w:t>
      </w:r>
      <w:r w:rsidR="006A1A31">
        <w:rPr>
          <w:rStyle w:val="FootnoteReference"/>
          <w:rFonts w:cs="Arial"/>
          <w:szCs w:val="20"/>
        </w:rPr>
        <w:t>3</w:t>
      </w:r>
      <w:r w:rsidR="00FB16F6" w:rsidRPr="004A6109">
        <w:rPr>
          <w:rFonts w:cs="Arial"/>
          <w:szCs w:val="20"/>
        </w:rPr>
        <w:t xml:space="preserve">, Lauren Turner </w:t>
      </w:r>
      <w:r w:rsidR="006A1A31">
        <w:rPr>
          <w:rStyle w:val="FootnoteReference"/>
          <w:rFonts w:cs="Arial"/>
          <w:szCs w:val="20"/>
        </w:rPr>
        <w:t>3</w:t>
      </w:r>
      <w:r w:rsidR="00FB16F6" w:rsidRPr="004A6109">
        <w:rPr>
          <w:rFonts w:cs="Arial"/>
          <w:szCs w:val="20"/>
        </w:rPr>
        <w:t xml:space="preserve">, Vanessa Cieplinska </w:t>
      </w:r>
      <w:r w:rsidR="006A1A31">
        <w:rPr>
          <w:rStyle w:val="FootnoteReference"/>
          <w:rFonts w:cs="Arial"/>
          <w:szCs w:val="20"/>
        </w:rPr>
        <w:t>3</w:t>
      </w:r>
      <w:r w:rsidR="00FB16F6" w:rsidRPr="004A6109">
        <w:rPr>
          <w:rFonts w:cs="Arial"/>
          <w:szCs w:val="20"/>
        </w:rPr>
        <w:t xml:space="preserve">, Juliana Gomes de la Silva </w:t>
      </w:r>
      <w:r w:rsidR="006A1A31">
        <w:rPr>
          <w:rStyle w:val="FootnoteReference"/>
          <w:rFonts w:cs="Arial"/>
          <w:szCs w:val="20"/>
        </w:rPr>
        <w:t>3</w:t>
      </w:r>
      <w:r w:rsidR="00FB16F6" w:rsidRPr="004A6109">
        <w:rPr>
          <w:rFonts w:cs="Arial"/>
          <w:szCs w:val="20"/>
        </w:rPr>
        <w:t xml:space="preserve">, Kian Fortes </w:t>
      </w:r>
      <w:r w:rsidR="006A1A31">
        <w:rPr>
          <w:rStyle w:val="FootnoteReference"/>
          <w:rFonts w:cs="Arial"/>
          <w:szCs w:val="20"/>
        </w:rPr>
        <w:t>3</w:t>
      </w:r>
    </w:p>
    <w:p w14:paraId="50BCC3F6" w14:textId="7ACC277A" w:rsidR="00163A52" w:rsidRDefault="00163A52" w:rsidP="00163A52">
      <w:r w:rsidRPr="002A64F0">
        <w:rPr>
          <w:b/>
          <w:bCs/>
        </w:rPr>
        <w:t>Introduction</w:t>
      </w:r>
      <w:r>
        <w:t xml:space="preserve">: </w:t>
      </w:r>
      <w:r w:rsidR="00AA55E2" w:rsidRPr="004A6109">
        <w:rPr>
          <w:rFonts w:cs="Arial"/>
          <w:szCs w:val="20"/>
        </w:rPr>
        <w:t xml:space="preserve">Children with an intellectual disability are 3-4 times more likely to present with behaviours that challenge and mental health problems than typically developing children. Parenting and the quality of parent-child relationships are risk factors for these families. The COVID-19 pandemic further exacerbated difficulties, leading to an increase in child mental health problems and behaviours that challenge, a deterioration in parental mental health, and further strain on family relationships. Remote family interventions could be an effective solution for both families and specialist mental health services. Video Interaction Guidance (VIG) has shown promise for improving child mental health. However, it is unclear whether it is widely acceptable to families and feasible to implement across specialist child </w:t>
      </w:r>
      <w:r w:rsidR="00AA55E2" w:rsidRPr="004A6109">
        <w:rPr>
          <w:rFonts w:cs="Arial"/>
          <w:szCs w:val="20"/>
        </w:rPr>
        <w:lastRenderedPageBreak/>
        <w:t>mental health services. A randomised controlled trial aimed to evaluate the feasibility of delivering  VIG remote</w:t>
      </w:r>
      <w:r w:rsidR="00AA55E2">
        <w:rPr>
          <w:rFonts w:cs="Arial"/>
          <w:szCs w:val="20"/>
        </w:rPr>
        <w:t>ly</w:t>
      </w:r>
      <w:r w:rsidR="00AA55E2" w:rsidRPr="004A6109">
        <w:rPr>
          <w:rFonts w:cs="Arial"/>
          <w:szCs w:val="20"/>
        </w:rPr>
        <w:t xml:space="preserve"> </w:t>
      </w:r>
      <w:r w:rsidR="00AA55E2">
        <w:rPr>
          <w:rFonts w:cs="Arial"/>
          <w:szCs w:val="20"/>
        </w:rPr>
        <w:t>to</w:t>
      </w:r>
      <w:r w:rsidR="00AA55E2" w:rsidRPr="004A6109">
        <w:rPr>
          <w:rFonts w:cs="Arial"/>
          <w:szCs w:val="20"/>
        </w:rPr>
        <w:t xml:space="preserve"> parents of children with intellectual disability who have been referred to specialist mental health services in England. </w:t>
      </w:r>
    </w:p>
    <w:p w14:paraId="2F5F71EE" w14:textId="77777777" w:rsidR="008F60E5" w:rsidRPr="004A6109" w:rsidRDefault="009B17A1" w:rsidP="008F60E5">
      <w:pPr>
        <w:rPr>
          <w:rFonts w:cs="Arial"/>
          <w:szCs w:val="20"/>
        </w:rPr>
      </w:pPr>
      <w:r w:rsidRPr="007B5928">
        <w:rPr>
          <w:b/>
          <w:bCs/>
        </w:rPr>
        <w:t>Method</w:t>
      </w:r>
      <w:r>
        <w:t xml:space="preserve">: </w:t>
      </w:r>
      <w:r w:rsidR="008F60E5" w:rsidRPr="004A6109">
        <w:rPr>
          <w:rFonts w:cs="Arial"/>
          <w:szCs w:val="20"/>
        </w:rPr>
        <w:t>Participants were recruited from five National Health Service specialist mental health services in England.  Participants were parents of a 6-12 year-old child with an intellectual disability who had been referred for support in relation to behaviours that challenge or suspected mental health problems.  Participants were randomised on a 1:1 basis into the intervention group (VIG plus Treatment as Usual) or the Treatment as Usual (TAU) group. The primary feasibility outcomes were recruitment rate, study retention at 6 months follow-up, and completion rate of VIG cycles. Secondary outcomes related to the completeness of outcome measures, the acceptability of VIG, the feasibility of remote implementation and evaluation, and a preliminary assessment of service use and costs. Data were collected through interviews and/or questionnaires at baseline, 3- and 6-month follow-up.</w:t>
      </w:r>
    </w:p>
    <w:p w14:paraId="0F9F742B" w14:textId="77777777" w:rsidR="00034021" w:rsidRPr="004A6109" w:rsidRDefault="009B17A1" w:rsidP="00034021">
      <w:pPr>
        <w:rPr>
          <w:rFonts w:cs="Arial"/>
          <w:szCs w:val="20"/>
        </w:rPr>
      </w:pPr>
      <w:r w:rsidRPr="007B5928">
        <w:rPr>
          <w:b/>
          <w:bCs/>
        </w:rPr>
        <w:t>Results</w:t>
      </w:r>
      <w:r>
        <w:t>:</w:t>
      </w:r>
      <w:r w:rsidRPr="009B17A1">
        <w:t xml:space="preserve"> </w:t>
      </w:r>
      <w:r w:rsidR="00034021" w:rsidRPr="004A6109">
        <w:rPr>
          <w:rFonts w:cs="Arial"/>
          <w:szCs w:val="20"/>
        </w:rPr>
        <w:t xml:space="preserve">Four hundred and three parents were provided with information about the study and of the 107 expressing an intertest, 49 consented to the study, of whom 44 were screened and 40 were deemed eligible for participation. Estimation of recruitment rate was based on the first 97 cases expressing an interest and being eligible for the study and was 36%. Of the 40 participants with baseline data 30 provided data at 3- and 6m follow up. Qualitative interviews conducted with 10 parents (both arms) and 8 staff indicated high acceptability of VIG, with very few opportunity costs identified. Parents experienced very few barriers when accessing remotely-delivered VIG while both parents and staff identified several facilitators associated with remote delivery. On average parents preferred remote delivery, while staff preferred hybrid delivery. The remaining feasibility outcomes are currently analysed.  </w:t>
      </w:r>
    </w:p>
    <w:p w14:paraId="026CCC5D" w14:textId="77777777" w:rsidR="00382F5F" w:rsidRDefault="009B17A1" w:rsidP="009B17A1">
      <w:r w:rsidRPr="007B5928">
        <w:rPr>
          <w:b/>
          <w:bCs/>
        </w:rPr>
        <w:t>Discussion</w:t>
      </w:r>
      <w:r>
        <w:t xml:space="preserve">: </w:t>
      </w:r>
      <w:r w:rsidR="00382F5F" w:rsidRPr="00382F5F">
        <w:t xml:space="preserve">The study is the first randomised evaluation of VIG in intellectual disability. Clinical staff and parents expressed strong support for VIG and for remote delivery. Remote delivery has the potential to facilitate quicker access to mental health services. When presenting the full set of primary and secondary outcomes from the study, we will discuss these in relation to pre-defined traffic light criteria for determining the feasibility of proceeding with a definitive trial of VIG. An advisory group of 10 parent carers has been working alongside the research team to co-produce the trial design, analysis and interpretation. </w:t>
      </w:r>
    </w:p>
    <w:p w14:paraId="3740C0A1" w14:textId="77777777" w:rsidR="00AA58E4" w:rsidRPr="004A6109" w:rsidRDefault="009B17A1" w:rsidP="00AA58E4">
      <w:pPr>
        <w:spacing w:line="240" w:lineRule="auto"/>
        <w:jc w:val="both"/>
        <w:rPr>
          <w:rFonts w:cs="Arial"/>
          <w:color w:val="000000" w:themeColor="text1"/>
          <w:szCs w:val="20"/>
          <w:highlight w:val="yellow"/>
        </w:rPr>
      </w:pPr>
      <w:r w:rsidRPr="007B5928">
        <w:rPr>
          <w:b/>
          <w:bCs/>
        </w:rPr>
        <w:t>References</w:t>
      </w:r>
      <w:r>
        <w:t xml:space="preserve"> </w:t>
      </w:r>
      <w:r w:rsidR="00AA58E4" w:rsidRPr="004A6109">
        <w:rPr>
          <w:rStyle w:val="Heading2Char"/>
          <w:rFonts w:ascii="Arial" w:hAnsi="Arial" w:cs="Arial"/>
          <w:color w:val="000000" w:themeColor="text1"/>
          <w:sz w:val="20"/>
          <w:szCs w:val="20"/>
        </w:rPr>
        <w:t>Trial Registration Number:</w:t>
      </w:r>
      <w:r w:rsidR="00AA58E4" w:rsidRPr="004A6109">
        <w:rPr>
          <w:rFonts w:cs="Arial"/>
          <w:color w:val="000000" w:themeColor="text1"/>
          <w:szCs w:val="20"/>
        </w:rPr>
        <w:t xml:space="preserve"> ISRCTN13171328</w:t>
      </w:r>
    </w:p>
    <w:p w14:paraId="6F13206B" w14:textId="66C8F372" w:rsidR="0064135E" w:rsidRPr="008A50B7" w:rsidRDefault="0064135E" w:rsidP="0064135E">
      <w:pPr>
        <w:jc w:val="center"/>
        <w:rPr>
          <w:rFonts w:cs="Arial"/>
          <w:b/>
          <w:bCs/>
          <w:szCs w:val="20"/>
        </w:rPr>
      </w:pPr>
      <w:r w:rsidRPr="008A50B7">
        <w:rPr>
          <w:rFonts w:cs="Arial"/>
          <w:b/>
          <w:bCs/>
          <w:szCs w:val="20"/>
        </w:rPr>
        <w:t>Paper 2 of 4</w:t>
      </w:r>
    </w:p>
    <w:p w14:paraId="3EA1A104" w14:textId="77777777" w:rsidR="008F51F7" w:rsidRPr="008A50B7" w:rsidRDefault="008F51F7" w:rsidP="008F51F7">
      <w:pPr>
        <w:rPr>
          <w:rFonts w:cs="Arial"/>
          <w:szCs w:val="20"/>
        </w:rPr>
      </w:pPr>
      <w:r w:rsidRPr="008A50B7">
        <w:rPr>
          <w:rFonts w:cs="Arial"/>
          <w:b/>
          <w:szCs w:val="20"/>
        </w:rPr>
        <w:t>Title</w:t>
      </w:r>
      <w:r w:rsidRPr="008A50B7">
        <w:rPr>
          <w:rFonts w:cs="Arial"/>
          <w:szCs w:val="20"/>
        </w:rPr>
        <w:t>: ACT for caregivers of individuals with Neurodevelopmental Disorders: A focus on a diverse ethno-racial sample</w:t>
      </w:r>
    </w:p>
    <w:p w14:paraId="59AADB9C" w14:textId="22BF82E7" w:rsidR="008F51F7" w:rsidRPr="008A50B7" w:rsidRDefault="008F51F7" w:rsidP="008F51F7">
      <w:pPr>
        <w:rPr>
          <w:rFonts w:cs="Arial"/>
          <w:szCs w:val="20"/>
          <w:vertAlign w:val="superscript"/>
        </w:rPr>
      </w:pPr>
      <w:r w:rsidRPr="008A50B7">
        <w:rPr>
          <w:rFonts w:cs="Arial"/>
          <w:b/>
          <w:bCs/>
          <w:szCs w:val="20"/>
        </w:rPr>
        <w:t>Authors</w:t>
      </w:r>
      <w:r w:rsidRPr="008A50B7">
        <w:rPr>
          <w:rFonts w:cs="Arial"/>
          <w:szCs w:val="20"/>
        </w:rPr>
        <w:t xml:space="preserve">: </w:t>
      </w:r>
      <w:r w:rsidR="000365F0" w:rsidRPr="7EB67D39">
        <w:rPr>
          <w:szCs w:val="20"/>
        </w:rPr>
        <w:t>Alaa Ibrahim</w:t>
      </w:r>
      <w:r w:rsidR="00193496">
        <w:rPr>
          <w:szCs w:val="20"/>
        </w:rPr>
        <w:t xml:space="preserve"> </w:t>
      </w:r>
      <w:r w:rsidR="00193496">
        <w:rPr>
          <w:szCs w:val="20"/>
          <w:vertAlign w:val="superscript"/>
        </w:rPr>
        <w:t>9</w:t>
      </w:r>
      <w:r w:rsidR="000365F0" w:rsidRPr="7EB67D39">
        <w:rPr>
          <w:szCs w:val="20"/>
        </w:rPr>
        <w:t>, Jonathan Weiss</w:t>
      </w:r>
      <w:r w:rsidR="00193496">
        <w:rPr>
          <w:szCs w:val="20"/>
          <w:vertAlign w:val="superscript"/>
        </w:rPr>
        <w:t>9</w:t>
      </w:r>
      <w:r w:rsidR="000365F0" w:rsidRPr="7EB67D39">
        <w:rPr>
          <w:szCs w:val="20"/>
        </w:rPr>
        <w:t>, Kenneth Fung</w:t>
      </w:r>
      <w:r w:rsidR="00193496">
        <w:rPr>
          <w:szCs w:val="20"/>
          <w:vertAlign w:val="superscript"/>
        </w:rPr>
        <w:t xml:space="preserve"> </w:t>
      </w:r>
      <w:r w:rsidR="00193496" w:rsidRPr="00193496">
        <w:rPr>
          <w:szCs w:val="20"/>
          <w:vertAlign w:val="superscript"/>
        </w:rPr>
        <w:t>10</w:t>
      </w:r>
      <w:r w:rsidR="000365F0" w:rsidRPr="7EB67D39">
        <w:rPr>
          <w:szCs w:val="20"/>
        </w:rPr>
        <w:t>, Yona Lunsky</w:t>
      </w:r>
      <w:r w:rsidR="00193496">
        <w:rPr>
          <w:szCs w:val="20"/>
          <w:vertAlign w:val="superscript"/>
        </w:rPr>
        <w:t xml:space="preserve"> </w:t>
      </w:r>
      <w:r w:rsidR="00193496" w:rsidRPr="00193496">
        <w:rPr>
          <w:szCs w:val="20"/>
          <w:vertAlign w:val="superscript"/>
        </w:rPr>
        <w:t>10</w:t>
      </w:r>
      <w:r w:rsidR="000365F0" w:rsidRPr="7EB67D39">
        <w:rPr>
          <w:szCs w:val="20"/>
        </w:rPr>
        <w:t>, Louisa L. Y. Man</w:t>
      </w:r>
      <w:r w:rsidR="000365F0" w:rsidRPr="7EB67D39">
        <w:rPr>
          <w:szCs w:val="20"/>
          <w:vertAlign w:val="superscript"/>
        </w:rPr>
        <w:t xml:space="preserve"> </w:t>
      </w:r>
      <w:r w:rsidR="00855180" w:rsidRPr="00193496">
        <w:rPr>
          <w:szCs w:val="20"/>
          <w:vertAlign w:val="superscript"/>
        </w:rPr>
        <w:t>10</w:t>
      </w:r>
      <w:r w:rsidR="000365F0" w:rsidRPr="7EB67D39">
        <w:rPr>
          <w:szCs w:val="20"/>
        </w:rPr>
        <w:t>, Kendra Thomson</w:t>
      </w:r>
      <w:r w:rsidR="00855180">
        <w:rPr>
          <w:szCs w:val="20"/>
        </w:rPr>
        <w:t xml:space="preserve"> </w:t>
      </w:r>
      <w:r w:rsidR="00855180" w:rsidRPr="00193496">
        <w:rPr>
          <w:szCs w:val="20"/>
          <w:vertAlign w:val="superscript"/>
        </w:rPr>
        <w:t>10</w:t>
      </w:r>
      <w:r w:rsidR="00855180">
        <w:rPr>
          <w:szCs w:val="20"/>
          <w:vertAlign w:val="superscript"/>
        </w:rPr>
        <w:t>,11</w:t>
      </w:r>
      <w:r w:rsidR="000365F0" w:rsidRPr="7EB67D39">
        <w:rPr>
          <w:szCs w:val="20"/>
        </w:rPr>
        <w:t>, Nicole Bobbette</w:t>
      </w:r>
      <w:r w:rsidR="00855180">
        <w:rPr>
          <w:szCs w:val="20"/>
        </w:rPr>
        <w:t xml:space="preserve"> </w:t>
      </w:r>
      <w:r w:rsidR="00855180" w:rsidRPr="00193496">
        <w:rPr>
          <w:szCs w:val="20"/>
          <w:vertAlign w:val="superscript"/>
        </w:rPr>
        <w:t>1</w:t>
      </w:r>
      <w:r w:rsidR="007B0182">
        <w:rPr>
          <w:szCs w:val="20"/>
          <w:vertAlign w:val="superscript"/>
        </w:rPr>
        <w:t>0,1</w:t>
      </w:r>
      <w:r w:rsidR="00855180">
        <w:rPr>
          <w:szCs w:val="20"/>
          <w:vertAlign w:val="superscript"/>
        </w:rPr>
        <w:t>2</w:t>
      </w:r>
      <w:r w:rsidR="000365F0" w:rsidRPr="7EB67D39">
        <w:rPr>
          <w:szCs w:val="20"/>
        </w:rPr>
        <w:t>, Melanie Penner</w:t>
      </w:r>
      <w:r w:rsidR="007B0182">
        <w:rPr>
          <w:szCs w:val="20"/>
          <w:vertAlign w:val="superscript"/>
        </w:rPr>
        <w:t xml:space="preserve"> </w:t>
      </w:r>
      <w:r w:rsidR="007B0182" w:rsidRPr="00193496">
        <w:rPr>
          <w:szCs w:val="20"/>
          <w:vertAlign w:val="superscript"/>
        </w:rPr>
        <w:t>1</w:t>
      </w:r>
      <w:r w:rsidR="007B0182">
        <w:rPr>
          <w:szCs w:val="20"/>
          <w:vertAlign w:val="superscript"/>
        </w:rPr>
        <w:t>3</w:t>
      </w:r>
      <w:r w:rsidR="000365F0" w:rsidRPr="7EB67D39">
        <w:rPr>
          <w:szCs w:val="20"/>
        </w:rPr>
        <w:t>, &amp; Johanna Lake</w:t>
      </w:r>
      <w:r w:rsidR="007B0182">
        <w:rPr>
          <w:szCs w:val="20"/>
        </w:rPr>
        <w:t xml:space="preserve"> </w:t>
      </w:r>
      <w:r w:rsidR="007B0182" w:rsidRPr="00193496">
        <w:rPr>
          <w:szCs w:val="20"/>
          <w:vertAlign w:val="superscript"/>
        </w:rPr>
        <w:t>10</w:t>
      </w:r>
    </w:p>
    <w:p w14:paraId="0AB7E29E" w14:textId="77777777" w:rsidR="008F51F7" w:rsidRPr="008A50B7" w:rsidRDefault="008F51F7" w:rsidP="008F51F7">
      <w:pPr>
        <w:rPr>
          <w:rFonts w:cs="Arial"/>
          <w:color w:val="000000"/>
          <w:szCs w:val="20"/>
        </w:rPr>
      </w:pPr>
      <w:r w:rsidRPr="008A50B7">
        <w:rPr>
          <w:rFonts w:cs="Arial"/>
          <w:b/>
          <w:bCs/>
          <w:szCs w:val="20"/>
        </w:rPr>
        <w:t>Introduction</w:t>
      </w:r>
      <w:r w:rsidRPr="008A50B7">
        <w:rPr>
          <w:rFonts w:cs="Arial"/>
          <w:szCs w:val="20"/>
        </w:rPr>
        <w:t xml:space="preserve">: Intervention </w:t>
      </w:r>
      <w:r w:rsidRPr="008A50B7">
        <w:rPr>
          <w:rFonts w:cs="Arial"/>
          <w:color w:val="000000" w:themeColor="text1"/>
          <w:szCs w:val="20"/>
        </w:rPr>
        <w:t>research</w:t>
      </w:r>
      <w:r w:rsidRPr="008A50B7">
        <w:rPr>
          <w:rFonts w:cs="Arial"/>
          <w:b/>
          <w:bCs/>
          <w:color w:val="000000" w:themeColor="text1"/>
          <w:szCs w:val="20"/>
        </w:rPr>
        <w:t xml:space="preserve"> </w:t>
      </w:r>
      <w:r w:rsidRPr="008A50B7">
        <w:rPr>
          <w:rFonts w:cs="Arial"/>
          <w:color w:val="000000" w:themeColor="text1"/>
          <w:szCs w:val="20"/>
        </w:rPr>
        <w:t>that focuses on individuals with neurodevelopmental disorders (NDD) often underrepresents</w:t>
      </w:r>
      <w:r w:rsidRPr="008A50B7">
        <w:rPr>
          <w:rFonts w:cs="Arial"/>
          <w:b/>
          <w:bCs/>
          <w:color w:val="000000" w:themeColor="text1"/>
          <w:szCs w:val="20"/>
        </w:rPr>
        <w:t xml:space="preserve"> </w:t>
      </w:r>
      <w:r w:rsidRPr="008A50B7">
        <w:rPr>
          <w:rFonts w:cs="Arial"/>
          <w:color w:val="000000" w:themeColor="text1"/>
          <w:szCs w:val="20"/>
        </w:rPr>
        <w:t>socioeconomically,</w:t>
      </w:r>
      <w:r w:rsidRPr="008A50B7">
        <w:rPr>
          <w:rFonts w:cs="Arial"/>
          <w:b/>
          <w:bCs/>
          <w:color w:val="000000" w:themeColor="text1"/>
          <w:szCs w:val="20"/>
        </w:rPr>
        <w:t xml:space="preserve"> </w:t>
      </w:r>
      <w:r w:rsidRPr="008A50B7">
        <w:rPr>
          <w:rFonts w:cs="Arial"/>
          <w:color w:val="000000" w:themeColor="text1"/>
          <w:szCs w:val="20"/>
        </w:rPr>
        <w:t xml:space="preserve">ethnically, and/or linguistically diverse families (Mire et al., 2023; Papoudi et al., 2021). It is important to examine the efficacy of research findings among diverse families in order to provide equitable </w:t>
      </w:r>
      <w:r w:rsidRPr="008A50B7">
        <w:rPr>
          <w:rFonts w:cs="Arial"/>
          <w:color w:val="000000" w:themeColor="text1"/>
          <w:szCs w:val="20"/>
        </w:rPr>
        <w:lastRenderedPageBreak/>
        <w:t xml:space="preserve">access and services that best fit their needs. This study examined the outcomes of a diverse ethno-racial subsample of participants of group-based, Acceptance and Commitment Training (ACT) co-facilitated by trained clinician and peer caregiver.  </w:t>
      </w:r>
    </w:p>
    <w:p w14:paraId="4B7D6CF0" w14:textId="77777777" w:rsidR="008F51F7" w:rsidRPr="008A50B7" w:rsidRDefault="008F51F7" w:rsidP="008F51F7">
      <w:pPr>
        <w:rPr>
          <w:rFonts w:cs="Arial"/>
          <w:color w:val="000000"/>
          <w:szCs w:val="20"/>
        </w:rPr>
      </w:pPr>
      <w:r w:rsidRPr="008A50B7">
        <w:rPr>
          <w:rFonts w:cs="Arial"/>
          <w:b/>
          <w:color w:val="000000"/>
          <w:szCs w:val="20"/>
          <w:lang w:val="en-GB"/>
        </w:rPr>
        <w:t>Method</w:t>
      </w:r>
      <w:r w:rsidRPr="008A50B7">
        <w:rPr>
          <w:rFonts w:cs="Arial"/>
          <w:color w:val="000000"/>
          <w:szCs w:val="20"/>
          <w:lang w:val="en-GB"/>
        </w:rPr>
        <w:t xml:space="preserve">: </w:t>
      </w:r>
      <w:r w:rsidRPr="008A50B7">
        <w:rPr>
          <w:rFonts w:cs="Arial"/>
          <w:color w:val="000000"/>
          <w:szCs w:val="20"/>
        </w:rPr>
        <w:t xml:space="preserve">48 family caregivers from diverse ethno-racial communities (84% ciswomen; </w:t>
      </w:r>
      <w:r w:rsidRPr="008A50B7">
        <w:rPr>
          <w:rFonts w:cs="Arial"/>
          <w:i/>
          <w:iCs/>
          <w:color w:val="000000"/>
          <w:szCs w:val="20"/>
        </w:rPr>
        <w:t xml:space="preserve">M </w:t>
      </w:r>
      <w:r w:rsidRPr="008A50B7">
        <w:rPr>
          <w:rFonts w:cs="Arial"/>
          <w:color w:val="000000"/>
          <w:szCs w:val="20"/>
        </w:rPr>
        <w:t xml:space="preserve">= 44.5 years, </w:t>
      </w:r>
      <w:r w:rsidRPr="008A50B7">
        <w:rPr>
          <w:rFonts w:cs="Arial"/>
          <w:i/>
          <w:iCs/>
          <w:color w:val="000000"/>
          <w:szCs w:val="20"/>
        </w:rPr>
        <w:t>SD</w:t>
      </w:r>
      <w:r w:rsidRPr="008A50B7">
        <w:rPr>
          <w:rFonts w:cs="Arial"/>
          <w:color w:val="000000"/>
          <w:szCs w:val="20"/>
        </w:rPr>
        <w:t xml:space="preserve"> = 9.8 years) participated in a 5 or 6 session, group-based virtual ACT training for families of individuals with NDDs (Fung et al., 2021). 31% of caregivers were East/Southeast Asian, 22% were South Asian, 14% were Black, 10% were Latino, 8% were indigenous, 6% were Middle Eastern, and 9% indicated another racial and ethnocultural background (i.e., mixed race). The workshops were delivered across 4 Canadian provinces between 2022 and 2024. At pre- and post-intervention, caregivers completed the Depression Anxiety Stress Scales (DASS-21; Lovibond &amp; Lovibond, 1995), the Short Warwick-Edinburgh Mental Well-being Scale (SWEMBS; Stewart-Brown, 2009), the Self-Compassion Scale (SCS-SF; Neff, 2003), and the Multi-System Model of Resilience Inventory (MSMR-I 27; Liu, Reed, &amp; Girard, 2017).</w:t>
      </w:r>
    </w:p>
    <w:p w14:paraId="25C90D1A" w14:textId="77777777" w:rsidR="008F51F7" w:rsidRPr="008A50B7" w:rsidRDefault="008F51F7" w:rsidP="008F51F7">
      <w:pPr>
        <w:rPr>
          <w:rFonts w:cs="Arial"/>
          <w:color w:val="000000"/>
          <w:szCs w:val="20"/>
        </w:rPr>
      </w:pPr>
      <w:r w:rsidRPr="008A50B7">
        <w:rPr>
          <w:rFonts w:cs="Arial"/>
          <w:b/>
          <w:color w:val="000000"/>
          <w:szCs w:val="20"/>
        </w:rPr>
        <w:t>Results</w:t>
      </w:r>
      <w:r w:rsidRPr="008A50B7">
        <w:rPr>
          <w:rFonts w:cs="Arial"/>
          <w:color w:val="000000"/>
          <w:szCs w:val="20"/>
        </w:rPr>
        <w:t xml:space="preserve">: Paired sample </w:t>
      </w:r>
      <w:r w:rsidRPr="008A50B7">
        <w:rPr>
          <w:rFonts w:cs="Arial"/>
          <w:i/>
          <w:iCs/>
          <w:color w:val="000000"/>
          <w:szCs w:val="20"/>
        </w:rPr>
        <w:t>t</w:t>
      </w:r>
      <w:r w:rsidRPr="008A50B7">
        <w:rPr>
          <w:rFonts w:cs="Arial"/>
          <w:color w:val="000000"/>
          <w:szCs w:val="20"/>
        </w:rPr>
        <w:t xml:space="preserve">-tests indicated improvement in psychological distress, mental well-being, self-compassion, and resilience at post-intervention compared to pre-intervention, </w:t>
      </w:r>
      <w:r w:rsidRPr="008A50B7">
        <w:rPr>
          <w:rFonts w:cs="Arial"/>
          <w:i/>
          <w:iCs/>
          <w:color w:val="000000"/>
          <w:szCs w:val="20"/>
        </w:rPr>
        <w:t>t</w:t>
      </w:r>
      <w:r w:rsidRPr="008A50B7">
        <w:rPr>
          <w:rFonts w:cs="Arial"/>
          <w:color w:val="000000"/>
          <w:szCs w:val="20"/>
        </w:rPr>
        <w:t xml:space="preserve">(40) = 2.33, </w:t>
      </w:r>
      <w:r w:rsidRPr="008A50B7">
        <w:rPr>
          <w:rFonts w:cs="Arial"/>
          <w:i/>
          <w:iCs/>
          <w:color w:val="000000"/>
          <w:szCs w:val="20"/>
        </w:rPr>
        <w:t>p</w:t>
      </w:r>
      <w:r w:rsidRPr="008A50B7">
        <w:rPr>
          <w:rFonts w:cs="Arial"/>
          <w:color w:val="000000"/>
          <w:szCs w:val="20"/>
        </w:rPr>
        <w:t xml:space="preserve"> = .03; </w:t>
      </w:r>
      <w:r w:rsidRPr="008A50B7">
        <w:rPr>
          <w:rFonts w:cs="Arial"/>
          <w:i/>
          <w:iCs/>
          <w:color w:val="000000"/>
          <w:szCs w:val="20"/>
        </w:rPr>
        <w:t>t</w:t>
      </w:r>
      <w:r w:rsidRPr="008A50B7">
        <w:rPr>
          <w:rFonts w:cs="Arial"/>
          <w:color w:val="000000"/>
          <w:szCs w:val="20"/>
        </w:rPr>
        <w:t xml:space="preserve">(33) = -2.14, </w:t>
      </w:r>
      <w:r w:rsidRPr="008A50B7">
        <w:rPr>
          <w:rFonts w:cs="Arial"/>
          <w:i/>
          <w:iCs/>
          <w:color w:val="000000"/>
          <w:szCs w:val="20"/>
        </w:rPr>
        <w:t>p</w:t>
      </w:r>
      <w:r w:rsidRPr="008A50B7">
        <w:rPr>
          <w:rFonts w:cs="Arial"/>
          <w:color w:val="000000"/>
          <w:szCs w:val="20"/>
        </w:rPr>
        <w:t xml:space="preserve"> = .04; </w:t>
      </w:r>
      <w:r w:rsidRPr="008A50B7">
        <w:rPr>
          <w:rFonts w:cs="Arial"/>
          <w:i/>
          <w:iCs/>
          <w:color w:val="000000"/>
          <w:szCs w:val="20"/>
        </w:rPr>
        <w:t>t</w:t>
      </w:r>
      <w:r w:rsidRPr="008A50B7">
        <w:rPr>
          <w:rFonts w:cs="Arial"/>
          <w:color w:val="000000"/>
          <w:szCs w:val="20"/>
        </w:rPr>
        <w:t xml:space="preserve">(40) = -2.41, </w:t>
      </w:r>
      <w:r w:rsidRPr="008A50B7">
        <w:rPr>
          <w:rFonts w:cs="Arial"/>
          <w:i/>
          <w:iCs/>
          <w:color w:val="000000"/>
          <w:szCs w:val="20"/>
        </w:rPr>
        <w:t xml:space="preserve">p </w:t>
      </w:r>
      <w:r w:rsidRPr="008A50B7">
        <w:rPr>
          <w:rFonts w:cs="Arial"/>
          <w:color w:val="000000"/>
          <w:szCs w:val="20"/>
        </w:rPr>
        <w:t xml:space="preserve">=.02; </w:t>
      </w:r>
      <w:r w:rsidRPr="008A50B7">
        <w:rPr>
          <w:rFonts w:cs="Arial"/>
          <w:i/>
          <w:iCs/>
          <w:color w:val="000000"/>
          <w:szCs w:val="20"/>
        </w:rPr>
        <w:t>t</w:t>
      </w:r>
      <w:r w:rsidRPr="008A50B7">
        <w:rPr>
          <w:rFonts w:cs="Arial"/>
          <w:color w:val="000000"/>
          <w:szCs w:val="20"/>
        </w:rPr>
        <w:t xml:space="preserve">(39)= -4.02, </w:t>
      </w:r>
      <w:r w:rsidRPr="008A50B7">
        <w:rPr>
          <w:rFonts w:cs="Arial"/>
          <w:i/>
          <w:iCs/>
          <w:color w:val="000000"/>
          <w:szCs w:val="20"/>
        </w:rPr>
        <w:t>p</w:t>
      </w:r>
      <w:r w:rsidRPr="008A50B7">
        <w:rPr>
          <w:rFonts w:cs="Arial"/>
          <w:color w:val="000000"/>
          <w:szCs w:val="20"/>
        </w:rPr>
        <w:t xml:space="preserve"> &lt;.001; respectively. Using change scores, Pearson correlations demonstrated that improvements in caregivers’ resilience and self-compassion were both significantly associated with improvements in caregivers’ psychological distress (</w:t>
      </w:r>
      <w:r w:rsidRPr="008A50B7">
        <w:rPr>
          <w:rFonts w:cs="Arial"/>
          <w:i/>
          <w:iCs/>
          <w:color w:val="000000"/>
          <w:szCs w:val="20"/>
        </w:rPr>
        <w:t>r</w:t>
      </w:r>
      <w:r w:rsidRPr="008A50B7">
        <w:rPr>
          <w:rFonts w:cs="Arial"/>
          <w:color w:val="000000"/>
          <w:szCs w:val="20"/>
        </w:rPr>
        <w:t xml:space="preserve">(40) = -.40, </w:t>
      </w:r>
      <w:r w:rsidRPr="008A50B7">
        <w:rPr>
          <w:rFonts w:cs="Arial"/>
          <w:i/>
          <w:iCs/>
          <w:color w:val="000000"/>
          <w:szCs w:val="20"/>
        </w:rPr>
        <w:t>p</w:t>
      </w:r>
      <w:r w:rsidRPr="008A50B7">
        <w:rPr>
          <w:rFonts w:cs="Arial"/>
          <w:color w:val="000000"/>
          <w:szCs w:val="20"/>
        </w:rPr>
        <w:t xml:space="preserve"> =.02; </w:t>
      </w:r>
      <w:r w:rsidRPr="008A50B7">
        <w:rPr>
          <w:rFonts w:cs="Arial"/>
          <w:i/>
          <w:iCs/>
          <w:color w:val="000000"/>
          <w:szCs w:val="20"/>
        </w:rPr>
        <w:t>r</w:t>
      </w:r>
      <w:r w:rsidRPr="008A50B7">
        <w:rPr>
          <w:rFonts w:cs="Arial"/>
          <w:color w:val="000000"/>
          <w:szCs w:val="20"/>
        </w:rPr>
        <w:t xml:space="preserve">(41) =-.41, </w:t>
      </w:r>
      <w:r w:rsidRPr="008A50B7">
        <w:rPr>
          <w:rFonts w:cs="Arial"/>
          <w:i/>
          <w:iCs/>
          <w:color w:val="000000"/>
          <w:szCs w:val="20"/>
        </w:rPr>
        <w:t>p</w:t>
      </w:r>
      <w:r w:rsidRPr="008A50B7">
        <w:rPr>
          <w:rFonts w:cs="Arial"/>
          <w:color w:val="000000"/>
          <w:szCs w:val="20"/>
        </w:rPr>
        <w:t xml:space="preserve"> = .008) and mental well-being (</w:t>
      </w:r>
      <w:r w:rsidRPr="008A50B7">
        <w:rPr>
          <w:rFonts w:cs="Arial"/>
          <w:i/>
          <w:iCs/>
          <w:color w:val="000000"/>
          <w:szCs w:val="20"/>
        </w:rPr>
        <w:t>r</w:t>
      </w:r>
      <w:r w:rsidRPr="008A50B7">
        <w:rPr>
          <w:rFonts w:cs="Arial"/>
          <w:color w:val="000000"/>
          <w:szCs w:val="20"/>
        </w:rPr>
        <w:t xml:space="preserve">(34) = .42, </w:t>
      </w:r>
      <w:r w:rsidRPr="008A50B7">
        <w:rPr>
          <w:rFonts w:cs="Arial"/>
          <w:i/>
          <w:iCs/>
          <w:color w:val="000000"/>
          <w:szCs w:val="20"/>
        </w:rPr>
        <w:t>p</w:t>
      </w:r>
      <w:r w:rsidRPr="008A50B7">
        <w:rPr>
          <w:rFonts w:cs="Arial"/>
          <w:color w:val="000000"/>
          <w:szCs w:val="20"/>
        </w:rPr>
        <w:t xml:space="preserve"> = .01; </w:t>
      </w:r>
      <w:r w:rsidRPr="008A50B7">
        <w:rPr>
          <w:rFonts w:cs="Arial"/>
          <w:i/>
          <w:iCs/>
          <w:color w:val="000000"/>
          <w:szCs w:val="20"/>
        </w:rPr>
        <w:t>r</w:t>
      </w:r>
      <w:r w:rsidRPr="008A50B7">
        <w:rPr>
          <w:rFonts w:cs="Arial"/>
          <w:color w:val="000000"/>
          <w:szCs w:val="20"/>
        </w:rPr>
        <w:t xml:space="preserve">(34) = .35, </w:t>
      </w:r>
      <w:r w:rsidRPr="008A50B7">
        <w:rPr>
          <w:rFonts w:cs="Arial"/>
          <w:i/>
          <w:iCs/>
          <w:color w:val="000000"/>
          <w:szCs w:val="20"/>
        </w:rPr>
        <w:t>p</w:t>
      </w:r>
      <w:r w:rsidRPr="008A50B7">
        <w:rPr>
          <w:rFonts w:cs="Arial"/>
          <w:color w:val="000000"/>
          <w:szCs w:val="20"/>
        </w:rPr>
        <w:t xml:space="preserve"> =.04), respectively. Similarly, improvements in caregivers’ self-compassion and resilience were also significantly correlated with each other (</w:t>
      </w:r>
      <w:r w:rsidRPr="008A50B7">
        <w:rPr>
          <w:rFonts w:cs="Arial"/>
          <w:i/>
          <w:iCs/>
          <w:color w:val="000000"/>
          <w:szCs w:val="20"/>
        </w:rPr>
        <w:t>r</w:t>
      </w:r>
      <w:r w:rsidRPr="008A50B7">
        <w:rPr>
          <w:rFonts w:cs="Arial"/>
          <w:color w:val="000000"/>
          <w:szCs w:val="20"/>
        </w:rPr>
        <w:t xml:space="preserve">(40) = .50, </w:t>
      </w:r>
      <w:r w:rsidRPr="008A50B7">
        <w:rPr>
          <w:rFonts w:cs="Arial"/>
          <w:i/>
          <w:iCs/>
          <w:color w:val="000000"/>
          <w:szCs w:val="20"/>
        </w:rPr>
        <w:t>p</w:t>
      </w:r>
      <w:r w:rsidRPr="008A50B7">
        <w:rPr>
          <w:rFonts w:cs="Arial"/>
          <w:color w:val="000000"/>
          <w:szCs w:val="20"/>
        </w:rPr>
        <w:t xml:space="preserve"> = .003).</w:t>
      </w:r>
    </w:p>
    <w:p w14:paraId="2D087716" w14:textId="77777777" w:rsidR="008F51F7" w:rsidRPr="008A50B7" w:rsidRDefault="008F51F7" w:rsidP="008F51F7">
      <w:pPr>
        <w:rPr>
          <w:rFonts w:cs="Arial"/>
          <w:bCs/>
          <w:color w:val="000000"/>
          <w:szCs w:val="20"/>
          <w:lang w:val="en-CA"/>
        </w:rPr>
      </w:pPr>
      <w:r w:rsidRPr="008A50B7">
        <w:rPr>
          <w:rFonts w:cs="Arial"/>
          <w:b/>
          <w:iCs/>
          <w:color w:val="000000"/>
          <w:szCs w:val="20"/>
        </w:rPr>
        <w:t xml:space="preserve">Discussion: </w:t>
      </w:r>
      <w:r w:rsidRPr="008A50B7">
        <w:rPr>
          <w:rFonts w:cs="Arial"/>
          <w:bCs/>
          <w:iCs/>
          <w:color w:val="000000"/>
          <w:szCs w:val="20"/>
        </w:rPr>
        <w:t xml:space="preserve">This study highlights the benefits of virtual ACT for caregivers in a subsample who identify as ethnically diverse and care for an individual with an NDD. Benefits included improvements in caregivers’ resilience, self-compassion, mental health and well-being. Future studies can investigate the role specific ACT processes (i.e., psychological flexibility, cognitive fusion, values) might play in the observed improvements, and whether culturally adapted group might confer additional benefits. </w:t>
      </w:r>
    </w:p>
    <w:p w14:paraId="38CD5C43" w14:textId="77777777" w:rsidR="008F51F7" w:rsidRPr="008A50B7" w:rsidRDefault="008F51F7" w:rsidP="008F51F7">
      <w:pPr>
        <w:rPr>
          <w:rFonts w:cs="Arial"/>
          <w:b/>
          <w:color w:val="000000"/>
          <w:szCs w:val="20"/>
          <w:lang w:val="en-GB"/>
        </w:rPr>
      </w:pPr>
      <w:r w:rsidRPr="008A50B7">
        <w:rPr>
          <w:rFonts w:cs="Arial"/>
          <w:b/>
          <w:color w:val="000000"/>
          <w:szCs w:val="20"/>
          <w:lang w:val="en-GB"/>
        </w:rPr>
        <w:t xml:space="preserve">References: </w:t>
      </w:r>
    </w:p>
    <w:p w14:paraId="395944F1" w14:textId="77777777" w:rsidR="008F51F7" w:rsidRPr="008A50B7" w:rsidRDefault="008F51F7" w:rsidP="008F51F7">
      <w:pPr>
        <w:pStyle w:val="ListParagraph"/>
        <w:numPr>
          <w:ilvl w:val="0"/>
          <w:numId w:val="1"/>
        </w:numPr>
        <w:spacing w:after="0" w:line="240" w:lineRule="auto"/>
        <w:rPr>
          <w:rFonts w:ascii="Arial" w:hAnsi="Arial" w:cs="Arial"/>
          <w:sz w:val="20"/>
          <w:szCs w:val="20"/>
        </w:rPr>
      </w:pPr>
      <w:r w:rsidRPr="008A50B7">
        <w:rPr>
          <w:rFonts w:ascii="Arial" w:hAnsi="Arial" w:cs="Arial"/>
          <w:sz w:val="20"/>
          <w:szCs w:val="20"/>
        </w:rPr>
        <w:t xml:space="preserve">Fung, K., Wong, J., Steel, L., Lake, J. K., Bryce, K., &amp; Lunsky, Y. (2021). </w:t>
      </w:r>
      <w:r w:rsidRPr="008A50B7">
        <w:rPr>
          <w:rFonts w:ascii="Arial" w:hAnsi="Arial" w:cs="Arial"/>
          <w:i/>
          <w:iCs/>
          <w:sz w:val="20"/>
          <w:szCs w:val="20"/>
        </w:rPr>
        <w:t>Acceptance and commitment training (ACT) for family caregivers of people with developmental disabilities: Training manual</w:t>
      </w:r>
      <w:r w:rsidRPr="008A50B7">
        <w:rPr>
          <w:rFonts w:ascii="Arial" w:hAnsi="Arial" w:cs="Arial"/>
          <w:sz w:val="20"/>
          <w:szCs w:val="20"/>
        </w:rPr>
        <w:t>. CAMH.</w:t>
      </w:r>
    </w:p>
    <w:p w14:paraId="30B699C8" w14:textId="77777777" w:rsidR="008F51F7" w:rsidRPr="008A50B7" w:rsidRDefault="008F51F7" w:rsidP="008F51F7">
      <w:pPr>
        <w:pStyle w:val="ListParagraph"/>
        <w:widowControl w:val="0"/>
        <w:numPr>
          <w:ilvl w:val="0"/>
          <w:numId w:val="1"/>
        </w:numPr>
        <w:autoSpaceDE w:val="0"/>
        <w:autoSpaceDN w:val="0"/>
        <w:adjustRightInd w:val="0"/>
        <w:spacing w:line="240" w:lineRule="auto"/>
        <w:rPr>
          <w:rFonts w:ascii="Arial" w:hAnsi="Arial" w:cs="Arial"/>
          <w:noProof/>
          <w:sz w:val="20"/>
          <w:szCs w:val="20"/>
        </w:rPr>
      </w:pPr>
      <w:r w:rsidRPr="008A50B7">
        <w:rPr>
          <w:rFonts w:ascii="Arial" w:hAnsi="Arial" w:cs="Arial"/>
          <w:sz w:val="20"/>
          <w:szCs w:val="20"/>
          <w:shd w:val="clear" w:color="auto" w:fill="FFFFFF"/>
        </w:rPr>
        <w:t>Liu, J. J., Reed, M., &amp; Girard, T. A. (2017). Advancing resilience: An integrative, multi-system model of resilience.</w:t>
      </w:r>
      <w:r w:rsidRPr="008A50B7">
        <w:rPr>
          <w:rStyle w:val="apple-converted-space"/>
          <w:rFonts w:ascii="Arial" w:hAnsi="Arial" w:cs="Arial"/>
          <w:sz w:val="20"/>
          <w:szCs w:val="20"/>
          <w:shd w:val="clear" w:color="auto" w:fill="FFFFFF"/>
        </w:rPr>
        <w:t> </w:t>
      </w:r>
      <w:r w:rsidRPr="008A50B7">
        <w:rPr>
          <w:rFonts w:ascii="Arial" w:hAnsi="Arial" w:cs="Arial"/>
          <w:i/>
          <w:iCs/>
          <w:sz w:val="20"/>
          <w:szCs w:val="20"/>
        </w:rPr>
        <w:t>Personality and Individual Differences</w:t>
      </w:r>
      <w:r w:rsidRPr="008A50B7">
        <w:rPr>
          <w:rFonts w:ascii="Arial" w:hAnsi="Arial" w:cs="Arial"/>
          <w:sz w:val="20"/>
          <w:szCs w:val="20"/>
          <w:shd w:val="clear" w:color="auto" w:fill="FFFFFF"/>
        </w:rPr>
        <w:t>,</w:t>
      </w:r>
      <w:r w:rsidRPr="008A50B7">
        <w:rPr>
          <w:rStyle w:val="apple-converted-space"/>
          <w:rFonts w:ascii="Arial" w:hAnsi="Arial" w:cs="Arial"/>
          <w:sz w:val="20"/>
          <w:szCs w:val="20"/>
          <w:shd w:val="clear" w:color="auto" w:fill="FFFFFF"/>
        </w:rPr>
        <w:t> </w:t>
      </w:r>
      <w:r w:rsidRPr="008A50B7">
        <w:rPr>
          <w:rFonts w:ascii="Arial" w:hAnsi="Arial" w:cs="Arial"/>
          <w:i/>
          <w:iCs/>
          <w:sz w:val="20"/>
          <w:szCs w:val="20"/>
        </w:rPr>
        <w:t>111</w:t>
      </w:r>
      <w:r w:rsidRPr="008A50B7">
        <w:rPr>
          <w:rFonts w:ascii="Arial" w:hAnsi="Arial" w:cs="Arial"/>
          <w:sz w:val="20"/>
          <w:szCs w:val="20"/>
          <w:shd w:val="clear" w:color="auto" w:fill="FFFFFF"/>
        </w:rPr>
        <w:t>, 111-118.</w:t>
      </w:r>
    </w:p>
    <w:p w14:paraId="68366B64" w14:textId="77777777" w:rsidR="008F51F7" w:rsidRPr="008A50B7" w:rsidRDefault="008F51F7" w:rsidP="008F51F7">
      <w:pPr>
        <w:pStyle w:val="ListParagraph"/>
        <w:widowControl w:val="0"/>
        <w:numPr>
          <w:ilvl w:val="0"/>
          <w:numId w:val="1"/>
        </w:numPr>
        <w:autoSpaceDE w:val="0"/>
        <w:autoSpaceDN w:val="0"/>
        <w:adjustRightInd w:val="0"/>
        <w:spacing w:line="240" w:lineRule="auto"/>
        <w:rPr>
          <w:rFonts w:ascii="Arial" w:hAnsi="Arial" w:cs="Arial"/>
          <w:noProof/>
          <w:sz w:val="20"/>
          <w:szCs w:val="20"/>
        </w:rPr>
      </w:pPr>
      <w:r w:rsidRPr="008A50B7">
        <w:rPr>
          <w:rFonts w:ascii="Arial" w:hAnsi="Arial" w:cs="Arial"/>
          <w:noProof/>
          <w:sz w:val="20"/>
          <w:szCs w:val="20"/>
        </w:rPr>
        <w:t xml:space="preserve">Lovibond, S. H. &amp; Lovibond, P. F. (1995). </w:t>
      </w:r>
      <w:r w:rsidRPr="008A50B7">
        <w:rPr>
          <w:rFonts w:ascii="Arial" w:hAnsi="Arial" w:cs="Arial"/>
          <w:i/>
          <w:iCs/>
          <w:noProof/>
          <w:sz w:val="20"/>
          <w:szCs w:val="20"/>
        </w:rPr>
        <w:t>Manual for the depression anxiety stress scales</w:t>
      </w:r>
      <w:r w:rsidRPr="008A50B7">
        <w:rPr>
          <w:rFonts w:ascii="Arial" w:hAnsi="Arial" w:cs="Arial"/>
          <w:noProof/>
          <w:sz w:val="20"/>
          <w:szCs w:val="20"/>
        </w:rPr>
        <w:t>. Psychology Foudnation of Australia.</w:t>
      </w:r>
    </w:p>
    <w:p w14:paraId="0AC2BE16" w14:textId="77777777" w:rsidR="008F51F7" w:rsidRPr="008A50B7" w:rsidRDefault="008F51F7" w:rsidP="008F51F7">
      <w:pPr>
        <w:pStyle w:val="ListParagraph"/>
        <w:numPr>
          <w:ilvl w:val="0"/>
          <w:numId w:val="1"/>
        </w:numPr>
        <w:spacing w:after="0" w:line="240" w:lineRule="auto"/>
        <w:rPr>
          <w:rFonts w:ascii="Arial" w:hAnsi="Arial" w:cs="Arial"/>
          <w:sz w:val="20"/>
          <w:szCs w:val="20"/>
        </w:rPr>
      </w:pPr>
      <w:r w:rsidRPr="008A50B7">
        <w:rPr>
          <w:rFonts w:ascii="Arial" w:hAnsi="Arial" w:cs="Arial"/>
          <w:sz w:val="20"/>
          <w:szCs w:val="20"/>
        </w:rPr>
        <w:t xml:space="preserve">Mire, S.S., Truong, D.M., Sakyi, G.J., Ayala-Brittain, M.L., Boykin, J.D., Stewart, C.M., Daniels, F., Duran, B., Gardner, S., Barth A.M., Richardson, G., McKee, S.L. (2024). A Systematic Review of Recruiting and Retaining Sociodemographically Diverse Families in Neurodevelopmental Research Studies. </w:t>
      </w:r>
      <w:r w:rsidRPr="008A50B7">
        <w:rPr>
          <w:rFonts w:ascii="Arial" w:hAnsi="Arial" w:cs="Arial"/>
          <w:i/>
          <w:iCs/>
          <w:sz w:val="20"/>
          <w:szCs w:val="20"/>
        </w:rPr>
        <w:t>Journal of Autism and Developmental Disorders,</w:t>
      </w:r>
      <w:r w:rsidRPr="008A50B7">
        <w:rPr>
          <w:rFonts w:ascii="Arial" w:hAnsi="Arial" w:cs="Arial"/>
          <w:sz w:val="20"/>
          <w:szCs w:val="20"/>
        </w:rPr>
        <w:t xml:space="preserve"> </w:t>
      </w:r>
      <w:r w:rsidRPr="008A50B7">
        <w:rPr>
          <w:rFonts w:ascii="Arial" w:hAnsi="Arial" w:cs="Arial"/>
          <w:i/>
          <w:iCs/>
          <w:sz w:val="20"/>
          <w:szCs w:val="20"/>
        </w:rPr>
        <w:t>54</w:t>
      </w:r>
      <w:r w:rsidRPr="008A50B7">
        <w:rPr>
          <w:rFonts w:ascii="Arial" w:hAnsi="Arial" w:cs="Arial"/>
          <w:sz w:val="20"/>
          <w:szCs w:val="20"/>
        </w:rPr>
        <w:t xml:space="preserve">, 2307–2321. </w:t>
      </w:r>
      <w:hyperlink r:id="rId8" w:history="1">
        <w:r w:rsidRPr="008A50B7">
          <w:rPr>
            <w:rStyle w:val="Hyperlink"/>
            <w:rFonts w:ascii="Arial" w:hAnsi="Arial" w:cs="Arial"/>
            <w:sz w:val="20"/>
            <w:szCs w:val="20"/>
          </w:rPr>
          <w:t>https://doi.org/10.1007/s10803-023-05968-x</w:t>
        </w:r>
      </w:hyperlink>
      <w:r w:rsidRPr="008A50B7">
        <w:rPr>
          <w:rFonts w:ascii="Arial" w:hAnsi="Arial" w:cs="Arial"/>
          <w:sz w:val="20"/>
          <w:szCs w:val="20"/>
        </w:rPr>
        <w:t xml:space="preserve"> </w:t>
      </w:r>
    </w:p>
    <w:p w14:paraId="6C0314E7" w14:textId="77777777" w:rsidR="008F51F7" w:rsidRPr="008A50B7" w:rsidRDefault="008F51F7" w:rsidP="008F51F7">
      <w:pPr>
        <w:pStyle w:val="ListParagraph"/>
        <w:widowControl w:val="0"/>
        <w:numPr>
          <w:ilvl w:val="0"/>
          <w:numId w:val="1"/>
        </w:numPr>
        <w:autoSpaceDE w:val="0"/>
        <w:autoSpaceDN w:val="0"/>
        <w:adjustRightInd w:val="0"/>
        <w:spacing w:line="240" w:lineRule="auto"/>
        <w:rPr>
          <w:rFonts w:ascii="Arial" w:hAnsi="Arial" w:cs="Arial"/>
          <w:noProof/>
          <w:sz w:val="20"/>
          <w:szCs w:val="20"/>
        </w:rPr>
      </w:pPr>
      <w:r w:rsidRPr="008A50B7">
        <w:rPr>
          <w:rFonts w:ascii="Arial" w:hAnsi="Arial" w:cs="Arial"/>
          <w:sz w:val="20"/>
          <w:szCs w:val="20"/>
        </w:rPr>
        <w:t xml:space="preserve">Neff, K. D. (2003). Development and validation of a scale to measure self-compassion. </w:t>
      </w:r>
      <w:r w:rsidRPr="008A50B7">
        <w:rPr>
          <w:rFonts w:ascii="Arial" w:hAnsi="Arial" w:cs="Arial"/>
          <w:i/>
          <w:iCs/>
          <w:sz w:val="20"/>
          <w:szCs w:val="20"/>
        </w:rPr>
        <w:t>Self and Identity</w:t>
      </w:r>
      <w:r w:rsidRPr="008A50B7">
        <w:rPr>
          <w:rFonts w:ascii="Arial" w:hAnsi="Arial" w:cs="Arial"/>
          <w:sz w:val="20"/>
          <w:szCs w:val="20"/>
        </w:rPr>
        <w:t xml:space="preserve">, </w:t>
      </w:r>
      <w:r w:rsidRPr="008A50B7">
        <w:rPr>
          <w:rFonts w:ascii="Arial" w:hAnsi="Arial" w:cs="Arial"/>
          <w:i/>
          <w:iCs/>
          <w:sz w:val="20"/>
          <w:szCs w:val="20"/>
        </w:rPr>
        <w:t>2</w:t>
      </w:r>
      <w:r w:rsidRPr="008A50B7">
        <w:rPr>
          <w:rFonts w:ascii="Arial" w:hAnsi="Arial" w:cs="Arial"/>
          <w:sz w:val="20"/>
          <w:szCs w:val="20"/>
        </w:rPr>
        <w:t>, 223-250.</w:t>
      </w:r>
    </w:p>
    <w:p w14:paraId="4D45C3A0" w14:textId="77777777" w:rsidR="008F51F7" w:rsidRPr="008A50B7" w:rsidRDefault="008F51F7" w:rsidP="008F51F7">
      <w:pPr>
        <w:pStyle w:val="ListParagraph"/>
        <w:numPr>
          <w:ilvl w:val="0"/>
          <w:numId w:val="1"/>
        </w:numPr>
        <w:spacing w:after="0" w:line="240" w:lineRule="auto"/>
        <w:rPr>
          <w:rFonts w:ascii="Arial" w:hAnsi="Arial" w:cs="Arial"/>
          <w:sz w:val="20"/>
          <w:szCs w:val="20"/>
        </w:rPr>
      </w:pPr>
      <w:r w:rsidRPr="008A50B7">
        <w:rPr>
          <w:rFonts w:ascii="Arial" w:hAnsi="Arial" w:cs="Arial"/>
          <w:sz w:val="20"/>
          <w:szCs w:val="20"/>
        </w:rPr>
        <w:t xml:space="preserve">Papoudi, D., Jørgensen, C.R., Guldberg, K. &amp; Meadan, H. (2021). Perceptions, experiences, and needs of parents of culturally and linguistically diverse children with autism: A scoping review. </w:t>
      </w:r>
      <w:r w:rsidRPr="008A50B7">
        <w:rPr>
          <w:rFonts w:ascii="Arial" w:hAnsi="Arial" w:cs="Arial"/>
          <w:i/>
          <w:iCs/>
          <w:sz w:val="20"/>
          <w:szCs w:val="20"/>
        </w:rPr>
        <w:t>Review Journal of Autism and Developmental Disorders</w:t>
      </w:r>
      <w:r w:rsidRPr="008A50B7">
        <w:rPr>
          <w:rFonts w:ascii="Arial" w:hAnsi="Arial" w:cs="Arial"/>
          <w:sz w:val="20"/>
          <w:szCs w:val="20"/>
        </w:rPr>
        <w:t xml:space="preserve">, </w:t>
      </w:r>
      <w:r w:rsidRPr="008A50B7">
        <w:rPr>
          <w:rFonts w:ascii="Arial" w:hAnsi="Arial" w:cs="Arial"/>
          <w:i/>
          <w:iCs/>
          <w:sz w:val="20"/>
          <w:szCs w:val="20"/>
        </w:rPr>
        <w:t>8</w:t>
      </w:r>
      <w:r w:rsidRPr="008A50B7">
        <w:rPr>
          <w:rFonts w:ascii="Arial" w:hAnsi="Arial" w:cs="Arial"/>
          <w:sz w:val="20"/>
          <w:szCs w:val="20"/>
        </w:rPr>
        <w:t xml:space="preserve">, 195–212. </w:t>
      </w:r>
      <w:hyperlink r:id="rId9" w:history="1">
        <w:r w:rsidRPr="008A50B7">
          <w:rPr>
            <w:rStyle w:val="Hyperlink"/>
            <w:rFonts w:ascii="Arial" w:hAnsi="Arial" w:cs="Arial"/>
            <w:sz w:val="20"/>
            <w:szCs w:val="20"/>
          </w:rPr>
          <w:t>https://doi.org/10.1007/s40489-020-00210-1</w:t>
        </w:r>
      </w:hyperlink>
      <w:r w:rsidRPr="008A50B7">
        <w:rPr>
          <w:rFonts w:ascii="Arial" w:hAnsi="Arial" w:cs="Arial"/>
          <w:sz w:val="20"/>
          <w:szCs w:val="20"/>
        </w:rPr>
        <w:t xml:space="preserve"> </w:t>
      </w:r>
    </w:p>
    <w:p w14:paraId="086EA593" w14:textId="77777777" w:rsidR="008F51F7" w:rsidRPr="008A50B7" w:rsidRDefault="008F51F7" w:rsidP="008F51F7">
      <w:pPr>
        <w:pStyle w:val="ListParagraph"/>
        <w:widowControl w:val="0"/>
        <w:numPr>
          <w:ilvl w:val="0"/>
          <w:numId w:val="1"/>
        </w:numPr>
        <w:autoSpaceDE w:val="0"/>
        <w:autoSpaceDN w:val="0"/>
        <w:adjustRightInd w:val="0"/>
        <w:spacing w:line="240" w:lineRule="auto"/>
        <w:rPr>
          <w:rFonts w:ascii="Arial" w:hAnsi="Arial" w:cs="Arial"/>
          <w:noProof/>
          <w:sz w:val="20"/>
          <w:szCs w:val="20"/>
        </w:rPr>
      </w:pPr>
      <w:r w:rsidRPr="008A50B7">
        <w:rPr>
          <w:rFonts w:ascii="Arial" w:hAnsi="Arial" w:cs="Arial"/>
          <w:sz w:val="20"/>
          <w:szCs w:val="20"/>
        </w:rPr>
        <w:lastRenderedPageBreak/>
        <w:t xml:space="preserve">Stewart-Brown, S., Tennant, A., Tennant, R., Platt, S., Parkinson, J., &amp; Weich, S. (2009). Internal construct validity of the War- wick-Edinburgh Mental Well-being Scale (WEMWBS): A Rasch analysis using data from the Scottish Health Education Population Survey. </w:t>
      </w:r>
      <w:r w:rsidRPr="008A50B7">
        <w:rPr>
          <w:rFonts w:ascii="Arial" w:hAnsi="Arial" w:cs="Arial"/>
          <w:i/>
          <w:iCs/>
          <w:sz w:val="20"/>
          <w:szCs w:val="20"/>
        </w:rPr>
        <w:t>Health and Quality of Life Outcomes</w:t>
      </w:r>
      <w:r w:rsidRPr="008A50B7">
        <w:rPr>
          <w:rFonts w:ascii="Arial" w:hAnsi="Arial" w:cs="Arial"/>
          <w:sz w:val="20"/>
          <w:szCs w:val="20"/>
        </w:rPr>
        <w:t xml:space="preserve">, </w:t>
      </w:r>
      <w:r w:rsidRPr="008A50B7">
        <w:rPr>
          <w:rFonts w:ascii="Arial" w:hAnsi="Arial" w:cs="Arial"/>
          <w:i/>
          <w:iCs/>
          <w:sz w:val="20"/>
          <w:szCs w:val="20"/>
        </w:rPr>
        <w:t>7</w:t>
      </w:r>
      <w:r w:rsidRPr="008A50B7">
        <w:rPr>
          <w:rFonts w:ascii="Arial" w:hAnsi="Arial" w:cs="Arial"/>
          <w:sz w:val="20"/>
          <w:szCs w:val="20"/>
        </w:rPr>
        <w:t>(1), 1–8. doi:</w:t>
      </w:r>
      <w:r w:rsidRPr="008A50B7">
        <w:rPr>
          <w:rFonts w:ascii="Arial" w:hAnsi="Arial" w:cs="Arial"/>
          <w:color w:val="0000FF"/>
          <w:sz w:val="20"/>
          <w:szCs w:val="20"/>
        </w:rPr>
        <w:t>10.1186/1477-7525-7-15</w:t>
      </w:r>
      <w:r w:rsidRPr="008A50B7">
        <w:rPr>
          <w:rFonts w:ascii="Arial" w:hAnsi="Arial" w:cs="Arial"/>
          <w:sz w:val="20"/>
          <w:szCs w:val="20"/>
        </w:rPr>
        <w:t xml:space="preserve">. </w:t>
      </w:r>
    </w:p>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44199C37" w14:textId="42B541CC" w:rsidR="0064135E" w:rsidRDefault="0064135E" w:rsidP="0064135E">
      <w:r w:rsidRPr="002A64F0">
        <w:rPr>
          <w:b/>
          <w:bCs/>
        </w:rPr>
        <w:t>Paper Title</w:t>
      </w:r>
      <w:r>
        <w:t xml:space="preserve">: </w:t>
      </w:r>
      <w:r w:rsidR="00E97188" w:rsidRPr="00E60D6B">
        <w:rPr>
          <w:rFonts w:ascii="Aptos" w:hAnsi="Aptos"/>
        </w:rPr>
        <w:t>Intervention to Enhance Student-Teacher Relationships: Positive collateral effects on teachers and caregivers</w:t>
      </w:r>
    </w:p>
    <w:p w14:paraId="258ABC7A" w14:textId="5F1CB99D" w:rsidR="0064135E" w:rsidRPr="00E97188" w:rsidRDefault="0064135E" w:rsidP="00E97188">
      <w:pPr>
        <w:rPr>
          <w:rFonts w:ascii="Aptos" w:hAnsi="Aptos" w:cs="Times New Roman (Body CS)"/>
          <w:vertAlign w:val="superscript"/>
        </w:rPr>
      </w:pPr>
      <w:r w:rsidRPr="002A64F0">
        <w:rPr>
          <w:b/>
          <w:bCs/>
        </w:rPr>
        <w:t>Authors</w:t>
      </w:r>
      <w:r>
        <w:t xml:space="preserve">: </w:t>
      </w:r>
      <w:r w:rsidR="00E97188" w:rsidRPr="00E60D6B">
        <w:rPr>
          <w:rFonts w:ascii="Aptos" w:hAnsi="Aptos"/>
        </w:rPr>
        <w:t>Jan Blacher</w:t>
      </w:r>
      <w:r w:rsidR="00E97188" w:rsidRPr="00E60D6B">
        <w:rPr>
          <w:rFonts w:ascii="Aptos" w:hAnsi="Aptos" w:cs="Times New Roman (Body CS)"/>
          <w:vertAlign w:val="superscript"/>
        </w:rPr>
        <w:t>1</w:t>
      </w:r>
      <w:r w:rsidR="00E97188" w:rsidRPr="00E60D6B">
        <w:rPr>
          <w:rFonts w:ascii="Aptos" w:hAnsi="Aptos"/>
        </w:rPr>
        <w:t>, Oscar Hughes</w:t>
      </w:r>
      <w:r w:rsidR="00E97188" w:rsidRPr="00E60D6B">
        <w:rPr>
          <w:rFonts w:ascii="Aptos" w:hAnsi="Aptos" w:cs="Times New Roman (Body CS)"/>
          <w:vertAlign w:val="superscript"/>
        </w:rPr>
        <w:t>2</w:t>
      </w:r>
      <w:r w:rsidR="00E97188" w:rsidRPr="00E60D6B">
        <w:rPr>
          <w:rFonts w:ascii="Aptos" w:hAnsi="Aptos"/>
        </w:rPr>
        <w:t>, Fernanda Castellon</w:t>
      </w:r>
      <w:r w:rsidR="00E97188" w:rsidRPr="00E60D6B">
        <w:rPr>
          <w:rFonts w:ascii="Aptos" w:hAnsi="Aptos" w:cs="Times New Roman (Body CS)"/>
          <w:vertAlign w:val="superscript"/>
        </w:rPr>
        <w:t>1</w:t>
      </w:r>
      <w:r w:rsidR="00E97188" w:rsidRPr="00E60D6B">
        <w:rPr>
          <w:rFonts w:ascii="Aptos" w:hAnsi="Aptos"/>
        </w:rPr>
        <w:t>, Narmene Hamsho</w:t>
      </w:r>
      <w:r w:rsidR="00E97188" w:rsidRPr="00E60D6B">
        <w:rPr>
          <w:rFonts w:ascii="Aptos" w:hAnsi="Aptos" w:cs="Times New Roman (Body CS)"/>
          <w:vertAlign w:val="superscript"/>
        </w:rPr>
        <w:t>3</w:t>
      </w:r>
      <w:r w:rsidR="00E97188" w:rsidRPr="00E60D6B">
        <w:rPr>
          <w:rFonts w:ascii="Aptos" w:hAnsi="Aptos"/>
        </w:rPr>
        <w:t>,  &amp; Abbey Eisenhower</w:t>
      </w:r>
      <w:r w:rsidR="00E97188" w:rsidRPr="00E60D6B">
        <w:rPr>
          <w:rFonts w:ascii="Aptos" w:hAnsi="Aptos" w:cs="Times New Roman (Body CS)"/>
          <w:vertAlign w:val="superscript"/>
        </w:rPr>
        <w:t>2</w:t>
      </w:r>
    </w:p>
    <w:p w14:paraId="566D6DA2" w14:textId="0E90B6F8" w:rsidR="0064135E" w:rsidRPr="00E97188" w:rsidRDefault="0064135E" w:rsidP="00E97188">
      <w:pPr>
        <w:rPr>
          <w:rFonts w:ascii="Aptos" w:eastAsia="Times New Roman" w:hAnsi="Aptos" w:cs="Times New Roman"/>
        </w:rPr>
      </w:pPr>
      <w:r w:rsidRPr="00E97188">
        <w:rPr>
          <w:b/>
          <w:bCs/>
          <w:lang w:val="en-CA"/>
        </w:rPr>
        <w:t>Introduction</w:t>
      </w:r>
      <w:r w:rsidRPr="00E97188">
        <w:rPr>
          <w:lang w:val="en-CA"/>
        </w:rPr>
        <w:t xml:space="preserve">: </w:t>
      </w:r>
      <w:r w:rsidR="00E97188" w:rsidRPr="00E60D6B">
        <w:rPr>
          <w:rFonts w:ascii="Aptos" w:eastAsia="Times New Roman" w:hAnsi="Aptos" w:cs="Times New Roman"/>
          <w:i/>
        </w:rPr>
        <w:t>Smooth Sailing</w:t>
      </w:r>
      <w:r w:rsidR="00E97188" w:rsidRPr="00E60D6B">
        <w:rPr>
          <w:rFonts w:ascii="Aptos" w:eastAsia="Times New Roman" w:hAnsi="Aptos" w:cs="Times New Roman"/>
        </w:rPr>
        <w:t xml:space="preserve"> is a </w:t>
      </w:r>
      <w:r w:rsidR="00E97188" w:rsidRPr="00E60D6B">
        <w:rPr>
          <w:rFonts w:ascii="Aptos" w:hAnsi="Aptos" w:cs="Times New Roman"/>
        </w:rPr>
        <w:t>relationship-focused, neurodiversity-affirming, professional development (PD) program</w:t>
      </w:r>
      <w:r w:rsidR="00E97188" w:rsidRPr="00E60D6B">
        <w:rPr>
          <w:rFonts w:ascii="Aptos" w:eastAsia="Times New Roman" w:hAnsi="Aptos" w:cs="Times New Roman"/>
        </w:rPr>
        <w:t xml:space="preserve"> for general education teachers in kindergarten through 2</w:t>
      </w:r>
      <w:r w:rsidR="00E97188" w:rsidRPr="00E60D6B">
        <w:rPr>
          <w:rFonts w:ascii="Aptos" w:eastAsia="Times New Roman" w:hAnsi="Aptos" w:cs="Times New Roman"/>
          <w:vertAlign w:val="superscript"/>
        </w:rPr>
        <w:t>nd</w:t>
      </w:r>
      <w:r w:rsidR="00E97188" w:rsidRPr="00E60D6B">
        <w:rPr>
          <w:rFonts w:ascii="Aptos" w:eastAsia="Times New Roman" w:hAnsi="Aptos" w:cs="Times New Roman"/>
        </w:rPr>
        <w:t xml:space="preserve"> grade.  The program targets improved student-teacher relationships (STRs) as its primary focus, while increasing teachers’ autism knowledge and enhancing partnerships with parents. Here, we report primary findings from: a) the pilot RCT on teacher-student relationship development; b) teacher reflections on their own learning; ac) parent perspectives on their school involvement and relationship with teachers.</w:t>
      </w:r>
    </w:p>
    <w:p w14:paraId="067BAEE6" w14:textId="248A3CAC" w:rsidR="00E97188" w:rsidRPr="00E97188" w:rsidRDefault="0064135E" w:rsidP="00E97188">
      <w:pPr>
        <w:rPr>
          <w:rFonts w:ascii="Aptos" w:eastAsia="Times New Roman" w:hAnsi="Aptos" w:cs="Times New Roman"/>
        </w:rPr>
      </w:pPr>
      <w:r w:rsidRPr="00E97188">
        <w:rPr>
          <w:b/>
          <w:bCs/>
          <w:lang w:val="en-CA"/>
        </w:rPr>
        <w:t>Method</w:t>
      </w:r>
      <w:r w:rsidRPr="00E97188">
        <w:rPr>
          <w:lang w:val="en-CA"/>
        </w:rPr>
        <w:t xml:space="preserve">: </w:t>
      </w:r>
      <w:r w:rsidR="00E97188" w:rsidRPr="00E60D6B">
        <w:rPr>
          <w:rFonts w:ascii="Aptos" w:hAnsi="Aptos" w:cs="Times New Roman"/>
        </w:rPr>
        <w:t>Participants in a pilot RCT were 32 general education teachers (kindergarten - 2</w:t>
      </w:r>
      <w:r w:rsidR="00E97188" w:rsidRPr="00E60D6B">
        <w:rPr>
          <w:rFonts w:ascii="Aptos" w:hAnsi="Aptos" w:cs="Times New Roman"/>
          <w:vertAlign w:val="superscript"/>
        </w:rPr>
        <w:t>nd</w:t>
      </w:r>
      <w:r w:rsidR="00E97188" w:rsidRPr="00E60D6B">
        <w:rPr>
          <w:rFonts w:ascii="Aptos" w:hAnsi="Aptos" w:cs="Times New Roman"/>
        </w:rPr>
        <w:t xml:space="preserve"> grade) and their autistic students and caregivers. An additional sample of 21 teachers and caregivers were enrolled in another round of the RCT. Student-teacher relationships will be reported as means from subscales of the Student-Teacher Relationship Scale (Pianta); parent-teacher relationship quality </w:t>
      </w:r>
      <w:r w:rsidR="00E97188" w:rsidRPr="001667B7">
        <w:t>(PTRQS; Andoni et al., 2022)</w:t>
      </w:r>
      <w:r w:rsidR="00E97188" w:rsidRPr="00E60D6B">
        <w:rPr>
          <w:rFonts w:ascii="Aptos" w:hAnsi="Aptos" w:cs="Times New Roman"/>
        </w:rPr>
        <w:t xml:space="preserve"> will be reported from teachers and parents. </w:t>
      </w:r>
    </w:p>
    <w:p w14:paraId="31051F65" w14:textId="77777777" w:rsidR="00E97188" w:rsidRDefault="00E97188" w:rsidP="00E97188">
      <w:pPr>
        <w:rPr>
          <w:rFonts w:ascii="Aptos" w:hAnsi="Aptos" w:cs="Times New Roman"/>
        </w:rPr>
      </w:pPr>
      <w:r w:rsidRPr="00E60D6B">
        <w:rPr>
          <w:rFonts w:ascii="Aptos" w:eastAsia="Times New Roman" w:hAnsi="Aptos" w:cs="Times New Roman"/>
        </w:rPr>
        <w:t xml:space="preserve">While Smooth Sailing is delivered virtually, there are two in-vivo activities. One is  Time2Connect (T2C) --  short sessions (3-10 min), one-on-one interactions with a focal autistic student during the school day. T2C incorporates evidence-based strategies to promote positive student-teacher relationships and is child-led, non-directive, and communicates teacher enthusiasm about the students’ interests. The sample of 21 teachers answered open-ended questions about how their student responded to T2C and what they learned about the student. Initial thematic analysis of their open-ended responses will also be presented. The other strategy is Teacher-As-Interviewer (TAI), a </w:t>
      </w:r>
      <w:r w:rsidRPr="00E60D6B">
        <w:rPr>
          <w:rFonts w:ascii="Aptos" w:hAnsi="Aptos" w:cs="Times New Roman"/>
        </w:rPr>
        <w:t>30-45 minute interview with the student’s caregiver(s) to strengthen caregiver-teacher collaboration. Teachers utilize active listening strategies, including validation and reflection, while learning more about the child and caregiver that will help build their student-teacher and caregiver-teacher relationships.</w:t>
      </w:r>
    </w:p>
    <w:p w14:paraId="7E745A6A" w14:textId="77777777" w:rsidR="00E97188" w:rsidRPr="00E60D6B" w:rsidRDefault="0064135E" w:rsidP="00E97188">
      <w:pPr>
        <w:rPr>
          <w:rFonts w:ascii="Aptos" w:eastAsia="Times New Roman" w:hAnsi="Aptos" w:cs="Times New Roman"/>
        </w:rPr>
      </w:pPr>
      <w:r w:rsidRPr="007B5928">
        <w:rPr>
          <w:b/>
          <w:bCs/>
        </w:rPr>
        <w:t>Results</w:t>
      </w:r>
      <w:r>
        <w:t>:</w:t>
      </w:r>
      <w:r w:rsidRPr="009B17A1">
        <w:t xml:space="preserve"> </w:t>
      </w:r>
      <w:bookmarkStart w:id="0" w:name="OLE_LINK1"/>
      <w:bookmarkStart w:id="1" w:name="OLE_LINK2"/>
      <w:r w:rsidR="00E97188" w:rsidRPr="00E60D6B">
        <w:rPr>
          <w:rFonts w:ascii="Aptos" w:eastAsia="Times New Roman" w:hAnsi="Aptos" w:cs="Times New Roman"/>
        </w:rPr>
        <w:t xml:space="preserve">Intent-to-treat analyses show that the Smooth Sailing program had medium-to-large effects on teacher-reported student-teacher closeness (Cohen’s </w:t>
      </w:r>
      <w:r w:rsidR="00E97188" w:rsidRPr="00E60D6B">
        <w:rPr>
          <w:rFonts w:ascii="Aptos" w:eastAsia="Times New Roman" w:hAnsi="Aptos" w:cs="Times New Roman"/>
          <w:i/>
        </w:rPr>
        <w:t>d</w:t>
      </w:r>
      <w:r w:rsidR="00E97188" w:rsidRPr="00E60D6B">
        <w:rPr>
          <w:rFonts w:ascii="Aptos" w:eastAsia="Times New Roman" w:hAnsi="Aptos" w:cs="Times New Roman"/>
        </w:rPr>
        <w:t>=.60), conflict (-.51) and overall STR quality (.79). Effects on teacher-reported (PTR) quality were delayed, with gains increasing by follow-up (</w:t>
      </w:r>
      <w:r w:rsidR="00E97188" w:rsidRPr="00E60D6B">
        <w:rPr>
          <w:rFonts w:ascii="Aptos" w:eastAsia="Times New Roman" w:hAnsi="Aptos" w:cs="Times New Roman"/>
          <w:i/>
        </w:rPr>
        <w:t>d</w:t>
      </w:r>
      <w:r w:rsidR="00E97188" w:rsidRPr="00E60D6B">
        <w:rPr>
          <w:rFonts w:ascii="Aptos" w:eastAsia="Times New Roman" w:hAnsi="Aptos" w:cs="Times New Roman"/>
        </w:rPr>
        <w:t xml:space="preserve">s=.56, .78).  </w:t>
      </w:r>
      <w:r w:rsidR="00E97188" w:rsidRPr="00E60D6B">
        <w:rPr>
          <w:rFonts w:ascii="Aptos" w:eastAsia="Times New Roman" w:hAnsi="Aptos" w:cs="Times New Roman"/>
          <w:bCs/>
        </w:rPr>
        <w:t xml:space="preserve">The program showed excellent </w:t>
      </w:r>
      <w:r w:rsidR="00E97188" w:rsidRPr="00E60D6B">
        <w:rPr>
          <w:rFonts w:ascii="Aptos" w:eastAsia="Times New Roman" w:hAnsi="Aptos" w:cs="Times New Roman"/>
          <w:bCs/>
          <w:u w:val="single"/>
        </w:rPr>
        <w:t>acceptability</w:t>
      </w:r>
      <w:r w:rsidR="00E97188" w:rsidRPr="00E60D6B">
        <w:rPr>
          <w:rFonts w:ascii="Aptos" w:eastAsia="Times New Roman" w:hAnsi="Aptos" w:cs="Times New Roman"/>
          <w:bCs/>
        </w:rPr>
        <w:t xml:space="preserve"> (e.g., 100% would recommend the program to colleagues) and </w:t>
      </w:r>
      <w:r w:rsidR="00E97188" w:rsidRPr="00E60D6B">
        <w:rPr>
          <w:rFonts w:ascii="Aptos" w:eastAsia="Times New Roman" w:hAnsi="Aptos" w:cs="Times New Roman"/>
          <w:bCs/>
          <w:u w:val="single"/>
        </w:rPr>
        <w:t>implementation fidelity</w:t>
      </w:r>
      <w:r w:rsidR="00E97188" w:rsidRPr="00E60D6B">
        <w:rPr>
          <w:rFonts w:ascii="Aptos" w:eastAsia="Times New Roman" w:hAnsi="Aptos" w:cs="Times New Roman"/>
          <w:bCs/>
        </w:rPr>
        <w:t xml:space="preserve"> (e.g., teachers completed 7.9/8 modules; 96-100% conducted T2Cs and TAIs). The program’s virtual format, including virtual coaching, was well-received. </w:t>
      </w:r>
      <w:r w:rsidR="00E97188" w:rsidRPr="00E60D6B">
        <w:rPr>
          <w:rFonts w:ascii="Aptos" w:eastAsia="Times New Roman" w:hAnsi="Aptos" w:cs="Times New Roman"/>
        </w:rPr>
        <w:t xml:space="preserve"> </w:t>
      </w:r>
      <w:bookmarkEnd w:id="0"/>
      <w:bookmarkEnd w:id="1"/>
    </w:p>
    <w:p w14:paraId="50BD9B61" w14:textId="77777777" w:rsidR="00E97188" w:rsidRPr="00E60D6B" w:rsidRDefault="00E97188" w:rsidP="00E97188">
      <w:pPr>
        <w:rPr>
          <w:rFonts w:ascii="Aptos" w:hAnsi="Aptos" w:cs="Times New Roman"/>
        </w:rPr>
      </w:pPr>
    </w:p>
    <w:p w14:paraId="09BD7E0C" w14:textId="6AE172F5" w:rsidR="00E97188" w:rsidRPr="00E60D6B" w:rsidRDefault="00E97188" w:rsidP="00E97188">
      <w:pPr>
        <w:rPr>
          <w:rFonts w:ascii="Aptos" w:eastAsia="Times New Roman" w:hAnsi="Aptos" w:cs="Times New Roman"/>
        </w:rPr>
      </w:pPr>
      <w:r w:rsidRPr="00E60D6B">
        <w:rPr>
          <w:rFonts w:ascii="Aptos" w:eastAsia="Times New Roman" w:hAnsi="Aptos" w:cs="Times New Roman"/>
        </w:rPr>
        <w:lastRenderedPageBreak/>
        <w:t>All teachers implemented T2C sessions (mean: 9.45, range: 1-50), at an average of 3 sessions per week (range: 1-10). All teachers reported fully or partially using the learned strategies (following the child’s lead, descriptive commenting, and shared enthusiasm) and 97-100% of teachers reported fully or partially avoiding directives, academic instruction, and asking questions. 76% of teachers reported avoiding questions to be a challenging T2C strategy to implement.</w:t>
      </w:r>
    </w:p>
    <w:p w14:paraId="219AD120" w14:textId="6604215B" w:rsidR="00E97188" w:rsidRDefault="00E97188" w:rsidP="00E97188">
      <w:pPr>
        <w:contextualSpacing/>
        <w:rPr>
          <w:rFonts w:ascii="Aptos" w:eastAsia="Gungsuh" w:hAnsi="Aptos" w:cs="Times New Roman"/>
        </w:rPr>
      </w:pPr>
      <w:r w:rsidRPr="00E60D6B">
        <w:rPr>
          <w:rFonts w:ascii="Aptos" w:eastAsia="Gungsuh" w:hAnsi="Aptos" w:cs="Times New Roman"/>
        </w:rPr>
        <w:t xml:space="preserve">Across the six main TAI strategies, active listening was the strategy teachers were most likely to endorse having implemented well (20 teachers), followed by validation (15 teachers). In terms of the self-rated overall quality of implementation of TAI strategies, teachers rated themselves at a mean of 8.1 on a 10-pt. scale (SD=1.3, range: 5-10). </w:t>
      </w:r>
    </w:p>
    <w:p w14:paraId="5DC153EE" w14:textId="77777777" w:rsidR="00E97188" w:rsidRPr="00E97188" w:rsidRDefault="00E97188" w:rsidP="00E97188">
      <w:pPr>
        <w:contextualSpacing/>
        <w:rPr>
          <w:rFonts w:ascii="Aptos" w:eastAsia="Gungsuh" w:hAnsi="Aptos" w:cs="Times New Roman"/>
        </w:rPr>
      </w:pPr>
    </w:p>
    <w:p w14:paraId="251538FC" w14:textId="47807FBE" w:rsidR="0064135E" w:rsidRPr="00E97188" w:rsidRDefault="00E97188" w:rsidP="00E97188">
      <w:pPr>
        <w:rPr>
          <w:rFonts w:ascii="Aptos" w:eastAsia="Times New Roman" w:hAnsi="Aptos" w:cs="Times New Roman"/>
        </w:rPr>
      </w:pPr>
      <w:r w:rsidRPr="00E60D6B">
        <w:rPr>
          <w:rFonts w:ascii="Aptos" w:hAnsi="Aptos" w:cs="Times New Roman"/>
        </w:rPr>
        <w:t xml:space="preserve">Analyses on the efficacy and feasibility of the additional 21 teachers are underway. </w:t>
      </w:r>
    </w:p>
    <w:p w14:paraId="3A37D9AA" w14:textId="07E86A58" w:rsidR="0064135E" w:rsidRPr="00E97188" w:rsidRDefault="0064135E" w:rsidP="0064135E">
      <w:pPr>
        <w:rPr>
          <w:lang w:val="en-CA"/>
        </w:rPr>
      </w:pPr>
      <w:r w:rsidRPr="00E97188">
        <w:rPr>
          <w:b/>
          <w:bCs/>
          <w:lang w:val="en-CA"/>
        </w:rPr>
        <w:t>Discussion</w:t>
      </w:r>
      <w:r w:rsidRPr="00E97188">
        <w:rPr>
          <w:lang w:val="en-CA"/>
        </w:rPr>
        <w:t>:</w:t>
      </w:r>
      <w:r w:rsidR="002A64F0" w:rsidRPr="00E97188">
        <w:rPr>
          <w:lang w:val="en-CA"/>
        </w:rPr>
        <w:t xml:space="preserve"> </w:t>
      </w:r>
      <w:r w:rsidR="00E97188" w:rsidRPr="00E60D6B">
        <w:rPr>
          <w:rFonts w:ascii="Aptos" w:eastAsia="Times New Roman" w:hAnsi="Aptos" w:cs="Times New Roman"/>
        </w:rPr>
        <w:t xml:space="preserve">Results from our pilot RCT suggest that </w:t>
      </w:r>
      <w:r w:rsidR="00E97188" w:rsidRPr="00E60D6B">
        <w:rPr>
          <w:rFonts w:ascii="Aptos" w:eastAsia="Times New Roman" w:hAnsi="Aptos" w:cs="Times New Roman"/>
          <w:i/>
          <w:iCs/>
        </w:rPr>
        <w:t>Smooth Sailing</w:t>
      </w:r>
      <w:r w:rsidR="00E97188" w:rsidRPr="00E60D6B">
        <w:rPr>
          <w:rFonts w:ascii="Aptos" w:eastAsia="Times New Roman" w:hAnsi="Aptos" w:cs="Times New Roman"/>
        </w:rPr>
        <w:t>, a virtually-delivered program, can assist general education teachers develop meaningful connections with families and build relationships with autistic students. The in-class conduct of T2C sessions represent a promising approach for K-2 general education teachers to get to know their autistic students, recognize their students' interests and strengths, and to ultimately reduce conflict and promote closeness between autistic students and their teachers. Discussion will focus on the program’s social validity.</w:t>
      </w:r>
    </w:p>
    <w:p w14:paraId="7F9271F6" w14:textId="77777777" w:rsidR="00E97188" w:rsidRPr="00E60D6B" w:rsidRDefault="00E97188" w:rsidP="00E97188">
      <w:pPr>
        <w:rPr>
          <w:rFonts w:ascii="Aptos" w:hAnsi="Aptos" w:cs="Times New Roman (Body CS)"/>
        </w:rPr>
      </w:pPr>
      <w:r w:rsidRPr="00E60D6B">
        <w:rPr>
          <w:rFonts w:ascii="Aptos" w:hAnsi="Aptos" w:cs="Times New Roman (Body CS)"/>
          <w:vertAlign w:val="superscript"/>
        </w:rPr>
        <w:t>1</w:t>
      </w:r>
      <w:r w:rsidRPr="00E60D6B">
        <w:rPr>
          <w:rFonts w:ascii="Aptos" w:hAnsi="Aptos" w:cs="Times New Roman (Body CS)"/>
        </w:rPr>
        <w:t xml:space="preserve"> University of California, Riverside</w:t>
      </w:r>
    </w:p>
    <w:p w14:paraId="302ADD9C" w14:textId="77777777" w:rsidR="00E97188" w:rsidRPr="00E60D6B" w:rsidRDefault="00E97188" w:rsidP="00E97188">
      <w:pPr>
        <w:rPr>
          <w:rFonts w:ascii="Aptos" w:hAnsi="Aptos" w:cs="Times New Roman (Body CS)"/>
        </w:rPr>
      </w:pPr>
      <w:r w:rsidRPr="00E60D6B">
        <w:rPr>
          <w:rFonts w:ascii="Aptos" w:hAnsi="Aptos" w:cs="Times New Roman (Body CS)"/>
          <w:vertAlign w:val="superscript"/>
        </w:rPr>
        <w:t xml:space="preserve">2 </w:t>
      </w:r>
      <w:r w:rsidRPr="00E60D6B">
        <w:rPr>
          <w:rFonts w:ascii="Aptos" w:hAnsi="Aptos" w:cs="Times New Roman (Body CS)"/>
        </w:rPr>
        <w:t>University of Massachusetts, Boston</w:t>
      </w:r>
    </w:p>
    <w:p w14:paraId="77846B3B" w14:textId="77777777" w:rsidR="00E97188" w:rsidRPr="00E60D6B" w:rsidRDefault="00E97188" w:rsidP="00E97188">
      <w:pPr>
        <w:rPr>
          <w:rFonts w:ascii="Aptos" w:hAnsi="Aptos" w:cs="Times New Roman (Body CS)"/>
        </w:rPr>
      </w:pPr>
      <w:r w:rsidRPr="00E60D6B">
        <w:rPr>
          <w:rFonts w:ascii="Aptos" w:hAnsi="Aptos" w:cs="Times New Roman (Body CS)"/>
          <w:vertAlign w:val="superscript"/>
        </w:rPr>
        <w:t xml:space="preserve">3 </w:t>
      </w:r>
      <w:r w:rsidRPr="00E60D6B">
        <w:rPr>
          <w:rFonts w:ascii="Aptos" w:hAnsi="Aptos" w:cs="Times New Roman (Body CS)"/>
        </w:rPr>
        <w:t xml:space="preserve">Fairleigh Dickinson University </w:t>
      </w:r>
    </w:p>
    <w:p w14:paraId="2E12B42A" w14:textId="77777777" w:rsidR="00E97188" w:rsidRPr="00E60D6B" w:rsidRDefault="00E97188" w:rsidP="00E97188">
      <w:pPr>
        <w:rPr>
          <w:rFonts w:ascii="Aptos" w:hAnsi="Aptos" w:cs="Times New Roman (Body CS)"/>
        </w:rPr>
      </w:pPr>
    </w:p>
    <w:p w14:paraId="1E96814F" w14:textId="77777777" w:rsidR="00E97188" w:rsidRPr="00E60D6B" w:rsidRDefault="00E97188" w:rsidP="00E97188">
      <w:pPr>
        <w:rPr>
          <w:rFonts w:ascii="Aptos" w:eastAsia="Times New Roman" w:hAnsi="Aptos" w:cs="Times New Roman"/>
        </w:rPr>
      </w:pPr>
      <w:r w:rsidRPr="00E60D6B">
        <w:rPr>
          <w:rFonts w:ascii="Aptos" w:eastAsia="Times New Roman" w:hAnsi="Aptos" w:cs="Times New Roman"/>
          <w:b/>
        </w:rPr>
        <w:t xml:space="preserve">Funding Source: </w:t>
      </w:r>
      <w:r w:rsidRPr="00E60D6B">
        <w:rPr>
          <w:rFonts w:ascii="Aptos" w:eastAsia="Times New Roman" w:hAnsi="Aptos" w:cs="Times New Roman"/>
        </w:rPr>
        <w:t>This research was supported by the Institute of Education Science, U.S. Department of Education, through Grant #R324A180105 (PI: Blacher) and R324A230223 (PI: Eisenhower).</w:t>
      </w:r>
    </w:p>
    <w:p w14:paraId="0BA6187E" w14:textId="51D1FAE1" w:rsidR="0064135E" w:rsidRDefault="0064135E" w:rsidP="0064135E"/>
    <w:sectPr w:rsidR="0064135E" w:rsidSect="00F01EB9">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85FA" w14:textId="77777777" w:rsidR="00F60D0A" w:rsidRDefault="00F60D0A" w:rsidP="00F01EB9">
      <w:pPr>
        <w:spacing w:after="0" w:line="240" w:lineRule="auto"/>
      </w:pPr>
      <w:r>
        <w:separator/>
      </w:r>
    </w:p>
  </w:endnote>
  <w:endnote w:type="continuationSeparator" w:id="0">
    <w:p w14:paraId="2D041D5B" w14:textId="77777777" w:rsidR="00F60D0A" w:rsidRDefault="00F60D0A"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Gungsuh">
    <w:panose1 w:val="02030600000101010101"/>
    <w:charset w:val="81"/>
    <w:family w:val="roman"/>
    <w:pitch w:val="variable"/>
    <w:sig w:usb0="B00002AF" w:usb1="69D77CFB" w:usb2="00000030" w:usb3="00000000" w:csb0="0008009F" w:csb1="00000000"/>
  </w:font>
  <w:font w:name="Kefa">
    <w:panose1 w:val="02000506000000020004"/>
    <w:charset w:val="00"/>
    <w:family w:val="auto"/>
    <w:pitch w:val="variable"/>
    <w:sig w:usb0="800000AF" w:usb1="4000204B" w:usb2="000008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D145" w14:textId="77777777" w:rsidR="000C3994" w:rsidRDefault="000C3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F4C3" w14:textId="77777777" w:rsidR="000C3994" w:rsidRDefault="000C3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3FE99" w14:textId="77777777" w:rsidR="00F60D0A" w:rsidRDefault="00F60D0A" w:rsidP="00F01EB9">
      <w:pPr>
        <w:spacing w:after="0" w:line="240" w:lineRule="auto"/>
      </w:pPr>
      <w:r>
        <w:separator/>
      </w:r>
    </w:p>
  </w:footnote>
  <w:footnote w:type="continuationSeparator" w:id="0">
    <w:p w14:paraId="0605C36E" w14:textId="77777777" w:rsidR="00F60D0A" w:rsidRDefault="00F60D0A" w:rsidP="00F01EB9">
      <w:pPr>
        <w:spacing w:after="0" w:line="240" w:lineRule="auto"/>
      </w:pPr>
      <w:r>
        <w:continuationSeparator/>
      </w:r>
    </w:p>
  </w:footnote>
  <w:footnote w:id="1">
    <w:p w14:paraId="16C1C3C9" w14:textId="77777777" w:rsidR="00262772" w:rsidRPr="00262772" w:rsidRDefault="0064135E" w:rsidP="00262772">
      <w:pPr>
        <w:pStyle w:val="FootnoteText"/>
        <w:rPr>
          <w:lang w:val="en-GB"/>
        </w:rPr>
      </w:pPr>
      <w:r>
        <w:rPr>
          <w:rStyle w:val="FootnoteReference"/>
        </w:rPr>
        <w:footnoteRef/>
      </w:r>
      <w:r>
        <w:t xml:space="preserve"> </w:t>
      </w:r>
      <w:r w:rsidR="00262772" w:rsidRPr="00262772">
        <w:t>University of California, Riverside</w:t>
      </w:r>
    </w:p>
    <w:p w14:paraId="26A91D14" w14:textId="2280A42D" w:rsidR="0064135E" w:rsidRDefault="0064135E">
      <w:pPr>
        <w:pStyle w:val="FootnoteText"/>
      </w:pPr>
    </w:p>
  </w:footnote>
  <w:footnote w:id="2">
    <w:p w14:paraId="43230FD7" w14:textId="77777777" w:rsidR="003A03ED" w:rsidRPr="003A03ED" w:rsidRDefault="002A64F0" w:rsidP="003A03ED">
      <w:pPr>
        <w:pStyle w:val="FootnoteText"/>
      </w:pPr>
      <w:r>
        <w:rPr>
          <w:rStyle w:val="FootnoteReference"/>
        </w:rPr>
        <w:footnoteRef/>
      </w:r>
      <w:r>
        <w:t xml:space="preserve"> </w:t>
      </w:r>
      <w:r w:rsidR="003A03ED" w:rsidRPr="003A03ED">
        <w:t>University of California, Los Angeles</w:t>
      </w:r>
    </w:p>
    <w:p w14:paraId="470A6345" w14:textId="33238F10" w:rsidR="002A64F0" w:rsidRDefault="002A64F0">
      <w:pPr>
        <w:pStyle w:val="FootnoteText"/>
      </w:pPr>
    </w:p>
  </w:footnote>
  <w:footnote w:id="3">
    <w:p w14:paraId="1BF03752" w14:textId="77777777" w:rsidR="00FB16F6" w:rsidRDefault="00FB16F6" w:rsidP="00FB16F6">
      <w:pPr>
        <w:pStyle w:val="FootnoteText"/>
      </w:pPr>
      <w:r>
        <w:rPr>
          <w:rStyle w:val="FootnoteReference"/>
        </w:rPr>
        <w:footnoteRef/>
      </w:r>
      <w:r>
        <w:t xml:space="preserve"> University College London (UK)</w:t>
      </w:r>
    </w:p>
  </w:footnote>
  <w:footnote w:id="4">
    <w:p w14:paraId="6986F351" w14:textId="77777777" w:rsidR="00FB16F6" w:rsidRDefault="00FB16F6" w:rsidP="00FB16F6">
      <w:pPr>
        <w:pStyle w:val="FootnoteText"/>
      </w:pPr>
      <w:r>
        <w:rPr>
          <w:rStyle w:val="FootnoteReference"/>
        </w:rPr>
        <w:footnoteRef/>
      </w:r>
      <w:r>
        <w:t xml:space="preserve"> Tavistock &amp; Portman NHS Foundation Trust (UK)</w:t>
      </w:r>
    </w:p>
  </w:footnote>
  <w:footnote w:id="5">
    <w:p w14:paraId="793162E8" w14:textId="77777777" w:rsidR="00FB16F6" w:rsidRDefault="00FB16F6" w:rsidP="00FB16F6">
      <w:pPr>
        <w:pStyle w:val="FootnoteText"/>
      </w:pPr>
      <w:r>
        <w:rPr>
          <w:rStyle w:val="FootnoteReference"/>
        </w:rPr>
        <w:footnoteRef/>
      </w:r>
      <w:r>
        <w:t xml:space="preserve"> </w:t>
      </w:r>
      <w:r w:rsidRPr="00FC178D">
        <w:t>South London and Maudsley NHS Foundation Trus</w:t>
      </w:r>
      <w:r>
        <w:t>t</w:t>
      </w:r>
      <w:r w:rsidRPr="00FC178D">
        <w:t xml:space="preserve"> </w:t>
      </w:r>
      <w:r>
        <w:t>(UK)</w:t>
      </w:r>
    </w:p>
  </w:footnote>
  <w:footnote w:id="6">
    <w:p w14:paraId="76AC617A" w14:textId="77777777" w:rsidR="00FB16F6" w:rsidRDefault="00FB16F6" w:rsidP="00FB16F6">
      <w:pPr>
        <w:pStyle w:val="FootnoteText"/>
      </w:pPr>
      <w:r>
        <w:rPr>
          <w:rStyle w:val="FootnoteReference"/>
        </w:rPr>
        <w:footnoteRef/>
      </w:r>
      <w:r>
        <w:t xml:space="preserve"> Cardiff University (UK)</w:t>
      </w:r>
    </w:p>
  </w:footnote>
  <w:footnote w:id="7">
    <w:p w14:paraId="4E24879F" w14:textId="77777777" w:rsidR="00FB16F6" w:rsidRDefault="00FB16F6" w:rsidP="00FB16F6">
      <w:pPr>
        <w:pStyle w:val="FootnoteText"/>
      </w:pPr>
      <w:r>
        <w:rPr>
          <w:rStyle w:val="FootnoteReference"/>
        </w:rPr>
        <w:footnoteRef/>
      </w:r>
      <w:r>
        <w:t xml:space="preserve"> </w:t>
      </w:r>
      <w:r w:rsidRPr="00AE0ECE">
        <w:t xml:space="preserve">Brighter Futures for Children, Reading </w:t>
      </w:r>
      <w:r>
        <w:t>(UK)</w:t>
      </w:r>
    </w:p>
  </w:footnote>
  <w:footnote w:id="8">
    <w:p w14:paraId="6A73B3CE" w14:textId="77777777" w:rsidR="00FB16F6" w:rsidRDefault="00FB16F6" w:rsidP="00FB16F6">
      <w:pPr>
        <w:pStyle w:val="FootnoteText"/>
      </w:pPr>
      <w:r>
        <w:rPr>
          <w:rStyle w:val="FootnoteReference"/>
        </w:rPr>
        <w:footnoteRef/>
      </w:r>
      <w:r>
        <w:t xml:space="preserve"> Challenging Behaviour Foundation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6126" w14:textId="77777777" w:rsidR="000C3994" w:rsidRDefault="000C3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028347C0">
              <wp:simplePos x="0" y="0"/>
              <wp:positionH relativeFrom="margin">
                <wp:posOffset>-15240</wp:posOffset>
              </wp:positionH>
              <wp:positionV relativeFrom="paragraph">
                <wp:posOffset>-190500</wp:posOffset>
              </wp:positionV>
              <wp:extent cx="6972300" cy="514350"/>
              <wp:effectExtent l="0" t="0" r="1905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514350"/>
                      </a:xfrm>
                      <a:prstGeom prst="rect">
                        <a:avLst/>
                      </a:prstGeom>
                      <a:noFill/>
                      <a:ln w="25400">
                        <a:solidFill>
                          <a:srgbClr val="444C6A"/>
                        </a:solidFill>
                        <a:miter lim="800000"/>
                        <a:headEnd/>
                        <a:tailEnd/>
                      </a:ln>
                    </wps:spPr>
                    <wps:txbx>
                      <w:txbxContent>
                        <w:p w14:paraId="7F79B6D2" w14:textId="469D49CC" w:rsidR="00F01EB9" w:rsidRPr="00163A52" w:rsidRDefault="00000000" w:rsidP="00F01EB9">
                          <w:pPr>
                            <w:pStyle w:val="Header"/>
                            <w:rPr>
                              <w:rFonts w:ascii="Kefa" w:hAnsi="Kefa"/>
                              <w:b/>
                              <w:color w:val="444C6A"/>
                              <w:sz w:val="32"/>
                              <w:szCs w:val="32"/>
                            </w:rPr>
                          </w:pPr>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r w:rsidR="00EA77BA">
                                <w:rPr>
                                  <w:rFonts w:ascii="Kefa" w:hAnsi="Kefa"/>
                                  <w:b/>
                                  <w:color w:val="444C6A"/>
                                  <w:sz w:val="32"/>
                                  <w:szCs w:val="32"/>
                                </w:rPr>
                                <w:t>202</w:t>
                              </w:r>
                              <w:r w:rsidR="000C3994">
                                <w:rPr>
                                  <w:rFonts w:ascii="Kefa" w:hAnsi="Kefa"/>
                                  <w:b/>
                                  <w:color w:val="444C6A"/>
                                  <w:sz w:val="32"/>
                                  <w:szCs w:val="32"/>
                                </w:rPr>
                                <w:t>5</w:t>
                              </w:r>
                              <w:r w:rsidR="00EA77BA">
                                <w:rPr>
                                  <w:rFonts w:ascii="Kefa" w:hAnsi="Kefa"/>
                                  <w:b/>
                                  <w:color w:val="444C6A"/>
                                  <w:sz w:val="32"/>
                                  <w:szCs w:val="32"/>
                                </w:rPr>
                                <w:t xml:space="preserve"> Gatlinburg Conference Symposium Submission</w:t>
                              </w:r>
                            </w:sdtContent>
                          </w:sdt>
                          <w:r w:rsidR="00EF4132">
                            <w:rPr>
                              <w:rFonts w:ascii="Kefa" w:hAnsi="Kefa"/>
                              <w:b/>
                              <w:color w:val="444C6A"/>
                              <w:sz w:val="32"/>
                              <w:szCs w:val="32"/>
                            </w:rPr>
                            <w:t>: Interventions for caregivers and teachers of children with IDD</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AB5428" id="Rectangle 197" o:spid="_x0000_s1026" style="position:absolute;margin-left:-1.2pt;margin-top:-15pt;width:549pt;height:4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" filled="f" strokecolor="#444c6a" strokeweight="2pt">
              <v:textbox>
                <w:txbxContent>
                  <w:p w14:paraId="7F79B6D2" w14:textId="469D49CC" w:rsidR="00F01EB9" w:rsidRPr="00163A52" w:rsidRDefault="00000000" w:rsidP="00F01EB9">
                    <w:pPr>
                      <w:pStyle w:val="Header"/>
                      <w:rPr>
                        <w:rFonts w:ascii="Kefa" w:hAnsi="Kefa"/>
                        <w:b/>
                        <w:color w:val="444C6A"/>
                        <w:sz w:val="32"/>
                        <w:szCs w:val="32"/>
                      </w:rPr>
                    </w:pPr>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r w:rsidR="00EA77BA">
                          <w:rPr>
                            <w:rFonts w:ascii="Kefa" w:hAnsi="Kefa"/>
                            <w:b/>
                            <w:color w:val="444C6A"/>
                            <w:sz w:val="32"/>
                            <w:szCs w:val="32"/>
                          </w:rPr>
                          <w:t>202</w:t>
                        </w:r>
                        <w:r w:rsidR="000C3994">
                          <w:rPr>
                            <w:rFonts w:ascii="Kefa" w:hAnsi="Kefa"/>
                            <w:b/>
                            <w:color w:val="444C6A"/>
                            <w:sz w:val="32"/>
                            <w:szCs w:val="32"/>
                          </w:rPr>
                          <w:t>5</w:t>
                        </w:r>
                        <w:r w:rsidR="00EA77BA">
                          <w:rPr>
                            <w:rFonts w:ascii="Kefa" w:hAnsi="Kefa"/>
                            <w:b/>
                            <w:color w:val="444C6A"/>
                            <w:sz w:val="32"/>
                            <w:szCs w:val="32"/>
                          </w:rPr>
                          <w:t xml:space="preserve"> Gatlinburg Conference Symposium Submission</w:t>
                        </w:r>
                      </w:sdtContent>
                    </w:sdt>
                    <w:r w:rsidR="00EF4132">
                      <w:rPr>
                        <w:rFonts w:ascii="Kefa" w:hAnsi="Kefa"/>
                        <w:b/>
                        <w:color w:val="444C6A"/>
                        <w:sz w:val="32"/>
                        <w:szCs w:val="32"/>
                      </w:rPr>
                      <w:t>: Interventions for caregivers and teachers of children with IDD</w:t>
                    </w: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6D7" w14:textId="77777777" w:rsidR="000C3994" w:rsidRDefault="000C3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B02AB"/>
    <w:multiLevelType w:val="hybridMultilevel"/>
    <w:tmpl w:val="DCFADE7E"/>
    <w:lvl w:ilvl="0" w:tplc="065433C4">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3888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33F17"/>
    <w:rsid w:val="00034021"/>
    <w:rsid w:val="000365F0"/>
    <w:rsid w:val="00037F87"/>
    <w:rsid w:val="000921E0"/>
    <w:rsid w:val="000C3994"/>
    <w:rsid w:val="000C4147"/>
    <w:rsid w:val="00115D14"/>
    <w:rsid w:val="00163A52"/>
    <w:rsid w:val="0018178F"/>
    <w:rsid w:val="00193496"/>
    <w:rsid w:val="001C6F6A"/>
    <w:rsid w:val="002578BF"/>
    <w:rsid w:val="00262772"/>
    <w:rsid w:val="002755F9"/>
    <w:rsid w:val="0028588B"/>
    <w:rsid w:val="002A64F0"/>
    <w:rsid w:val="00345F2B"/>
    <w:rsid w:val="00373627"/>
    <w:rsid w:val="00382F5F"/>
    <w:rsid w:val="003A03ED"/>
    <w:rsid w:val="00531EBB"/>
    <w:rsid w:val="00542452"/>
    <w:rsid w:val="005F5DCE"/>
    <w:rsid w:val="0064135E"/>
    <w:rsid w:val="0064369F"/>
    <w:rsid w:val="006730C3"/>
    <w:rsid w:val="006A1A31"/>
    <w:rsid w:val="006D6870"/>
    <w:rsid w:val="006F1175"/>
    <w:rsid w:val="0076135D"/>
    <w:rsid w:val="007B0182"/>
    <w:rsid w:val="007B3B75"/>
    <w:rsid w:val="007B5928"/>
    <w:rsid w:val="007C639A"/>
    <w:rsid w:val="00827233"/>
    <w:rsid w:val="00855180"/>
    <w:rsid w:val="008917B1"/>
    <w:rsid w:val="008A50B7"/>
    <w:rsid w:val="008B5749"/>
    <w:rsid w:val="008F51F7"/>
    <w:rsid w:val="008F60E5"/>
    <w:rsid w:val="00945025"/>
    <w:rsid w:val="00973604"/>
    <w:rsid w:val="009B17A1"/>
    <w:rsid w:val="009E30F9"/>
    <w:rsid w:val="00A25EDD"/>
    <w:rsid w:val="00AA55E2"/>
    <w:rsid w:val="00AA58E4"/>
    <w:rsid w:val="00C2300F"/>
    <w:rsid w:val="00C9249B"/>
    <w:rsid w:val="00D41AE6"/>
    <w:rsid w:val="00D90DF7"/>
    <w:rsid w:val="00E4240B"/>
    <w:rsid w:val="00E97188"/>
    <w:rsid w:val="00EA77BA"/>
    <w:rsid w:val="00EF4132"/>
    <w:rsid w:val="00F01EB9"/>
    <w:rsid w:val="00F30457"/>
    <w:rsid w:val="00F60D0A"/>
    <w:rsid w:val="00FA3BF4"/>
    <w:rsid w:val="00FB16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paragraph" w:styleId="Heading2">
    <w:name w:val="heading 2"/>
    <w:basedOn w:val="Normal"/>
    <w:next w:val="Normal"/>
    <w:link w:val="Heading2Char"/>
    <w:uiPriority w:val="9"/>
    <w:unhideWhenUsed/>
    <w:qFormat/>
    <w:rsid w:val="00AA58E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ListParagraph">
    <w:name w:val="List Paragraph"/>
    <w:basedOn w:val="Normal"/>
    <w:uiPriority w:val="34"/>
    <w:qFormat/>
    <w:rsid w:val="008F51F7"/>
    <w:pPr>
      <w:spacing w:after="200" w:line="276" w:lineRule="auto"/>
      <w:ind w:left="720"/>
      <w:contextualSpacing/>
    </w:pPr>
    <w:rPr>
      <w:rFonts w:asciiTheme="minorHAnsi" w:hAnsiTheme="minorHAnsi"/>
      <w:sz w:val="22"/>
    </w:rPr>
  </w:style>
  <w:style w:type="character" w:styleId="Hyperlink">
    <w:name w:val="Hyperlink"/>
    <w:basedOn w:val="DefaultParagraphFont"/>
    <w:uiPriority w:val="99"/>
    <w:unhideWhenUsed/>
    <w:rsid w:val="008F51F7"/>
    <w:rPr>
      <w:color w:val="0563C1" w:themeColor="hyperlink"/>
      <w:u w:val="single"/>
    </w:rPr>
  </w:style>
  <w:style w:type="character" w:customStyle="1" w:styleId="apple-converted-space">
    <w:name w:val="apple-converted-space"/>
    <w:basedOn w:val="DefaultParagraphFont"/>
    <w:rsid w:val="008F51F7"/>
  </w:style>
  <w:style w:type="paragraph" w:styleId="NormalWeb">
    <w:name w:val="Normal (Web)"/>
    <w:basedOn w:val="Normal"/>
    <w:uiPriority w:val="99"/>
    <w:semiHidden/>
    <w:unhideWhenUsed/>
    <w:rsid w:val="003A03ED"/>
    <w:rPr>
      <w:rFonts w:ascii="Times New Roman" w:hAnsi="Times New Roman" w:cs="Times New Roman"/>
      <w:sz w:val="24"/>
      <w:szCs w:val="24"/>
    </w:rPr>
  </w:style>
  <w:style w:type="character" w:customStyle="1" w:styleId="Heading2Char">
    <w:name w:val="Heading 2 Char"/>
    <w:basedOn w:val="DefaultParagraphFont"/>
    <w:link w:val="Heading2"/>
    <w:uiPriority w:val="9"/>
    <w:rsid w:val="00AA58E4"/>
    <w:rPr>
      <w:rFonts w:asciiTheme="majorHAnsi" w:eastAsiaTheme="majorEastAsia" w:hAnsiTheme="majorHAnsi" w:cstheme="majorBidi"/>
      <w:color w:val="2F5496" w:themeColor="accent1" w:themeShade="BF"/>
      <w:kern w:val="2"/>
      <w:sz w:val="32"/>
      <w:szCs w:val="3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59178">
      <w:bodyDiv w:val="1"/>
      <w:marLeft w:val="0"/>
      <w:marRight w:val="0"/>
      <w:marTop w:val="0"/>
      <w:marBottom w:val="0"/>
      <w:divBdr>
        <w:top w:val="none" w:sz="0" w:space="0" w:color="auto"/>
        <w:left w:val="none" w:sz="0" w:space="0" w:color="auto"/>
        <w:bottom w:val="none" w:sz="0" w:space="0" w:color="auto"/>
        <w:right w:val="none" w:sz="0" w:space="0" w:color="auto"/>
      </w:divBdr>
    </w:div>
    <w:div w:id="610673749">
      <w:bodyDiv w:val="1"/>
      <w:marLeft w:val="0"/>
      <w:marRight w:val="0"/>
      <w:marTop w:val="0"/>
      <w:marBottom w:val="0"/>
      <w:divBdr>
        <w:top w:val="none" w:sz="0" w:space="0" w:color="auto"/>
        <w:left w:val="none" w:sz="0" w:space="0" w:color="auto"/>
        <w:bottom w:val="none" w:sz="0" w:space="0" w:color="auto"/>
        <w:right w:val="none" w:sz="0" w:space="0" w:color="auto"/>
      </w:divBdr>
    </w:div>
    <w:div w:id="1867258040">
      <w:bodyDiv w:val="1"/>
      <w:marLeft w:val="0"/>
      <w:marRight w:val="0"/>
      <w:marTop w:val="0"/>
      <w:marBottom w:val="0"/>
      <w:divBdr>
        <w:top w:val="none" w:sz="0" w:space="0" w:color="auto"/>
        <w:left w:val="none" w:sz="0" w:space="0" w:color="auto"/>
        <w:bottom w:val="none" w:sz="0" w:space="0" w:color="auto"/>
        <w:right w:val="none" w:sz="0" w:space="0" w:color="auto"/>
      </w:divBdr>
    </w:div>
    <w:div w:id="195324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803-023-05968-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doi.org/10.1007/s40489-020-00210-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1D560642-C659-48F1-99F3-F7EC874A5302}"/>
</file>

<file path=customXml/itemProps3.xml><?xml version="1.0" encoding="utf-8"?>
<ds:datastoreItem xmlns:ds="http://schemas.openxmlformats.org/officeDocument/2006/customXml" ds:itemID="{D25F4F42-61A2-4DC9-88A0-3D7A9A8C4B25}"/>
</file>

<file path=customXml/itemProps4.xml><?xml version="1.0" encoding="utf-8"?>
<ds:datastoreItem xmlns:ds="http://schemas.openxmlformats.org/officeDocument/2006/customXml" ds:itemID="{E5C4E131-B412-42F2-86AF-D847484EC021}"/>
</file>

<file path=docProps/app.xml><?xml version="1.0" encoding="utf-8"?>
<Properties xmlns="http://schemas.openxmlformats.org/officeDocument/2006/extended-properties" xmlns:vt="http://schemas.openxmlformats.org/officeDocument/2006/docPropsVTypes">
  <Template>Normal.dotm</Template>
  <TotalTime>0</TotalTime>
  <Pages>5</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Alaa Ibrahim</cp:lastModifiedBy>
  <cp:revision>3</cp:revision>
  <dcterms:created xsi:type="dcterms:W3CDTF">2024-11-04T17:57:00Z</dcterms:created>
  <dcterms:modified xsi:type="dcterms:W3CDTF">2024-11-06T15:50:00Z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