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4B0DC" w14:textId="0293A964" w:rsidR="00F01EB9" w:rsidRDefault="00163A52" w:rsidP="009B17A1">
      <w:r>
        <w:rPr>
          <w:b/>
          <w:bCs/>
        </w:rPr>
        <w:t xml:space="preserve">Symposium </w:t>
      </w:r>
      <w:r w:rsidR="009B17A1" w:rsidRPr="007B5928">
        <w:rPr>
          <w:b/>
          <w:bCs/>
        </w:rPr>
        <w:t>Title</w:t>
      </w:r>
      <w:r w:rsidR="009B17A1">
        <w:t xml:space="preserve">: </w:t>
      </w:r>
      <w:r w:rsidR="00B1162B">
        <w:t>Social determinants of health</w:t>
      </w:r>
      <w:r w:rsidR="00794134">
        <w:t xml:space="preserve"> </w:t>
      </w:r>
      <w:r w:rsidR="00695DD7">
        <w:t>as key contributors to</w:t>
      </w:r>
      <w:r w:rsidR="00B1162B">
        <w:t xml:space="preserve"> clinical outcomes in neurodevelopmental disabilities and associated conditions</w:t>
      </w:r>
    </w:p>
    <w:p w14:paraId="7AF660EF" w14:textId="27C2E05D" w:rsidR="00163A52" w:rsidRDefault="006C6041" w:rsidP="009B17A1">
      <w:r>
        <w:rPr>
          <w:b/>
          <w:bCs/>
        </w:rPr>
        <w:t>Co-</w:t>
      </w:r>
      <w:r w:rsidR="00163A52">
        <w:rPr>
          <w:b/>
          <w:bCs/>
        </w:rPr>
        <w:t>Chair</w:t>
      </w:r>
      <w:r>
        <w:rPr>
          <w:b/>
          <w:bCs/>
        </w:rPr>
        <w:t>s</w:t>
      </w:r>
      <w:r w:rsidR="009B17A1">
        <w:t xml:space="preserve">: </w:t>
      </w:r>
      <w:r>
        <w:t>Walker S. McKinney</w:t>
      </w:r>
      <w:r w:rsidR="0064135E">
        <w:rPr>
          <w:rStyle w:val="FootnoteReference"/>
        </w:rPr>
        <w:footnoteReference w:id="1"/>
      </w:r>
      <w:r>
        <w:t>, Lauren M. Schmitt</w:t>
      </w:r>
      <w:r w:rsidR="003B64D2" w:rsidRPr="003B64D2">
        <w:rPr>
          <w:vertAlign w:val="superscript"/>
        </w:rPr>
        <w:t>1,2</w:t>
      </w:r>
      <w:r w:rsidR="00B93BCF">
        <w:rPr>
          <w:vertAlign w:val="superscript"/>
        </w:rPr>
        <w:t>,9</w:t>
      </w:r>
    </w:p>
    <w:p w14:paraId="623354BE" w14:textId="16A04907" w:rsidR="009B17A1" w:rsidRDefault="00163A52" w:rsidP="009B17A1">
      <w:r w:rsidRPr="00163A52">
        <w:rPr>
          <w:b/>
          <w:bCs/>
        </w:rPr>
        <w:t>Discussant</w:t>
      </w:r>
      <w:r>
        <w:t xml:space="preserve">: </w:t>
      </w:r>
      <w:r w:rsidR="006C6041">
        <w:t>Leonard Abbeduto</w:t>
      </w:r>
      <w:r w:rsidR="003B64D2">
        <w:rPr>
          <w:rStyle w:val="FootnoteReference"/>
        </w:rPr>
        <w:t>3</w:t>
      </w:r>
      <w:r w:rsidR="003B64D2" w:rsidRPr="006B3304">
        <w:rPr>
          <w:vertAlign w:val="superscript"/>
        </w:rPr>
        <w:t>,</w:t>
      </w:r>
      <w:r w:rsidR="003B64D2" w:rsidRPr="003B64D2">
        <w:rPr>
          <w:vertAlign w:val="superscript"/>
        </w:rPr>
        <w:t>4</w:t>
      </w:r>
    </w:p>
    <w:p w14:paraId="7DD2BBEA" w14:textId="7558E948" w:rsidR="00ED4606" w:rsidRDefault="00163A52" w:rsidP="009B17A1">
      <w:r>
        <w:rPr>
          <w:b/>
          <w:bCs/>
        </w:rPr>
        <w:t>Overview</w:t>
      </w:r>
      <w:r w:rsidR="009B17A1">
        <w:t xml:space="preserve">: </w:t>
      </w:r>
      <w:r w:rsidR="00864C97">
        <w:t xml:space="preserve">Social determinants of health </w:t>
      </w:r>
      <w:r w:rsidR="00980BB0">
        <w:t xml:space="preserve">(SDOH) </w:t>
      </w:r>
      <w:r w:rsidR="00864C97">
        <w:t>capture “t</w:t>
      </w:r>
      <w:r w:rsidR="00864C97" w:rsidRPr="00864C97">
        <w:t>he conditions in the environments where people are born, live, learn, work, play, worship, and age that affect a wide range of health, functioning, and quality-of-life outcomes and risks</w:t>
      </w:r>
      <w:r w:rsidR="00864C97">
        <w:t>”</w:t>
      </w:r>
      <w:r w:rsidR="0029327F">
        <w:t xml:space="preserve"> </w:t>
      </w:r>
      <w:r w:rsidR="002423F6" w:rsidRPr="002423F6">
        <w:t>(US Department of Health and Human Services)</w:t>
      </w:r>
      <w:r w:rsidR="004B6262">
        <w:t>.</w:t>
      </w:r>
      <w:r w:rsidR="009B5243">
        <w:t xml:space="preserve"> Mounting evidence suggests that </w:t>
      </w:r>
      <w:r w:rsidR="00980BB0">
        <w:t>SDOH</w:t>
      </w:r>
      <w:r w:rsidR="009B5243">
        <w:t xml:space="preserve"> </w:t>
      </w:r>
      <w:r w:rsidR="003E3333">
        <w:t xml:space="preserve">significantly </w:t>
      </w:r>
      <w:proofErr w:type="gramStart"/>
      <w:r w:rsidR="003E3333">
        <w:t>influence</w:t>
      </w:r>
      <w:proofErr w:type="gramEnd"/>
      <w:r w:rsidR="003E3333">
        <w:t xml:space="preserve"> </w:t>
      </w:r>
      <w:r w:rsidR="004945A6">
        <w:t xml:space="preserve">cognitive and </w:t>
      </w:r>
      <w:r w:rsidR="00F339FF">
        <w:t>mental health outcomes</w:t>
      </w:r>
      <w:r w:rsidR="001E7DB9">
        <w:t xml:space="preserve"> </w:t>
      </w:r>
      <w:r w:rsidR="003E3333">
        <w:t>in</w:t>
      </w:r>
      <w:r w:rsidR="001E7DB9">
        <w:t xml:space="preserve"> the general population, including </w:t>
      </w:r>
      <w:r w:rsidR="004945A6">
        <w:t xml:space="preserve">IQ </w:t>
      </w:r>
      <w:r w:rsidR="001E7DB9">
        <w:t xml:space="preserve">and internalizing symptoms. </w:t>
      </w:r>
      <w:r w:rsidR="00980BB0">
        <w:t xml:space="preserve">Less is known about the impact of SDOH </w:t>
      </w:r>
      <w:r w:rsidR="000A776C">
        <w:t xml:space="preserve">on </w:t>
      </w:r>
      <w:r w:rsidR="004945A6">
        <w:t>thes</w:t>
      </w:r>
      <w:r w:rsidR="006B3CA8">
        <w:t>e</w:t>
      </w:r>
      <w:r w:rsidR="004945A6">
        <w:t xml:space="preserve"> clinical outcomes in </w:t>
      </w:r>
      <w:r w:rsidR="0017186F">
        <w:t xml:space="preserve">individuals with neurodevelopmental disabilities and associated conditions (e.g., </w:t>
      </w:r>
      <w:r w:rsidR="0017186F">
        <w:rPr>
          <w:i/>
          <w:iCs/>
        </w:rPr>
        <w:t>FMR1</w:t>
      </w:r>
      <w:r w:rsidR="0017186F">
        <w:t xml:space="preserve"> premutation).</w:t>
      </w:r>
      <w:r w:rsidR="0025129D">
        <w:t xml:space="preserve"> </w:t>
      </w:r>
      <w:r w:rsidR="00F169CD">
        <w:t>This symposium will review new findings from three studies that provide</w:t>
      </w:r>
      <w:r w:rsidR="007703A6">
        <w:t xml:space="preserve"> evidence </w:t>
      </w:r>
      <w:r w:rsidR="00ED13B4">
        <w:t>of the impact that</w:t>
      </w:r>
      <w:r w:rsidR="007703A6">
        <w:t xml:space="preserve"> neighborhood and housing characteristics </w:t>
      </w:r>
      <w:r w:rsidR="00ED13B4">
        <w:t>have on clinical outcomes</w:t>
      </w:r>
      <w:r w:rsidR="00F169CD">
        <w:t xml:space="preserve"> </w:t>
      </w:r>
      <w:r w:rsidR="0025129D">
        <w:t xml:space="preserve">in individuals with Fragile X Syndrome, </w:t>
      </w:r>
      <w:r w:rsidR="0025129D">
        <w:rPr>
          <w:i/>
          <w:iCs/>
        </w:rPr>
        <w:t>FMR1</w:t>
      </w:r>
      <w:r w:rsidR="0025129D">
        <w:t xml:space="preserve"> premutation carriers, and intellectual and developmental disabilities.</w:t>
      </w:r>
      <w:r w:rsidR="009F45D3">
        <w:t xml:space="preserve"> Implications </w:t>
      </w:r>
      <w:r w:rsidR="00D011AB">
        <w:t>for</w:t>
      </w:r>
      <w:r w:rsidR="00D77DA2">
        <w:t xml:space="preserve"> targeted</w:t>
      </w:r>
      <w:r w:rsidR="00D011AB">
        <w:t xml:space="preserve"> </w:t>
      </w:r>
      <w:r w:rsidR="00D77DA2">
        <w:t>intervention</w:t>
      </w:r>
      <w:r w:rsidR="00B34328">
        <w:t xml:space="preserve"> development and public policy solutions will be discussed.</w:t>
      </w:r>
    </w:p>
    <w:p w14:paraId="78E92EF6" w14:textId="77777777" w:rsidR="00B34328" w:rsidRDefault="00B34328" w:rsidP="009B17A1"/>
    <w:p w14:paraId="1AB18FF1" w14:textId="0665735F" w:rsidR="00163A52" w:rsidRPr="00163A52" w:rsidRDefault="00163A52" w:rsidP="00163A52">
      <w:pPr>
        <w:jc w:val="center"/>
        <w:rPr>
          <w:b/>
          <w:bCs/>
        </w:rPr>
      </w:pPr>
      <w:r w:rsidRPr="00163A52">
        <w:rPr>
          <w:b/>
          <w:bCs/>
        </w:rPr>
        <w:t xml:space="preserve">Paper 1 of </w:t>
      </w:r>
      <w:r w:rsidR="00537FA9">
        <w:rPr>
          <w:b/>
          <w:bCs/>
        </w:rPr>
        <w:t>3</w:t>
      </w:r>
    </w:p>
    <w:p w14:paraId="49AA8C17" w14:textId="77777777" w:rsidR="00481AB0" w:rsidRDefault="00163A52" w:rsidP="005269C0">
      <w:r w:rsidRPr="002A64F0">
        <w:rPr>
          <w:b/>
          <w:bCs/>
        </w:rPr>
        <w:t>Paper Title</w:t>
      </w:r>
      <w:r>
        <w:t xml:space="preserve">: </w:t>
      </w:r>
      <w:r w:rsidR="00481AB0" w:rsidRPr="00481AB0">
        <w:t>Beyond the Protein: How Neighborhoods Shape IQ and Adaptive Behavior in Fragile X Syndrome</w:t>
      </w:r>
    </w:p>
    <w:p w14:paraId="2E057827" w14:textId="44962719" w:rsidR="005269C0" w:rsidRDefault="00163A52" w:rsidP="005269C0">
      <w:r w:rsidRPr="002A64F0">
        <w:rPr>
          <w:b/>
          <w:bCs/>
        </w:rPr>
        <w:t>Authors</w:t>
      </w:r>
      <w:r>
        <w:t xml:space="preserve">: </w:t>
      </w:r>
      <w:r w:rsidR="005269C0">
        <w:t>Walker S. McKinney</w:t>
      </w:r>
      <w:r w:rsidR="005269C0">
        <w:rPr>
          <w:rStyle w:val="FootnoteReference"/>
        </w:rPr>
        <w:t>1</w:t>
      </w:r>
      <w:r w:rsidR="005269C0">
        <w:t xml:space="preserve">, </w:t>
      </w:r>
      <w:r w:rsidR="00ED5807" w:rsidRPr="00ED5807">
        <w:t>Austin Corsmeier</w:t>
      </w:r>
      <w:r w:rsidR="006B3304">
        <w:rPr>
          <w:vertAlign w:val="superscript"/>
        </w:rPr>
        <w:t>5</w:t>
      </w:r>
      <w:r w:rsidR="00ED5807" w:rsidRPr="001756C1">
        <w:rPr>
          <w:vertAlign w:val="superscript"/>
        </w:rPr>
        <w:t>,</w:t>
      </w:r>
      <w:r w:rsidR="006B3304">
        <w:rPr>
          <w:vertAlign w:val="superscript"/>
        </w:rPr>
        <w:t>6</w:t>
      </w:r>
      <w:r w:rsidR="00ED5807" w:rsidRPr="00ED5807">
        <w:t>, Ashley Dapore</w:t>
      </w:r>
      <w:r w:rsidR="006B3304">
        <w:rPr>
          <w:vertAlign w:val="superscript"/>
        </w:rPr>
        <w:t>6</w:t>
      </w:r>
      <w:r w:rsidR="00ED5807" w:rsidRPr="00ED5807">
        <w:t xml:space="preserve">, </w:t>
      </w:r>
      <w:r w:rsidR="00192CCE">
        <w:t>Christ</w:t>
      </w:r>
      <w:r w:rsidR="00CD1315">
        <w:t>ina Gross</w:t>
      </w:r>
      <w:r w:rsidR="00BF22D8">
        <w:rPr>
          <w:vertAlign w:val="superscript"/>
        </w:rPr>
        <w:t>2</w:t>
      </w:r>
      <w:r w:rsidR="00DA0427" w:rsidRPr="00DA0427">
        <w:rPr>
          <w:vertAlign w:val="superscript"/>
        </w:rPr>
        <w:t>,</w:t>
      </w:r>
      <w:r w:rsidR="001F214A" w:rsidRPr="00DA0427">
        <w:rPr>
          <w:vertAlign w:val="superscript"/>
        </w:rPr>
        <w:t>7</w:t>
      </w:r>
      <w:r w:rsidR="00CD1315">
        <w:t>, Kelli C. Dominick</w:t>
      </w:r>
      <w:r w:rsidR="00CD1315" w:rsidRPr="00CD1315">
        <w:rPr>
          <w:vertAlign w:val="superscript"/>
        </w:rPr>
        <w:t>6,</w:t>
      </w:r>
      <w:r w:rsidR="00DA0427">
        <w:rPr>
          <w:vertAlign w:val="superscript"/>
        </w:rPr>
        <w:t>8</w:t>
      </w:r>
      <w:r w:rsidR="00CD1315">
        <w:t xml:space="preserve">, </w:t>
      </w:r>
      <w:r w:rsidR="00E11F43">
        <w:t>Craig Erickson</w:t>
      </w:r>
      <w:r w:rsidR="007B220D" w:rsidRPr="007B220D">
        <w:rPr>
          <w:vertAlign w:val="superscript"/>
        </w:rPr>
        <w:t>6,</w:t>
      </w:r>
      <w:r w:rsidR="00DA0427">
        <w:rPr>
          <w:vertAlign w:val="superscript"/>
        </w:rPr>
        <w:t>8</w:t>
      </w:r>
      <w:r w:rsidR="00E11F43">
        <w:t xml:space="preserve">, </w:t>
      </w:r>
      <w:r w:rsidR="005269C0">
        <w:t>Lauren M. Schmitt</w:t>
      </w:r>
      <w:r w:rsidR="005269C0" w:rsidRPr="003B64D2">
        <w:rPr>
          <w:vertAlign w:val="superscript"/>
        </w:rPr>
        <w:t>1,</w:t>
      </w:r>
      <w:r w:rsidR="00FA2CCB">
        <w:rPr>
          <w:vertAlign w:val="superscript"/>
        </w:rPr>
        <w:t>2</w:t>
      </w:r>
      <w:r w:rsidR="00B93BCF">
        <w:rPr>
          <w:vertAlign w:val="superscript"/>
        </w:rPr>
        <w:t>,9</w:t>
      </w:r>
    </w:p>
    <w:p w14:paraId="50BCC3F6" w14:textId="4B64128E" w:rsidR="00163A52" w:rsidRDefault="00163A52" w:rsidP="00163A52">
      <w:r w:rsidRPr="002A64F0">
        <w:rPr>
          <w:b/>
          <w:bCs/>
        </w:rPr>
        <w:t>Introduction</w:t>
      </w:r>
      <w:r>
        <w:t xml:space="preserve">: </w:t>
      </w:r>
      <w:r w:rsidR="00685A0F">
        <w:t>Approximately</w:t>
      </w:r>
      <w:r w:rsidR="00685A0F" w:rsidRPr="00685A0F">
        <w:t xml:space="preserve"> 30% of the variance in IQ among individuals with fragile X syndrome (FXS) is accounted for by familial genetic and molecular factors, including absence or reduction in fragile X messenger ribonucleoprotein (FMRP) </w:t>
      </w:r>
      <w:r w:rsidR="004A300B">
        <w:t>expression</w:t>
      </w:r>
      <w:r w:rsidR="00685A0F">
        <w:t xml:space="preserve">. The remaining 70% of </w:t>
      </w:r>
      <w:r w:rsidR="007D6C12">
        <w:t xml:space="preserve">this variance is partially accounted for by social-environmental factors (e.g., education, access to therapies, </w:t>
      </w:r>
      <w:r w:rsidR="006C444B">
        <w:t xml:space="preserve">home environment, nutrition) that have not yet been </w:t>
      </w:r>
      <w:r w:rsidR="004A300B">
        <w:t>comprehensively or systematically</w:t>
      </w:r>
      <w:r w:rsidR="006C444B">
        <w:t xml:space="preserve"> examined in FXS.</w:t>
      </w:r>
    </w:p>
    <w:p w14:paraId="56DA41D9" w14:textId="23188277" w:rsidR="009B17A1" w:rsidRDefault="009B17A1" w:rsidP="009B17A1">
      <w:r w:rsidRPr="007B5928">
        <w:rPr>
          <w:b/>
          <w:bCs/>
        </w:rPr>
        <w:lastRenderedPageBreak/>
        <w:t>Method</w:t>
      </w:r>
      <w:r>
        <w:t xml:space="preserve">: </w:t>
      </w:r>
      <w:r w:rsidR="00646BFE">
        <w:t>150</w:t>
      </w:r>
      <w:r w:rsidR="00F90CC3" w:rsidRPr="00F90CC3">
        <w:t xml:space="preserve"> full mutation individuals with FXS (</w:t>
      </w:r>
      <w:r w:rsidR="000D78E2">
        <w:t>6</w:t>
      </w:r>
      <w:r w:rsidR="00F618E8">
        <w:t>8</w:t>
      </w:r>
      <w:r w:rsidR="00F90CC3" w:rsidRPr="00F90CC3">
        <w:t xml:space="preserve">% male) aged </w:t>
      </w:r>
      <w:r w:rsidR="001B4154">
        <w:t>4</w:t>
      </w:r>
      <w:r w:rsidR="00F90CC3">
        <w:t>-</w:t>
      </w:r>
      <w:r w:rsidR="00F618E8">
        <w:t>61</w:t>
      </w:r>
      <w:r w:rsidR="00F90CC3" w:rsidRPr="00F90CC3">
        <w:t xml:space="preserve"> years completed the Stanford</w:t>
      </w:r>
      <w:r w:rsidR="005B2ACF">
        <w:t>-</w:t>
      </w:r>
      <w:r w:rsidR="00F90CC3" w:rsidRPr="00F90CC3">
        <w:t>Binet</w:t>
      </w:r>
      <w:r w:rsidR="005B2ACF">
        <w:t>, Fifth Edition (SB-5)</w:t>
      </w:r>
      <w:r w:rsidR="00F90CC3" w:rsidRPr="00F90CC3">
        <w:t xml:space="preserve"> to estimate IQ. Participants’ caregivers completed the Vineland</w:t>
      </w:r>
      <w:r w:rsidR="00261FBA">
        <w:t>-3 Comprehensive Interview</w:t>
      </w:r>
      <w:r w:rsidR="00F90CC3" w:rsidRPr="00F90CC3">
        <w:t xml:space="preserve"> to measure their children's adaptive skills. </w:t>
      </w:r>
      <w:r w:rsidR="00102512">
        <w:t>FMRP</w:t>
      </w:r>
      <w:r w:rsidR="00BA0805" w:rsidRPr="008F00FF">
        <w:t xml:space="preserve"> </w:t>
      </w:r>
      <w:r w:rsidR="00BA0805">
        <w:t>was quantified using our previously described</w:t>
      </w:r>
      <w:r w:rsidR="00261FBA">
        <w:t xml:space="preserve"> (Boggs et al.,</w:t>
      </w:r>
      <w:r w:rsidR="005337EA">
        <w:t xml:space="preserve"> 2022)</w:t>
      </w:r>
      <w:r w:rsidR="00261FBA">
        <w:t xml:space="preserve"> </w:t>
      </w:r>
      <w:r w:rsidR="008F00FF" w:rsidRPr="008F00FF">
        <w:t>Luminex-based technique</w:t>
      </w:r>
      <w:r w:rsidR="000B7F74">
        <w:t xml:space="preserve">. </w:t>
      </w:r>
      <w:r w:rsidR="00F90CC3" w:rsidRPr="00F90CC3">
        <w:t xml:space="preserve">Standardized rankings of “neighborhood opportunity” were extracted based on participant home addresses </w:t>
      </w:r>
      <w:r w:rsidR="007E22AE">
        <w:t xml:space="preserve">at the time of testing </w:t>
      </w:r>
      <w:r w:rsidR="00F90CC3" w:rsidRPr="00F90CC3">
        <w:t xml:space="preserve">using the Child Opportunity Index (COI), which ranks the economic, educational, and health/environmental resources of individual neighborhoods relative to national averages. </w:t>
      </w:r>
      <w:r w:rsidR="00C96924">
        <w:t>To assess</w:t>
      </w:r>
      <w:r w:rsidR="002669FD">
        <w:t xml:space="preserve"> the impact of social-environmental factors on clinical outcomes, we</w:t>
      </w:r>
      <w:r w:rsidR="00F618E8">
        <w:t xml:space="preserve"> </w:t>
      </w:r>
      <w:r w:rsidR="003841CF">
        <w:t>used linear mixed effects models to quantify</w:t>
      </w:r>
      <w:r w:rsidR="00F618E8">
        <w:t xml:space="preserve"> the variance in IQ and adaptive behaviors accounted for by FMRP expression and then </w:t>
      </w:r>
      <w:r w:rsidR="000F274F">
        <w:t>used similar models to quantify</w:t>
      </w:r>
      <w:r w:rsidR="00F618E8">
        <w:t xml:space="preserve"> the </w:t>
      </w:r>
      <w:r w:rsidR="00F618E8" w:rsidRPr="00C96924">
        <w:rPr>
          <w:i/>
          <w:iCs/>
        </w:rPr>
        <w:t>additional</w:t>
      </w:r>
      <w:r w:rsidR="00F618E8">
        <w:t xml:space="preserve"> variance in these clinical outcomes </w:t>
      </w:r>
      <w:r w:rsidR="00C60C8C">
        <w:t xml:space="preserve">significantly </w:t>
      </w:r>
      <w:r w:rsidR="00F618E8">
        <w:t xml:space="preserve">accounted for </w:t>
      </w:r>
      <w:r w:rsidR="00C96924">
        <w:t>by neighborhood characteristics.</w:t>
      </w:r>
      <w:r w:rsidR="00F618E8">
        <w:t xml:space="preserve"> </w:t>
      </w:r>
    </w:p>
    <w:p w14:paraId="4214471E" w14:textId="2D092E69" w:rsidR="00D11F63" w:rsidRPr="00D11F63" w:rsidRDefault="009B17A1" w:rsidP="009B17A1">
      <w:r w:rsidRPr="007B5928">
        <w:rPr>
          <w:b/>
          <w:bCs/>
        </w:rPr>
        <w:t>Results</w:t>
      </w:r>
      <w:r>
        <w:t>:</w:t>
      </w:r>
      <w:r w:rsidR="0002642B">
        <w:t xml:space="preserve"> </w:t>
      </w:r>
      <w:r w:rsidR="00C90DC4">
        <w:t xml:space="preserve">Broadly, social-environmental factors were more strongly associated with clinical outcomes in males than in females, and these factors more strongly related to individual differences in adaptive behaviors than IQ. </w:t>
      </w:r>
      <w:r w:rsidR="00D11F63" w:rsidRPr="00C90DC4">
        <w:rPr>
          <w:i/>
          <w:iCs/>
          <w:u w:val="single"/>
        </w:rPr>
        <w:t>IQ</w:t>
      </w:r>
      <w:r w:rsidR="00D11F63">
        <w:rPr>
          <w:i/>
          <w:iCs/>
        </w:rPr>
        <w:t xml:space="preserve">: </w:t>
      </w:r>
      <w:r w:rsidR="002669FD">
        <w:t>FMRP</w:t>
      </w:r>
      <w:r w:rsidR="00D634B4">
        <w:t xml:space="preserve"> expression accounted for </w:t>
      </w:r>
      <w:r w:rsidR="00D11F63">
        <w:t xml:space="preserve">3.5% and 4.9% of the variance in full-scale IQ </w:t>
      </w:r>
      <w:r w:rsidR="000D6128">
        <w:t xml:space="preserve">(FSIQ) </w:t>
      </w:r>
      <w:r w:rsidR="00D11F63">
        <w:t xml:space="preserve">in males and females, respectively. </w:t>
      </w:r>
      <w:r w:rsidR="00562E0A">
        <w:t xml:space="preserve">In males, greater healthcare resources (e.g., insurance availability; nearby healthcare nonprofit organizations) </w:t>
      </w:r>
      <w:r w:rsidR="00F56CF2">
        <w:t xml:space="preserve">significantly </w:t>
      </w:r>
      <w:r w:rsidR="004815BF">
        <w:t xml:space="preserve">accounted for </w:t>
      </w:r>
      <w:r w:rsidR="00562E0A">
        <w:t xml:space="preserve">an additional </w:t>
      </w:r>
      <w:r w:rsidR="001C59B2">
        <w:t>4.6</w:t>
      </w:r>
      <w:r w:rsidR="004815BF">
        <w:t xml:space="preserve">% of the variance in </w:t>
      </w:r>
      <w:r w:rsidR="009B6992">
        <w:t xml:space="preserve">FSIQ. </w:t>
      </w:r>
      <w:r w:rsidR="00F56CF2">
        <w:t xml:space="preserve">In females, </w:t>
      </w:r>
      <w:r w:rsidR="004273F6">
        <w:t xml:space="preserve">greater healthcare resources accounted for an additional </w:t>
      </w:r>
      <w:r w:rsidR="00430A8A">
        <w:t>6.</w:t>
      </w:r>
      <w:r w:rsidR="00B97173">
        <w:t>1</w:t>
      </w:r>
      <w:r w:rsidR="00430A8A">
        <w:t xml:space="preserve">% of the variance in FSIQ although this was only marginally significant </w:t>
      </w:r>
      <w:r w:rsidR="008B4F99">
        <w:t>(</w:t>
      </w:r>
      <w:r w:rsidR="008B4F99">
        <w:rPr>
          <w:i/>
          <w:iCs/>
        </w:rPr>
        <w:t>p</w:t>
      </w:r>
      <w:r w:rsidR="008B4F99">
        <w:t xml:space="preserve"> = .07)</w:t>
      </w:r>
      <w:r w:rsidR="00430A8A">
        <w:t xml:space="preserve">. </w:t>
      </w:r>
      <w:r w:rsidR="00430A8A" w:rsidRPr="00C90DC4">
        <w:rPr>
          <w:i/>
          <w:iCs/>
          <w:u w:val="single"/>
        </w:rPr>
        <w:t>A</w:t>
      </w:r>
      <w:r w:rsidR="00D11F63" w:rsidRPr="00C90DC4">
        <w:rPr>
          <w:i/>
          <w:iCs/>
          <w:u w:val="single"/>
        </w:rPr>
        <w:t>daptive behaviors</w:t>
      </w:r>
      <w:r w:rsidR="00D11F63">
        <w:t xml:space="preserve">: FMRP expression accounted for </w:t>
      </w:r>
      <w:r w:rsidR="005E50A5">
        <w:t>9.2% and 3.3% of the variance in adaptive behaviors in males and females, respectively.</w:t>
      </w:r>
      <w:r w:rsidR="00E34421">
        <w:t xml:space="preserve"> In males, multiple neighborhood socioeconomic </w:t>
      </w:r>
      <w:r w:rsidR="0038685E">
        <w:t xml:space="preserve">and educational neighborhood </w:t>
      </w:r>
      <w:r w:rsidR="00E34421">
        <w:t xml:space="preserve">characteristics </w:t>
      </w:r>
      <w:r w:rsidR="00521ECA">
        <w:t xml:space="preserve">significantly </w:t>
      </w:r>
      <w:r w:rsidR="00B336F4">
        <w:t xml:space="preserve">accounted for additional variance in adaptive behaviors, including </w:t>
      </w:r>
      <w:r w:rsidR="00E34421">
        <w:t>greater economic equity</w:t>
      </w:r>
      <w:r w:rsidR="00B336F4">
        <w:t xml:space="preserve"> (</w:t>
      </w:r>
      <w:r w:rsidR="00537E49">
        <w:t>6.5%)</w:t>
      </w:r>
      <w:r w:rsidR="00E34421">
        <w:t>, employment opportunities</w:t>
      </w:r>
      <w:r w:rsidR="00537E49">
        <w:t xml:space="preserve"> (7.5%)</w:t>
      </w:r>
      <w:r w:rsidR="00E34421">
        <w:t>, social-economic resources (e.g., multi-caregiver households; cross-income friendships; nearby nonprofit organizations</w:t>
      </w:r>
      <w:r w:rsidR="0038685E">
        <w:t>; 10%</w:t>
      </w:r>
      <w:r w:rsidR="00E34421">
        <w:t>), and educational resources (e.g., teacher experience; nearby educational nonprofit organizations</w:t>
      </w:r>
      <w:r w:rsidR="0038685E">
        <w:t>; 6.1%</w:t>
      </w:r>
      <w:r w:rsidR="00E34421">
        <w:t>)</w:t>
      </w:r>
      <w:r w:rsidR="0038685E">
        <w:t xml:space="preserve">. </w:t>
      </w:r>
      <w:commentRangeStart w:id="0"/>
      <w:r w:rsidR="00521ECA">
        <w:t xml:space="preserve">Neighborhood characteristics were not </w:t>
      </w:r>
      <w:r w:rsidR="00487A23">
        <w:t xml:space="preserve">significantly associated with </w:t>
      </w:r>
      <w:r w:rsidR="008003B6">
        <w:t>adaptive outcomes in females.</w:t>
      </w:r>
      <w:commentRangeEnd w:id="0"/>
      <w:r w:rsidR="008003B6">
        <w:rPr>
          <w:rStyle w:val="CommentReference"/>
        </w:rPr>
        <w:commentReference w:id="0"/>
      </w:r>
    </w:p>
    <w:p w14:paraId="5704A701" w14:textId="1343D8DB" w:rsidR="009B17A1" w:rsidRDefault="009B17A1" w:rsidP="00764999">
      <w:pPr>
        <w:contextualSpacing/>
      </w:pPr>
      <w:r w:rsidRPr="007B5928">
        <w:rPr>
          <w:b/>
          <w:bCs/>
        </w:rPr>
        <w:t>Discussion</w:t>
      </w:r>
      <w:r>
        <w:t xml:space="preserve">: </w:t>
      </w:r>
      <w:r w:rsidR="002F58E5">
        <w:t xml:space="preserve">Our findings of stronger associations between </w:t>
      </w:r>
      <w:r w:rsidR="001E1C12">
        <w:t xml:space="preserve">social-environmental factors and clinical outcomes in males are consistent with </w:t>
      </w:r>
      <w:r w:rsidR="00E86100">
        <w:t>historical</w:t>
      </w:r>
      <w:r w:rsidR="001E1C12">
        <w:t xml:space="preserve"> studies of FXS (</w:t>
      </w:r>
      <w:r w:rsidR="00E86100">
        <w:t xml:space="preserve">Dyer-Friedman et al., 2002; </w:t>
      </w:r>
      <w:r w:rsidR="001E1C12">
        <w:t>Glaser et al., 2003)</w:t>
      </w:r>
      <w:r w:rsidR="00AD0C94">
        <w:t xml:space="preserve">; this pattern may </w:t>
      </w:r>
      <w:r w:rsidR="002D512C">
        <w:t xml:space="preserve">be </w:t>
      </w:r>
      <w:r w:rsidR="00BE4EAD">
        <w:t>due to</w:t>
      </w:r>
      <w:r w:rsidR="002D512C">
        <w:t xml:space="preserve"> the </w:t>
      </w:r>
      <w:r w:rsidR="00065943">
        <w:t>distinct</w:t>
      </w:r>
      <w:r w:rsidR="00FA2271">
        <w:t xml:space="preserve"> </w:t>
      </w:r>
      <w:r w:rsidR="00065943">
        <w:t xml:space="preserve">service </w:t>
      </w:r>
      <w:r w:rsidR="00FA2271">
        <w:t xml:space="preserve">needs of males and females with FXS </w:t>
      </w:r>
      <w:r w:rsidR="00BE4EAD">
        <w:t>driven by</w:t>
      </w:r>
      <w:r w:rsidR="00FA2271">
        <w:t xml:space="preserve"> differences in </w:t>
      </w:r>
      <w:r w:rsidR="00E45A7A">
        <w:t xml:space="preserve">the </w:t>
      </w:r>
      <w:r w:rsidR="00FA2271">
        <w:t>severity</w:t>
      </w:r>
      <w:r w:rsidR="00E45A7A">
        <w:t xml:space="preserve"> of cognitive and adaptive behavioral deficits</w:t>
      </w:r>
      <w:r w:rsidR="00FA2271">
        <w:t xml:space="preserve">. Specifically, males with FXS </w:t>
      </w:r>
      <w:r w:rsidR="00E45A7A">
        <w:t>may</w:t>
      </w:r>
      <w:r w:rsidR="00FA2271">
        <w:t xml:space="preserve"> rely more on social-environmental supports to accommodate more limited cognitive and adaptive skills</w:t>
      </w:r>
      <w:r w:rsidR="00237977">
        <w:t xml:space="preserve">, whereas </w:t>
      </w:r>
      <w:r w:rsidR="0003110B">
        <w:t xml:space="preserve">adaptive behavioral development in </w:t>
      </w:r>
      <w:r w:rsidR="00237977">
        <w:t xml:space="preserve">females </w:t>
      </w:r>
      <w:r w:rsidR="007C0A1A">
        <w:t>does</w:t>
      </w:r>
      <w:r w:rsidR="00237977">
        <w:t xml:space="preserve"> not </w:t>
      </w:r>
      <w:r w:rsidR="00A038BC">
        <w:t>require</w:t>
      </w:r>
      <w:r w:rsidR="00237977">
        <w:t xml:space="preserve"> the same </w:t>
      </w:r>
      <w:r w:rsidR="001A4900">
        <w:t>degree</w:t>
      </w:r>
      <w:r w:rsidR="00237977">
        <w:t xml:space="preserve"> of </w:t>
      </w:r>
      <w:r w:rsidR="002D512C">
        <w:t xml:space="preserve">environmental </w:t>
      </w:r>
      <w:r w:rsidR="00237977">
        <w:t xml:space="preserve">supports (e.g., specialized healthcare </w:t>
      </w:r>
      <w:r w:rsidR="007C0A1A">
        <w:t xml:space="preserve">or educational </w:t>
      </w:r>
      <w:r w:rsidR="00237977">
        <w:t>services).</w:t>
      </w:r>
      <w:r w:rsidR="00BF3304">
        <w:t xml:space="preserve"> </w:t>
      </w:r>
      <w:r w:rsidR="00743A57">
        <w:t xml:space="preserve">Our finding that healthcare </w:t>
      </w:r>
      <w:r w:rsidR="00670238">
        <w:t>resources are</w:t>
      </w:r>
      <w:r w:rsidR="00E61C7B">
        <w:t xml:space="preserve"> related to</w:t>
      </w:r>
      <w:r w:rsidR="001A4900">
        <w:t xml:space="preserve"> </w:t>
      </w:r>
      <w:r w:rsidR="00E61C7B">
        <w:t>higher I</w:t>
      </w:r>
      <w:r w:rsidR="001A4900">
        <w:t>Q</w:t>
      </w:r>
      <w:r w:rsidR="00E61C7B">
        <w:t xml:space="preserve"> in males and, to a lesser extent, </w:t>
      </w:r>
      <w:r w:rsidR="001A4900">
        <w:t xml:space="preserve">in </w:t>
      </w:r>
      <w:r w:rsidR="00E61C7B">
        <w:t xml:space="preserve">females underscores the importance of </w:t>
      </w:r>
      <w:r w:rsidR="004E3B6F">
        <w:t>policy solutions</w:t>
      </w:r>
      <w:r w:rsidR="00B45689">
        <w:t xml:space="preserve"> and innovative strategies (e.g., </w:t>
      </w:r>
      <w:r w:rsidR="00D73920">
        <w:t xml:space="preserve">scalable </w:t>
      </w:r>
      <w:r w:rsidR="00B45689">
        <w:t>telehealth</w:t>
      </w:r>
      <w:r w:rsidR="00D73920">
        <w:t xml:space="preserve"> services covered by insurance</w:t>
      </w:r>
      <w:r w:rsidR="00B45689">
        <w:t>)</w:t>
      </w:r>
      <w:r w:rsidR="004E3B6F">
        <w:t xml:space="preserve"> that maximize</w:t>
      </w:r>
      <w:r w:rsidR="00670238">
        <w:t xml:space="preserve"> healthcare access in this </w:t>
      </w:r>
      <w:r w:rsidR="004E3B6F">
        <w:t>population</w:t>
      </w:r>
      <w:r w:rsidR="00670238">
        <w:t>.</w:t>
      </w:r>
      <w:r w:rsidR="004E3B6F">
        <w:t xml:space="preserve"> O</w:t>
      </w:r>
      <w:r w:rsidR="008E0EEC">
        <w:t>ur finding</w:t>
      </w:r>
      <w:r w:rsidR="00BF3304">
        <w:t xml:space="preserve"> that</w:t>
      </w:r>
      <w:r w:rsidR="003074A5">
        <w:t xml:space="preserve"> </w:t>
      </w:r>
      <w:r w:rsidR="00FA5549">
        <w:t>adaptive behaviors are most strongly related to social-economic supports</w:t>
      </w:r>
      <w:r w:rsidR="008E0EEC">
        <w:t xml:space="preserve"> </w:t>
      </w:r>
      <w:r w:rsidR="00FA5549">
        <w:t>warrant</w:t>
      </w:r>
      <w:r w:rsidR="008E0EEC">
        <w:t>s</w:t>
      </w:r>
      <w:r w:rsidR="00FA5549">
        <w:t xml:space="preserve"> further investigation</w:t>
      </w:r>
      <w:r w:rsidR="0037664B">
        <w:t xml:space="preserve"> using narrowband measures or qualitative interviews with families</w:t>
      </w:r>
      <w:r w:rsidR="00FA5549">
        <w:t xml:space="preserve"> to identify pathways through which </w:t>
      </w:r>
      <w:r w:rsidR="00BA12D5">
        <w:t>social supports may</w:t>
      </w:r>
      <w:r w:rsidR="00165CD4">
        <w:t xml:space="preserve"> foster </w:t>
      </w:r>
      <w:r w:rsidR="0037664B">
        <w:t>adaptive</w:t>
      </w:r>
      <w:r w:rsidR="00165CD4">
        <w:t xml:space="preserve"> behaviors. </w:t>
      </w:r>
      <w:r w:rsidR="007C0A1A">
        <w:t xml:space="preserve">Long-term, we hope </w:t>
      </w:r>
      <w:r w:rsidR="000F684F">
        <w:t>these findings and follow-up studies will</w:t>
      </w:r>
      <w:r w:rsidR="00165CD4">
        <w:t xml:space="preserve"> enable the development of targeted community and public health intervention</w:t>
      </w:r>
      <w:r w:rsidR="008D34A5">
        <w:t>s</w:t>
      </w:r>
      <w:r w:rsidR="000F684F">
        <w:t xml:space="preserve"> that advance clinical equity for patients with FXS</w:t>
      </w:r>
      <w:r w:rsidR="008D34A5">
        <w:t>.</w:t>
      </w:r>
    </w:p>
    <w:p w14:paraId="30123B84" w14:textId="77777777" w:rsidR="00764999" w:rsidRDefault="00764999" w:rsidP="00764999">
      <w:pPr>
        <w:contextualSpacing/>
      </w:pPr>
    </w:p>
    <w:p w14:paraId="75705C94" w14:textId="77777777" w:rsidR="00E86100" w:rsidRDefault="009B17A1" w:rsidP="00764999">
      <w:pPr>
        <w:autoSpaceDE w:val="0"/>
        <w:autoSpaceDN w:val="0"/>
        <w:adjustRightInd w:val="0"/>
        <w:spacing w:after="0" w:line="240" w:lineRule="auto"/>
        <w:contextualSpacing/>
      </w:pPr>
      <w:r w:rsidRPr="007B5928">
        <w:rPr>
          <w:b/>
          <w:bCs/>
        </w:rPr>
        <w:lastRenderedPageBreak/>
        <w:t>References</w:t>
      </w:r>
      <w:r w:rsidR="00AA63CB">
        <w:t xml:space="preserve">: </w:t>
      </w:r>
    </w:p>
    <w:p w14:paraId="5034E5FC" w14:textId="1338075B" w:rsidR="005337EA" w:rsidRPr="005337EA" w:rsidRDefault="005337EA" w:rsidP="00AD11BA">
      <w:pPr>
        <w:autoSpaceDE w:val="0"/>
        <w:autoSpaceDN w:val="0"/>
        <w:adjustRightInd w:val="0"/>
        <w:spacing w:after="0" w:line="240" w:lineRule="auto"/>
        <w:ind w:left="720" w:hanging="720"/>
        <w:contextualSpacing/>
        <w:rPr>
          <w:rFonts w:cs="Arial"/>
          <w:szCs w:val="20"/>
        </w:rPr>
      </w:pPr>
      <w:r w:rsidRPr="005337EA">
        <w:rPr>
          <w:rFonts w:cs="Arial"/>
          <w:szCs w:val="20"/>
        </w:rPr>
        <w:t xml:space="preserve">Boggs AE, Schmitt LM, McLane RD, et al. Optimization, validation and initial clinical implications of a </w:t>
      </w:r>
      <w:proofErr w:type="spellStart"/>
      <w:r w:rsidRPr="005337EA">
        <w:rPr>
          <w:rFonts w:cs="Arial"/>
          <w:szCs w:val="20"/>
        </w:rPr>
        <w:t>luminex</w:t>
      </w:r>
      <w:proofErr w:type="spellEnd"/>
      <w:r w:rsidRPr="005337EA">
        <w:rPr>
          <w:rFonts w:cs="Arial"/>
          <w:szCs w:val="20"/>
        </w:rPr>
        <w:t xml:space="preserve">-based immunoassay for the quantification of fragile X protein from dried blood spots. Sci Rep. 2022;12(1):5617. </w:t>
      </w:r>
      <w:proofErr w:type="spellStart"/>
      <w:r w:rsidRPr="005337EA">
        <w:rPr>
          <w:rFonts w:cs="Arial"/>
          <w:szCs w:val="20"/>
        </w:rPr>
        <w:t>doi</w:t>
      </w:r>
      <w:proofErr w:type="spellEnd"/>
      <w:r w:rsidRPr="005337EA">
        <w:rPr>
          <w:rFonts w:cs="Arial"/>
          <w:szCs w:val="20"/>
        </w:rPr>
        <w:t>: 10.1038/s41598-022-09633-8.</w:t>
      </w:r>
    </w:p>
    <w:p w14:paraId="60460A91" w14:textId="77777777" w:rsidR="005337EA" w:rsidRPr="005337EA" w:rsidRDefault="005337EA" w:rsidP="00AD11BA">
      <w:pPr>
        <w:autoSpaceDE w:val="0"/>
        <w:autoSpaceDN w:val="0"/>
        <w:adjustRightInd w:val="0"/>
        <w:spacing w:after="0" w:line="240" w:lineRule="auto"/>
        <w:ind w:left="720" w:hanging="720"/>
        <w:contextualSpacing/>
        <w:rPr>
          <w:rFonts w:cs="Arial"/>
          <w:szCs w:val="20"/>
        </w:rPr>
      </w:pPr>
    </w:p>
    <w:p w14:paraId="183A926C" w14:textId="1867C6E5" w:rsidR="00E86100" w:rsidRPr="005337EA" w:rsidRDefault="00E86100" w:rsidP="00AD11BA">
      <w:pPr>
        <w:autoSpaceDE w:val="0"/>
        <w:autoSpaceDN w:val="0"/>
        <w:adjustRightInd w:val="0"/>
        <w:spacing w:after="0" w:line="240" w:lineRule="auto"/>
        <w:ind w:left="720" w:hanging="720"/>
        <w:contextualSpacing/>
        <w:rPr>
          <w:rFonts w:cs="Arial"/>
          <w:szCs w:val="20"/>
        </w:rPr>
      </w:pPr>
      <w:r w:rsidRPr="005337EA">
        <w:rPr>
          <w:rFonts w:cs="Arial"/>
          <w:szCs w:val="20"/>
        </w:rPr>
        <w:t xml:space="preserve">Dyer-Friedman J, Glaser B, Hessl D, et al. Genetic and environmental influences on the cognitive outcomes of children with fragile X syndrome. J Am </w:t>
      </w:r>
      <w:proofErr w:type="spellStart"/>
      <w:r w:rsidRPr="005337EA">
        <w:rPr>
          <w:rFonts w:cs="Arial"/>
          <w:szCs w:val="20"/>
        </w:rPr>
        <w:t>Acad</w:t>
      </w:r>
      <w:proofErr w:type="spellEnd"/>
      <w:r w:rsidRPr="005337EA">
        <w:rPr>
          <w:rFonts w:cs="Arial"/>
          <w:szCs w:val="20"/>
        </w:rPr>
        <w:t xml:space="preserve"> Child </w:t>
      </w:r>
      <w:proofErr w:type="spellStart"/>
      <w:r w:rsidRPr="005337EA">
        <w:rPr>
          <w:rFonts w:cs="Arial"/>
          <w:szCs w:val="20"/>
        </w:rPr>
        <w:t>Adolesc</w:t>
      </w:r>
      <w:proofErr w:type="spellEnd"/>
      <w:r w:rsidRPr="005337EA">
        <w:rPr>
          <w:rFonts w:cs="Arial"/>
          <w:szCs w:val="20"/>
        </w:rPr>
        <w:t xml:space="preserve"> Psychiatry. 2002;41(3):237–244. </w:t>
      </w:r>
      <w:proofErr w:type="spellStart"/>
      <w:r w:rsidRPr="005337EA">
        <w:rPr>
          <w:rFonts w:cs="Arial"/>
          <w:szCs w:val="20"/>
        </w:rPr>
        <w:t>doi</w:t>
      </w:r>
      <w:proofErr w:type="spellEnd"/>
      <w:r w:rsidRPr="005337EA">
        <w:rPr>
          <w:rFonts w:cs="Arial"/>
          <w:szCs w:val="20"/>
        </w:rPr>
        <w:t>: 10.1097/00004583-200203000-00002.</w:t>
      </w:r>
    </w:p>
    <w:p w14:paraId="6FC7F5FC" w14:textId="77777777" w:rsidR="00E86100" w:rsidRPr="00E86100" w:rsidRDefault="00E86100" w:rsidP="00AD11BA">
      <w:pPr>
        <w:autoSpaceDE w:val="0"/>
        <w:autoSpaceDN w:val="0"/>
        <w:adjustRightInd w:val="0"/>
        <w:spacing w:after="0" w:line="240" w:lineRule="auto"/>
        <w:ind w:left="720" w:hanging="720"/>
        <w:contextualSpacing/>
        <w:rPr>
          <w:rFonts w:cs="Arial"/>
          <w:szCs w:val="20"/>
        </w:rPr>
      </w:pPr>
    </w:p>
    <w:p w14:paraId="05781DD1" w14:textId="1085BB55" w:rsidR="009B17A1" w:rsidRDefault="000673EC" w:rsidP="00AD11BA">
      <w:pPr>
        <w:autoSpaceDE w:val="0"/>
        <w:autoSpaceDN w:val="0"/>
        <w:adjustRightInd w:val="0"/>
        <w:spacing w:after="0" w:line="240" w:lineRule="auto"/>
        <w:ind w:left="720" w:hanging="720"/>
        <w:contextualSpacing/>
        <w:rPr>
          <w:rFonts w:cs="Arial"/>
          <w:szCs w:val="20"/>
        </w:rPr>
      </w:pPr>
      <w:r w:rsidRPr="00E86100">
        <w:rPr>
          <w:rFonts w:cs="Arial"/>
          <w:szCs w:val="20"/>
        </w:rPr>
        <w:t xml:space="preserve">Glaser B, Hessl D, Dyer-Friedman J, et al. Biological and environmental contributions to adaptive behavior in fragile X syndrome. AmJ Med Genet A. 2003;15(1):21–29. </w:t>
      </w:r>
      <w:proofErr w:type="spellStart"/>
      <w:r w:rsidRPr="00E86100">
        <w:rPr>
          <w:rFonts w:cs="Arial"/>
          <w:szCs w:val="20"/>
        </w:rPr>
        <w:t>doi</w:t>
      </w:r>
      <w:proofErr w:type="spellEnd"/>
      <w:r w:rsidRPr="00E86100">
        <w:rPr>
          <w:rFonts w:cs="Arial"/>
          <w:szCs w:val="20"/>
        </w:rPr>
        <w:t>: 10.1002/ajmg.a.10549.</w:t>
      </w:r>
    </w:p>
    <w:p w14:paraId="74C6A679" w14:textId="77777777" w:rsidR="00AD11BA" w:rsidRDefault="00AD11BA" w:rsidP="00AD11BA">
      <w:pPr>
        <w:autoSpaceDE w:val="0"/>
        <w:autoSpaceDN w:val="0"/>
        <w:adjustRightInd w:val="0"/>
        <w:spacing w:after="0" w:line="240" w:lineRule="auto"/>
        <w:ind w:left="720" w:hanging="720"/>
        <w:contextualSpacing/>
        <w:rPr>
          <w:rFonts w:cs="Arial"/>
          <w:szCs w:val="20"/>
        </w:rPr>
      </w:pPr>
    </w:p>
    <w:p w14:paraId="42BBD745" w14:textId="62E95166" w:rsidR="00AD11BA" w:rsidRPr="00E86100" w:rsidRDefault="00AD11BA" w:rsidP="00AD11BA">
      <w:pPr>
        <w:autoSpaceDE w:val="0"/>
        <w:autoSpaceDN w:val="0"/>
        <w:adjustRightInd w:val="0"/>
        <w:spacing w:after="0" w:line="240" w:lineRule="auto"/>
        <w:ind w:left="720" w:hanging="720"/>
        <w:contextualSpacing/>
        <w:rPr>
          <w:rFonts w:cs="Arial"/>
          <w:szCs w:val="20"/>
        </w:rPr>
      </w:pPr>
      <w:r w:rsidRPr="00AD11BA">
        <w:rPr>
          <w:rFonts w:cs="Arial"/>
          <w:szCs w:val="20"/>
        </w:rPr>
        <w:t>US Department of Health and Human Services. Social Determinants of Health.</w:t>
      </w:r>
      <w:r>
        <w:rPr>
          <w:rFonts w:cs="Arial"/>
          <w:szCs w:val="20"/>
        </w:rPr>
        <w:t xml:space="preserve"> </w:t>
      </w:r>
      <w:r w:rsidRPr="00AD11BA">
        <w:rPr>
          <w:rFonts w:cs="Arial"/>
          <w:szCs w:val="20"/>
        </w:rPr>
        <w:t>https://health.gov/healthypeople/priority-areas/social-determinants-health</w:t>
      </w:r>
    </w:p>
    <w:p w14:paraId="7D2D4C71" w14:textId="77777777" w:rsidR="00E86100" w:rsidRDefault="00E86100" w:rsidP="000673EC">
      <w:pPr>
        <w:autoSpaceDE w:val="0"/>
        <w:autoSpaceDN w:val="0"/>
        <w:adjustRightInd w:val="0"/>
        <w:spacing w:after="0" w:line="240" w:lineRule="auto"/>
        <w:rPr>
          <w:rFonts w:ascii="AdvOT1ef757c0" w:hAnsi="AdvOT1ef757c0" w:cs="AdvOT1ef757c0"/>
          <w:color w:val="000000"/>
          <w:sz w:val="16"/>
          <w:szCs w:val="16"/>
        </w:rPr>
      </w:pPr>
    </w:p>
    <w:p w14:paraId="5159EE2C" w14:textId="77777777" w:rsidR="00E86100" w:rsidRPr="00AA63CB" w:rsidRDefault="00E86100" w:rsidP="000673EC">
      <w:pPr>
        <w:autoSpaceDE w:val="0"/>
        <w:autoSpaceDN w:val="0"/>
        <w:adjustRightInd w:val="0"/>
        <w:spacing w:after="0" w:line="240" w:lineRule="auto"/>
        <w:rPr>
          <w:b/>
          <w:bCs/>
        </w:rPr>
      </w:pPr>
    </w:p>
    <w:p w14:paraId="4D317F60" w14:textId="77777777" w:rsidR="00583D5B" w:rsidRDefault="00583D5B">
      <w:pPr>
        <w:spacing w:after="160" w:line="259" w:lineRule="auto"/>
        <w:rPr>
          <w:b/>
          <w:bCs/>
        </w:rPr>
      </w:pPr>
      <w:r>
        <w:rPr>
          <w:b/>
          <w:bCs/>
        </w:rPr>
        <w:br w:type="page"/>
      </w:r>
    </w:p>
    <w:p w14:paraId="6F13206B" w14:textId="0CA2660C" w:rsidR="0064135E" w:rsidRPr="00163A52" w:rsidRDefault="0064135E" w:rsidP="0064135E">
      <w:pPr>
        <w:jc w:val="center"/>
        <w:rPr>
          <w:b/>
          <w:bCs/>
        </w:rPr>
      </w:pPr>
      <w:r w:rsidRPr="00163A52">
        <w:rPr>
          <w:b/>
          <w:bCs/>
        </w:rPr>
        <w:lastRenderedPageBreak/>
        <w:t xml:space="preserve">Paper </w:t>
      </w:r>
      <w:r>
        <w:rPr>
          <w:b/>
          <w:bCs/>
        </w:rPr>
        <w:t>2</w:t>
      </w:r>
      <w:r w:rsidRPr="00163A52">
        <w:rPr>
          <w:b/>
          <w:bCs/>
        </w:rPr>
        <w:t xml:space="preserve"> of </w:t>
      </w:r>
      <w:r w:rsidR="00537FA9">
        <w:rPr>
          <w:b/>
          <w:bCs/>
        </w:rPr>
        <w:t>3</w:t>
      </w:r>
    </w:p>
    <w:p w14:paraId="4BCF8EC6" w14:textId="76C6BA0C" w:rsidR="0064135E" w:rsidRDefault="0064135E" w:rsidP="0064135E">
      <w:r w:rsidRPr="002A64F0">
        <w:rPr>
          <w:b/>
          <w:bCs/>
        </w:rPr>
        <w:t>Paper Title</w:t>
      </w:r>
      <w:r>
        <w:t xml:space="preserve">: </w:t>
      </w:r>
      <w:r w:rsidR="00D93FEE" w:rsidRPr="00D93FEE">
        <w:t xml:space="preserve">Social Determinants of Health and Risk for Anxiety and Depression in the </w:t>
      </w:r>
      <w:r w:rsidR="00D93FEE" w:rsidRPr="00692C11">
        <w:rPr>
          <w:i/>
          <w:iCs/>
        </w:rPr>
        <w:t>FMR1</w:t>
      </w:r>
      <w:r w:rsidR="00D93FEE" w:rsidRPr="00D93FEE">
        <w:t xml:space="preserve"> Premutation: Neighborhood Deprivation and the Mediating Role of Loneliness</w:t>
      </w:r>
    </w:p>
    <w:p w14:paraId="74A51CF7" w14:textId="7C730333" w:rsidR="0064135E" w:rsidRDefault="0064135E" w:rsidP="0064135E">
      <w:r w:rsidRPr="002A64F0">
        <w:rPr>
          <w:b/>
          <w:bCs/>
        </w:rPr>
        <w:t>Authors</w:t>
      </w:r>
      <w:r>
        <w:t xml:space="preserve">: </w:t>
      </w:r>
      <w:r w:rsidR="001B7B61" w:rsidRPr="001B7B61">
        <w:t>Thomas R. Christensen</w:t>
      </w:r>
      <w:r w:rsidR="006A35E3">
        <w:rPr>
          <w:rStyle w:val="FootnoteReference"/>
        </w:rPr>
        <w:footnoteReference w:id="2"/>
      </w:r>
      <w:r w:rsidR="006A35E3">
        <w:t xml:space="preserve">, </w:t>
      </w:r>
      <w:r w:rsidR="001B7B61" w:rsidRPr="001B7B61">
        <w:t>Jessica Klusek</w:t>
      </w:r>
      <w:r w:rsidR="00220175" w:rsidRPr="00220175">
        <w:rPr>
          <w:vertAlign w:val="superscript"/>
        </w:rPr>
        <w:t>1</w:t>
      </w:r>
    </w:p>
    <w:p w14:paraId="7D55242A" w14:textId="479A9503" w:rsidR="0064135E" w:rsidRDefault="0064135E" w:rsidP="0064135E">
      <w:r w:rsidRPr="002A64F0">
        <w:rPr>
          <w:b/>
          <w:bCs/>
        </w:rPr>
        <w:t>Introduction</w:t>
      </w:r>
      <w:r>
        <w:t xml:space="preserve">: </w:t>
      </w:r>
      <w:r w:rsidR="000D4973" w:rsidRPr="000D4973">
        <w:t xml:space="preserve">The neighborhood in which someone lives has the potential to influence social relationships, social support, and feelings of loneliness, which in turn can lead to increased feelings of anxiety and depression, particularly for aging individuals (Kearns et al., 2015). Women with the </w:t>
      </w:r>
      <w:r w:rsidR="000D4973" w:rsidRPr="00692C11">
        <w:rPr>
          <w:i/>
          <w:iCs/>
        </w:rPr>
        <w:t>FMR1</w:t>
      </w:r>
      <w:r w:rsidR="000D4973" w:rsidRPr="000D4973">
        <w:t xml:space="preserve"> premutation have an expansion of 55-200 CGG repeats on the </w:t>
      </w:r>
      <w:r w:rsidR="000D4973" w:rsidRPr="00A623FA">
        <w:rPr>
          <w:i/>
          <w:iCs/>
        </w:rPr>
        <w:t>FMR1</w:t>
      </w:r>
      <w:r w:rsidR="000D4973" w:rsidRPr="000D4973">
        <w:t xml:space="preserve"> </w:t>
      </w:r>
      <w:proofErr w:type="gramStart"/>
      <w:r w:rsidR="000D4973" w:rsidRPr="000D4973">
        <w:t>gene, and</w:t>
      </w:r>
      <w:proofErr w:type="gramEnd"/>
      <w:r w:rsidR="000D4973" w:rsidRPr="000D4973">
        <w:t xml:space="preserve"> are at an increased risk for anxiety and depression, with lifetime prevalence at 35% and 54%, respectively (Roberts et al., 2016). Additionally, women with the </w:t>
      </w:r>
      <w:r w:rsidR="000D4973" w:rsidRPr="00692C11">
        <w:rPr>
          <w:i/>
          <w:iCs/>
        </w:rPr>
        <w:t>FMR1</w:t>
      </w:r>
      <w:r w:rsidR="000D4973" w:rsidRPr="000D4973">
        <w:t xml:space="preserve"> premutation are at risk of passing the full fragile X mutation to their children. Much of the research on risk for anxiety and depression in women with the </w:t>
      </w:r>
      <w:r w:rsidR="000D4973" w:rsidRPr="00692C11">
        <w:rPr>
          <w:i/>
          <w:iCs/>
        </w:rPr>
        <w:t>FMR1</w:t>
      </w:r>
      <w:r w:rsidR="000D4973" w:rsidRPr="000D4973">
        <w:t xml:space="preserve"> premutation has focused on child fragile X status and genetic factors (Loesch et al., 2015; Roberts et al., 2016), with little research focusing on the role that social determinant of health play in the </w:t>
      </w:r>
      <w:r w:rsidR="000D4973" w:rsidRPr="00692C11">
        <w:rPr>
          <w:i/>
          <w:iCs/>
        </w:rPr>
        <w:t>FMR1</w:t>
      </w:r>
      <w:r w:rsidR="000D4973" w:rsidRPr="000D4973">
        <w:t xml:space="preserve"> phenotype. Understanding the role that neighborhood deprivation has on loneliness in aging women with the </w:t>
      </w:r>
      <w:r w:rsidR="000D4973" w:rsidRPr="00692C11">
        <w:rPr>
          <w:i/>
          <w:iCs/>
        </w:rPr>
        <w:t>FMR1</w:t>
      </w:r>
      <w:r w:rsidR="000D4973" w:rsidRPr="000D4973">
        <w:t xml:space="preserve"> premutation and potential gene/environment interactions can illuminate risk and potential targets to reduce the anxiety and depression phenotype associated with the </w:t>
      </w:r>
      <w:r w:rsidR="000D4973" w:rsidRPr="00692C11">
        <w:rPr>
          <w:i/>
          <w:iCs/>
        </w:rPr>
        <w:t>FMR1</w:t>
      </w:r>
      <w:r w:rsidR="000D4973" w:rsidRPr="000D4973">
        <w:t xml:space="preserve"> premutation. Therefore, this study seeks to inform the impact of neighborhood deprivation on loneliness in aging women with the </w:t>
      </w:r>
      <w:r w:rsidR="000D4973" w:rsidRPr="00692C11">
        <w:rPr>
          <w:i/>
          <w:iCs/>
        </w:rPr>
        <w:t>FMR1</w:t>
      </w:r>
      <w:r w:rsidR="000D4973" w:rsidRPr="000D4973">
        <w:t xml:space="preserve"> premutation and the mediating role of loneliness on anxiety and depression.</w:t>
      </w:r>
    </w:p>
    <w:p w14:paraId="465969F3" w14:textId="67E649C1" w:rsidR="0064135E" w:rsidRDefault="0064135E" w:rsidP="0064135E">
      <w:r w:rsidRPr="007B5928">
        <w:rPr>
          <w:b/>
          <w:bCs/>
        </w:rPr>
        <w:t>Method</w:t>
      </w:r>
      <w:r>
        <w:t xml:space="preserve">: </w:t>
      </w:r>
      <w:r w:rsidR="002738D9" w:rsidRPr="002738D9">
        <w:t xml:space="preserve">Participants included 116 women with an average age of 62 years (range = 44-81; SD = 10), 72 of whom were women with the </w:t>
      </w:r>
      <w:r w:rsidR="002738D9" w:rsidRPr="00692C11">
        <w:rPr>
          <w:i/>
          <w:iCs/>
        </w:rPr>
        <w:t>FMR1</w:t>
      </w:r>
      <w:r w:rsidR="002738D9" w:rsidRPr="002738D9">
        <w:t xml:space="preserve"> premutation and 44 of whom were controls. The groups were matched on income (</w:t>
      </w:r>
      <w:r w:rsidR="002738D9" w:rsidRPr="00692C11">
        <w:rPr>
          <w:i/>
          <w:iCs/>
        </w:rPr>
        <w:t>p</w:t>
      </w:r>
      <w:r w:rsidR="002738D9" w:rsidRPr="002738D9">
        <w:t xml:space="preserve"> = .931), age (</w:t>
      </w:r>
      <w:r w:rsidR="002738D9" w:rsidRPr="00692C11">
        <w:rPr>
          <w:i/>
          <w:iCs/>
        </w:rPr>
        <w:t>p</w:t>
      </w:r>
      <w:r w:rsidR="002738D9" w:rsidRPr="002738D9">
        <w:t xml:space="preserve"> = .338), race (</w:t>
      </w:r>
      <w:r w:rsidR="002738D9" w:rsidRPr="00692C11">
        <w:rPr>
          <w:i/>
          <w:iCs/>
        </w:rPr>
        <w:t>p</w:t>
      </w:r>
      <w:r w:rsidR="002738D9" w:rsidRPr="002738D9">
        <w:t xml:space="preserve"> = .338), and education (</w:t>
      </w:r>
      <w:r w:rsidR="002738D9" w:rsidRPr="00692C11">
        <w:rPr>
          <w:i/>
          <w:iCs/>
        </w:rPr>
        <w:t>p</w:t>
      </w:r>
      <w:r w:rsidR="002738D9" w:rsidRPr="002738D9">
        <w:t xml:space="preserve"> = .946). Sixty-one of the women with the </w:t>
      </w:r>
      <w:r w:rsidR="002738D9" w:rsidRPr="00692C11">
        <w:rPr>
          <w:i/>
          <w:iCs/>
        </w:rPr>
        <w:t>FMR1</w:t>
      </w:r>
      <w:r w:rsidR="002738D9" w:rsidRPr="002738D9">
        <w:t xml:space="preserve"> premutation had a child with fragile X syndrome. The Area Deprivation Index measures the socioeconomic conditions of a neighborhood by ranking census blocks based on income, education, and employment (Kind &amp; Buckingham, 2018). The sample represents a wide range of neighborhood deprivation scores (M = 43; SD = 24). The Beck Anxiety Inventory (Beck &amp; Steer, 1993) measured anxiety symptoms, and the Beck Depression Inventory–II (Beck et al., 1996) was used to measure depression symptoms. To measure loneliness, the UCLA Loneliness Scale (Russell, 1996) was used.</w:t>
      </w:r>
    </w:p>
    <w:p w14:paraId="6F427181" w14:textId="6F499061" w:rsidR="0064135E" w:rsidRDefault="0064135E" w:rsidP="0064135E">
      <w:r w:rsidRPr="007B5928">
        <w:rPr>
          <w:b/>
          <w:bCs/>
        </w:rPr>
        <w:t>Results</w:t>
      </w:r>
      <w:r>
        <w:t>:</w:t>
      </w:r>
      <w:r w:rsidRPr="009B17A1">
        <w:t xml:space="preserve"> </w:t>
      </w:r>
      <w:r w:rsidR="00CB6E85" w:rsidRPr="00CB6E85">
        <w:t xml:space="preserve">In a general multiple linear regression model that included area deprivation, </w:t>
      </w:r>
      <w:r w:rsidR="00CB6E85" w:rsidRPr="00692C11">
        <w:rPr>
          <w:i/>
          <w:iCs/>
        </w:rPr>
        <w:t>FMR1</w:t>
      </w:r>
      <w:r w:rsidR="00CB6E85" w:rsidRPr="00CB6E85">
        <w:t xml:space="preserve"> premutation group status, and their interaction as predictors for loneliness scores, higher levels of area deprivation predicted higher levels of loneliness (</w:t>
      </w:r>
      <w:r w:rsidR="00CB6E85" w:rsidRPr="00692C11">
        <w:rPr>
          <w:i/>
          <w:iCs/>
        </w:rPr>
        <w:t>p</w:t>
      </w:r>
      <w:r w:rsidR="00CB6E85" w:rsidRPr="00CB6E85">
        <w:t xml:space="preserve"> = .002), and a significant interaction between group and area deprivation (</w:t>
      </w:r>
      <w:r w:rsidR="00CB6E85" w:rsidRPr="00692C11">
        <w:rPr>
          <w:i/>
          <w:iCs/>
        </w:rPr>
        <w:t>p</w:t>
      </w:r>
      <w:r w:rsidR="00CB6E85" w:rsidRPr="00CB6E85">
        <w:t xml:space="preserve"> = .043) suggested that area deprivation was more strongly associated with loneliness in women with the </w:t>
      </w:r>
      <w:r w:rsidR="00CB6E85" w:rsidRPr="00692C11">
        <w:rPr>
          <w:i/>
          <w:iCs/>
        </w:rPr>
        <w:t>FMR1</w:t>
      </w:r>
      <w:r w:rsidR="00CB6E85" w:rsidRPr="00CB6E85">
        <w:t xml:space="preserve"> premutation than in controls. The products of coefficient approach with bias-corrected, bootstrapped confidence intervals were used in two mediation models testing if loneliness mediated the effect of area deprivation on anxiety and depression in women with the </w:t>
      </w:r>
      <w:r w:rsidR="00CB6E85" w:rsidRPr="00692C11">
        <w:rPr>
          <w:i/>
          <w:iCs/>
        </w:rPr>
        <w:t>FMR1</w:t>
      </w:r>
      <w:r w:rsidR="00CB6E85" w:rsidRPr="00CB6E85">
        <w:t xml:space="preserve"> </w:t>
      </w:r>
      <w:r w:rsidR="00CB6E85" w:rsidRPr="00CB6E85">
        <w:lastRenderedPageBreak/>
        <w:t>premutation. The anxiety model showed full mediation (indirect effect ab = .04, 95% CI [ 0.01,0.09]) with a non-significant direct effect (</w:t>
      </w:r>
      <w:r w:rsidR="00CB6E85" w:rsidRPr="00692C11">
        <w:rPr>
          <w:i/>
          <w:iCs/>
        </w:rPr>
        <w:t>p</w:t>
      </w:r>
      <w:r w:rsidR="00CB6E85" w:rsidRPr="00CB6E85">
        <w:t xml:space="preserve"> = .167). The depression model also showed full mediation (indirect effect ab = .07, 95% CI [0.03,0.15]) with a non-significant direct effect (</w:t>
      </w:r>
      <w:r w:rsidR="00CB6E85" w:rsidRPr="00692C11">
        <w:rPr>
          <w:i/>
          <w:iCs/>
        </w:rPr>
        <w:t>p</w:t>
      </w:r>
      <w:r w:rsidR="00CB6E85" w:rsidRPr="00CB6E85">
        <w:t xml:space="preserve"> = .411). These results suggest that area deprivation is associated with anxiety and depression symptoms via loneliness, but not directly.</w:t>
      </w:r>
    </w:p>
    <w:p w14:paraId="7AC48F54" w14:textId="40E42043" w:rsidR="0064135E" w:rsidRDefault="0064135E" w:rsidP="0064135E">
      <w:r w:rsidRPr="007B5928">
        <w:rPr>
          <w:b/>
          <w:bCs/>
        </w:rPr>
        <w:t>Discussion</w:t>
      </w:r>
      <w:r>
        <w:t xml:space="preserve">: </w:t>
      </w:r>
      <w:r w:rsidR="00CB5F45" w:rsidRPr="00CB5F45">
        <w:t xml:space="preserve">To date, few studies have explored the associations between social determinants of health and anxiety and depression in the </w:t>
      </w:r>
      <w:r w:rsidR="00CB5F45" w:rsidRPr="00692C11">
        <w:rPr>
          <w:i/>
          <w:iCs/>
        </w:rPr>
        <w:t>FMR1</w:t>
      </w:r>
      <w:r w:rsidR="00CB5F45" w:rsidRPr="00CB5F45">
        <w:t xml:space="preserve"> premutation. In the general population, area-level social determinants of health have an impact on loneliness, which have downstream effects on anxiety and depression, especially as people age. This study demonstrates that aging women with the </w:t>
      </w:r>
      <w:r w:rsidR="00CB5F45" w:rsidRPr="00692C11">
        <w:rPr>
          <w:i/>
          <w:iCs/>
        </w:rPr>
        <w:t>FMR1</w:t>
      </w:r>
      <w:r w:rsidR="00CB5F45" w:rsidRPr="00CB5F45">
        <w:t xml:space="preserve"> premutation who live in high deprivation neighborhoods are at an increased risk for loneliness compared to women who do not carry this genetic mutation, and that the loneliness from area deprivation has downstream effects on anxiety and depression symptoms in the women with the </w:t>
      </w:r>
      <w:r w:rsidR="00CB5F45" w:rsidRPr="00692C11">
        <w:rPr>
          <w:i/>
          <w:iCs/>
        </w:rPr>
        <w:t>FMR1</w:t>
      </w:r>
      <w:r w:rsidR="00CB5F45" w:rsidRPr="00CB5F45">
        <w:t xml:space="preserve"> premutation. Policies and interventions addressing loneliness and targeting areas with relatively higher deprivation could have a positive effect on anxiety and depression and help to address health disparities in the </w:t>
      </w:r>
      <w:r w:rsidR="00CB5F45" w:rsidRPr="00692C11">
        <w:rPr>
          <w:i/>
          <w:iCs/>
        </w:rPr>
        <w:t>FMR1</w:t>
      </w:r>
      <w:r w:rsidR="00CB5F45" w:rsidRPr="00CB5F45">
        <w:t xml:space="preserve"> premutation population. Further research should explore the relationships between other social factors such as social relationships and social support and neighborhood deprivation and the possible downstream effects of those factors on health outcomes.</w:t>
      </w:r>
    </w:p>
    <w:p w14:paraId="03A5F696" w14:textId="77777777" w:rsidR="00537FA9" w:rsidRPr="00537FA9" w:rsidRDefault="0064135E" w:rsidP="00764999">
      <w:pPr>
        <w:pStyle w:val="Bibliography"/>
        <w:spacing w:line="240" w:lineRule="auto"/>
        <w:contextualSpacing/>
        <w:rPr>
          <w:rFonts w:ascii="Arial" w:hAnsi="Arial" w:cs="Arial"/>
          <w:sz w:val="20"/>
          <w:szCs w:val="20"/>
        </w:rPr>
      </w:pPr>
      <w:r w:rsidRPr="00537FA9">
        <w:rPr>
          <w:rFonts w:ascii="Arial" w:hAnsi="Arial" w:cs="Arial"/>
          <w:b/>
          <w:bCs/>
          <w:sz w:val="20"/>
          <w:szCs w:val="20"/>
        </w:rPr>
        <w:t>References</w:t>
      </w:r>
    </w:p>
    <w:p w14:paraId="50659602" w14:textId="51173DAD" w:rsidR="00537FA9" w:rsidRPr="00537FA9" w:rsidRDefault="00537FA9" w:rsidP="00AD11BA">
      <w:pPr>
        <w:pStyle w:val="Bibliography"/>
        <w:spacing w:line="240" w:lineRule="auto"/>
        <w:ind w:left="720" w:hanging="720"/>
        <w:contextualSpacing/>
        <w:rPr>
          <w:rFonts w:ascii="Arial" w:eastAsia="Aptos" w:hAnsi="Arial" w:cs="Arial"/>
          <w:sz w:val="20"/>
          <w:szCs w:val="20"/>
        </w:rPr>
      </w:pPr>
      <w:r w:rsidRPr="00537FA9">
        <w:rPr>
          <w:rFonts w:ascii="Arial" w:eastAsia="Aptos" w:hAnsi="Arial" w:cs="Arial"/>
          <w:sz w:val="20"/>
          <w:szCs w:val="20"/>
        </w:rPr>
        <w:fldChar w:fldCharType="begin"/>
      </w:r>
      <w:r w:rsidRPr="00537FA9">
        <w:rPr>
          <w:rFonts w:ascii="Arial" w:eastAsia="Aptos" w:hAnsi="Arial" w:cs="Arial"/>
          <w:sz w:val="20"/>
          <w:szCs w:val="20"/>
        </w:rPr>
        <w:instrText xml:space="preserve"> ADDIN ZOTERO_BIBL {"uncited":[],"omitted":[],"custom":[]} CSL_BIBLIOGRAPHY </w:instrText>
      </w:r>
      <w:r w:rsidRPr="00537FA9">
        <w:rPr>
          <w:rFonts w:ascii="Arial" w:eastAsia="Aptos" w:hAnsi="Arial" w:cs="Arial"/>
          <w:sz w:val="20"/>
          <w:szCs w:val="20"/>
        </w:rPr>
        <w:fldChar w:fldCharType="separate"/>
      </w:r>
      <w:r w:rsidRPr="00537FA9">
        <w:rPr>
          <w:rFonts w:ascii="Arial" w:eastAsia="Aptos" w:hAnsi="Arial" w:cs="Arial"/>
          <w:sz w:val="20"/>
          <w:szCs w:val="20"/>
        </w:rPr>
        <w:t xml:space="preserve">Beck, A., Steer, R., &amp; Brown, Gk. (1996). BDI-II, Beck depression inventory: Manual: Psychological Corp. </w:t>
      </w:r>
      <w:r w:rsidRPr="00537FA9">
        <w:rPr>
          <w:rFonts w:ascii="Arial" w:eastAsia="Aptos" w:hAnsi="Arial" w:cs="Arial"/>
          <w:i/>
          <w:iCs/>
          <w:sz w:val="20"/>
          <w:szCs w:val="20"/>
        </w:rPr>
        <w:t>San Antonio, TX</w:t>
      </w:r>
      <w:r w:rsidRPr="00537FA9">
        <w:rPr>
          <w:rFonts w:ascii="Arial" w:eastAsia="Aptos" w:hAnsi="Arial" w:cs="Arial"/>
          <w:sz w:val="20"/>
          <w:szCs w:val="20"/>
        </w:rPr>
        <w:t xml:space="preserve">, </w:t>
      </w:r>
      <w:r w:rsidRPr="00537FA9">
        <w:rPr>
          <w:rFonts w:ascii="Arial" w:eastAsia="Aptos" w:hAnsi="Arial" w:cs="Arial"/>
          <w:i/>
          <w:iCs/>
          <w:sz w:val="20"/>
          <w:szCs w:val="20"/>
        </w:rPr>
        <w:t>3</w:t>
      </w:r>
      <w:r w:rsidRPr="00537FA9">
        <w:rPr>
          <w:rFonts w:ascii="Arial" w:eastAsia="Aptos" w:hAnsi="Arial" w:cs="Arial"/>
          <w:sz w:val="20"/>
          <w:szCs w:val="20"/>
        </w:rPr>
        <w:t>, 601–608.</w:t>
      </w:r>
    </w:p>
    <w:p w14:paraId="6438B07A" w14:textId="77777777" w:rsidR="00537FA9" w:rsidRDefault="00537FA9" w:rsidP="00AD11BA">
      <w:pPr>
        <w:spacing w:after="160" w:line="240" w:lineRule="auto"/>
        <w:ind w:left="720" w:hanging="720"/>
        <w:contextualSpacing/>
        <w:rPr>
          <w:rFonts w:eastAsia="Aptos" w:cs="Arial"/>
          <w:kern w:val="2"/>
          <w:szCs w:val="20"/>
          <w14:ligatures w14:val="standardContextual"/>
        </w:rPr>
      </w:pPr>
      <w:r w:rsidRPr="00537FA9">
        <w:rPr>
          <w:rFonts w:eastAsia="Aptos" w:cs="Arial"/>
          <w:kern w:val="2"/>
          <w:szCs w:val="20"/>
          <w14:ligatures w14:val="standardContextual"/>
        </w:rPr>
        <w:t xml:space="preserve">Beck, A. T., &amp; Steer, R. A. (1993). </w:t>
      </w:r>
      <w:r w:rsidRPr="00537FA9">
        <w:rPr>
          <w:rFonts w:eastAsia="Aptos" w:cs="Arial"/>
          <w:i/>
          <w:iCs/>
          <w:kern w:val="2"/>
          <w:szCs w:val="20"/>
          <w14:ligatures w14:val="standardContextual"/>
        </w:rPr>
        <w:t>BAI, Beck anxiety inventory: Manual</w:t>
      </w:r>
      <w:r w:rsidRPr="00537FA9">
        <w:rPr>
          <w:rFonts w:eastAsia="Aptos" w:cs="Arial"/>
          <w:kern w:val="2"/>
          <w:szCs w:val="20"/>
          <w14:ligatures w14:val="standardContextual"/>
        </w:rPr>
        <w:t xml:space="preserve"> (1993 ed). Psychological Corporation.</w:t>
      </w:r>
    </w:p>
    <w:p w14:paraId="42886BA7" w14:textId="77777777" w:rsidR="00AD11BA" w:rsidRPr="00537FA9" w:rsidRDefault="00AD11BA" w:rsidP="00AD11BA">
      <w:pPr>
        <w:spacing w:after="160" w:line="240" w:lineRule="auto"/>
        <w:ind w:left="720" w:hanging="720"/>
        <w:contextualSpacing/>
        <w:rPr>
          <w:rFonts w:eastAsia="Aptos" w:cs="Arial"/>
          <w:kern w:val="2"/>
          <w:szCs w:val="20"/>
          <w14:ligatures w14:val="standardContextual"/>
        </w:rPr>
      </w:pPr>
    </w:p>
    <w:p w14:paraId="6DD72BC8" w14:textId="77777777" w:rsidR="00537FA9" w:rsidRDefault="00537FA9" w:rsidP="00AD11BA">
      <w:pPr>
        <w:spacing w:after="160" w:line="240" w:lineRule="auto"/>
        <w:ind w:left="720" w:hanging="720"/>
        <w:contextualSpacing/>
        <w:rPr>
          <w:rFonts w:eastAsia="Aptos" w:cs="Arial"/>
          <w:kern w:val="2"/>
          <w:szCs w:val="20"/>
          <w14:ligatures w14:val="standardContextual"/>
        </w:rPr>
      </w:pPr>
      <w:r w:rsidRPr="00537FA9">
        <w:rPr>
          <w:rFonts w:eastAsia="Aptos" w:cs="Arial"/>
          <w:kern w:val="2"/>
          <w:szCs w:val="20"/>
          <w14:ligatures w14:val="standardContextual"/>
        </w:rPr>
        <w:t xml:space="preserve">Kearns, A., Whitley, E., Tannahill, C., &amp; Ellaway, A. (2015). Loneliness, social relations and health and well-being in deprived communities. </w:t>
      </w:r>
      <w:r w:rsidRPr="00537FA9">
        <w:rPr>
          <w:rFonts w:eastAsia="Aptos" w:cs="Arial"/>
          <w:i/>
          <w:iCs/>
          <w:kern w:val="2"/>
          <w:szCs w:val="20"/>
          <w14:ligatures w14:val="standardContextual"/>
        </w:rPr>
        <w:t>Psychology, Health &amp; Medicine</w:t>
      </w:r>
      <w:r w:rsidRPr="00537FA9">
        <w:rPr>
          <w:rFonts w:eastAsia="Aptos" w:cs="Arial"/>
          <w:kern w:val="2"/>
          <w:szCs w:val="20"/>
          <w14:ligatures w14:val="standardContextual"/>
        </w:rPr>
        <w:t xml:space="preserve">, </w:t>
      </w:r>
      <w:r w:rsidRPr="00537FA9">
        <w:rPr>
          <w:rFonts w:eastAsia="Aptos" w:cs="Arial"/>
          <w:i/>
          <w:iCs/>
          <w:kern w:val="2"/>
          <w:szCs w:val="20"/>
          <w14:ligatures w14:val="standardContextual"/>
        </w:rPr>
        <w:t>20</w:t>
      </w:r>
      <w:r w:rsidRPr="00537FA9">
        <w:rPr>
          <w:rFonts w:eastAsia="Aptos" w:cs="Arial"/>
          <w:kern w:val="2"/>
          <w:szCs w:val="20"/>
          <w14:ligatures w14:val="standardContextual"/>
        </w:rPr>
        <w:t>(3), 332–344. https://doi.org/10.1080/13548506.2014.940354</w:t>
      </w:r>
    </w:p>
    <w:p w14:paraId="739B5A11" w14:textId="77777777" w:rsidR="00764999" w:rsidRPr="00537FA9" w:rsidRDefault="00764999" w:rsidP="00AD11BA">
      <w:pPr>
        <w:spacing w:after="160" w:line="240" w:lineRule="auto"/>
        <w:ind w:left="720" w:hanging="720"/>
        <w:contextualSpacing/>
        <w:rPr>
          <w:rFonts w:eastAsia="Aptos" w:cs="Arial"/>
          <w:kern w:val="2"/>
          <w:szCs w:val="20"/>
          <w14:ligatures w14:val="standardContextual"/>
        </w:rPr>
      </w:pPr>
    </w:p>
    <w:p w14:paraId="72B79456" w14:textId="77777777" w:rsidR="00537FA9" w:rsidRDefault="00537FA9" w:rsidP="00AD11BA">
      <w:pPr>
        <w:spacing w:after="160" w:line="240" w:lineRule="auto"/>
        <w:ind w:left="720" w:hanging="720"/>
        <w:contextualSpacing/>
        <w:rPr>
          <w:rFonts w:eastAsia="Aptos" w:cs="Arial"/>
          <w:kern w:val="2"/>
          <w:szCs w:val="20"/>
          <w14:ligatures w14:val="standardContextual"/>
        </w:rPr>
      </w:pPr>
      <w:r w:rsidRPr="00537FA9">
        <w:rPr>
          <w:rFonts w:eastAsia="Aptos" w:cs="Arial"/>
          <w:kern w:val="2"/>
          <w:szCs w:val="20"/>
          <w14:ligatures w14:val="standardContextual"/>
        </w:rPr>
        <w:t xml:space="preserve">Loesch, D. Z., Bui, M. Q., Hammersley, E., Schneider, A., Storey, E., Stimpson, P., Burgess, T., Francis, D., Slater, H., Tassone, F., Hagerman, R. J., &amp; Hessl, D. (2015). Psychological status in female carriers of premutation </w:t>
      </w:r>
      <w:r w:rsidRPr="00537FA9">
        <w:rPr>
          <w:rFonts w:eastAsia="Aptos" w:cs="Arial"/>
          <w:smallCaps/>
          <w:kern w:val="2"/>
          <w:szCs w:val="20"/>
          <w14:ligatures w14:val="standardContextual"/>
        </w:rPr>
        <w:t>FMR1</w:t>
      </w:r>
      <w:r w:rsidRPr="00537FA9">
        <w:rPr>
          <w:rFonts w:eastAsia="Aptos" w:cs="Arial"/>
          <w:kern w:val="2"/>
          <w:szCs w:val="20"/>
          <w14:ligatures w14:val="standardContextual"/>
        </w:rPr>
        <w:t xml:space="preserve"> allele showing a complex relationship with the size of </w:t>
      </w:r>
      <w:r w:rsidRPr="00537FA9">
        <w:rPr>
          <w:rFonts w:eastAsia="Aptos" w:cs="Arial"/>
          <w:smallCaps/>
          <w:kern w:val="2"/>
          <w:szCs w:val="20"/>
          <w14:ligatures w14:val="standardContextual"/>
        </w:rPr>
        <w:t>CGG</w:t>
      </w:r>
      <w:r w:rsidRPr="00537FA9">
        <w:rPr>
          <w:rFonts w:eastAsia="Aptos" w:cs="Arial"/>
          <w:kern w:val="2"/>
          <w:szCs w:val="20"/>
          <w14:ligatures w14:val="standardContextual"/>
        </w:rPr>
        <w:t xml:space="preserve"> expansion. </w:t>
      </w:r>
      <w:r w:rsidRPr="00537FA9">
        <w:rPr>
          <w:rFonts w:eastAsia="Aptos" w:cs="Arial"/>
          <w:i/>
          <w:iCs/>
          <w:kern w:val="2"/>
          <w:szCs w:val="20"/>
          <w14:ligatures w14:val="standardContextual"/>
        </w:rPr>
        <w:t>Clinical Genetics</w:t>
      </w:r>
      <w:r w:rsidRPr="00537FA9">
        <w:rPr>
          <w:rFonts w:eastAsia="Aptos" w:cs="Arial"/>
          <w:kern w:val="2"/>
          <w:szCs w:val="20"/>
          <w14:ligatures w14:val="standardContextual"/>
        </w:rPr>
        <w:t xml:space="preserve">, </w:t>
      </w:r>
      <w:r w:rsidRPr="00537FA9">
        <w:rPr>
          <w:rFonts w:eastAsia="Aptos" w:cs="Arial"/>
          <w:i/>
          <w:iCs/>
          <w:kern w:val="2"/>
          <w:szCs w:val="20"/>
          <w14:ligatures w14:val="standardContextual"/>
        </w:rPr>
        <w:t>87</w:t>
      </w:r>
      <w:r w:rsidRPr="00537FA9">
        <w:rPr>
          <w:rFonts w:eastAsia="Aptos" w:cs="Arial"/>
          <w:kern w:val="2"/>
          <w:szCs w:val="20"/>
          <w14:ligatures w14:val="standardContextual"/>
        </w:rPr>
        <w:t>(2), 173–178. https://doi.org/10.1111/cge.12347</w:t>
      </w:r>
    </w:p>
    <w:p w14:paraId="5AA184CF" w14:textId="77777777" w:rsidR="00764999" w:rsidRPr="00537FA9" w:rsidRDefault="00764999" w:rsidP="00AD11BA">
      <w:pPr>
        <w:spacing w:after="160" w:line="240" w:lineRule="auto"/>
        <w:ind w:left="720" w:hanging="720"/>
        <w:contextualSpacing/>
        <w:rPr>
          <w:rFonts w:eastAsia="Aptos" w:cs="Arial"/>
          <w:kern w:val="2"/>
          <w:szCs w:val="20"/>
          <w14:ligatures w14:val="standardContextual"/>
        </w:rPr>
      </w:pPr>
    </w:p>
    <w:p w14:paraId="07C28AAD" w14:textId="77777777" w:rsidR="00537FA9" w:rsidRDefault="00537FA9" w:rsidP="00AD11BA">
      <w:pPr>
        <w:spacing w:after="160" w:line="240" w:lineRule="auto"/>
        <w:ind w:left="720" w:hanging="720"/>
        <w:contextualSpacing/>
        <w:rPr>
          <w:rFonts w:eastAsia="Aptos" w:cs="Arial"/>
          <w:kern w:val="2"/>
          <w:szCs w:val="20"/>
          <w14:ligatures w14:val="standardContextual"/>
        </w:rPr>
      </w:pPr>
      <w:r w:rsidRPr="00537FA9">
        <w:rPr>
          <w:rFonts w:eastAsia="Aptos" w:cs="Arial"/>
          <w:kern w:val="2"/>
          <w:szCs w:val="20"/>
          <w14:ligatures w14:val="standardContextual"/>
        </w:rPr>
        <w:t xml:space="preserve">Roberts, J. E., Tonnsen, B. L., McCary, L. M., Ford, A. L., Golden, R. N., &amp; Bailey, D. B. (2016). Trajectory and Predictors of Depression and Anxiety Disorders in Mothers With the FMR1 Premutation. </w:t>
      </w:r>
      <w:r w:rsidRPr="00537FA9">
        <w:rPr>
          <w:rFonts w:eastAsia="Aptos" w:cs="Arial"/>
          <w:i/>
          <w:iCs/>
          <w:kern w:val="2"/>
          <w:szCs w:val="20"/>
          <w14:ligatures w14:val="standardContextual"/>
        </w:rPr>
        <w:t>Biological Psychiatry</w:t>
      </w:r>
      <w:r w:rsidRPr="00537FA9">
        <w:rPr>
          <w:rFonts w:eastAsia="Aptos" w:cs="Arial"/>
          <w:kern w:val="2"/>
          <w:szCs w:val="20"/>
          <w14:ligatures w14:val="standardContextual"/>
        </w:rPr>
        <w:t xml:space="preserve">, </w:t>
      </w:r>
      <w:r w:rsidRPr="00537FA9">
        <w:rPr>
          <w:rFonts w:eastAsia="Aptos" w:cs="Arial"/>
          <w:i/>
          <w:iCs/>
          <w:kern w:val="2"/>
          <w:szCs w:val="20"/>
          <w14:ligatures w14:val="standardContextual"/>
        </w:rPr>
        <w:t>79</w:t>
      </w:r>
      <w:r w:rsidRPr="00537FA9">
        <w:rPr>
          <w:rFonts w:eastAsia="Aptos" w:cs="Arial"/>
          <w:kern w:val="2"/>
          <w:szCs w:val="20"/>
          <w14:ligatures w14:val="standardContextual"/>
        </w:rPr>
        <w:t>(10), 850–857. https://doi.org/10.1016/j.biopsych.2015.07.015</w:t>
      </w:r>
    </w:p>
    <w:p w14:paraId="630BF965" w14:textId="77777777" w:rsidR="00764999" w:rsidRPr="00537FA9" w:rsidRDefault="00764999" w:rsidP="00AD11BA">
      <w:pPr>
        <w:spacing w:after="160" w:line="240" w:lineRule="auto"/>
        <w:ind w:left="720" w:hanging="720"/>
        <w:contextualSpacing/>
        <w:rPr>
          <w:rFonts w:eastAsia="Aptos" w:cs="Arial"/>
          <w:kern w:val="2"/>
          <w:szCs w:val="20"/>
          <w14:ligatures w14:val="standardContextual"/>
        </w:rPr>
      </w:pPr>
    </w:p>
    <w:p w14:paraId="4D4EC3D2" w14:textId="77777777" w:rsidR="00537FA9" w:rsidRPr="00537FA9" w:rsidRDefault="00537FA9" w:rsidP="00AD11BA">
      <w:pPr>
        <w:spacing w:after="160" w:line="240" w:lineRule="auto"/>
        <w:ind w:left="720" w:hanging="720"/>
        <w:contextualSpacing/>
        <w:rPr>
          <w:rFonts w:eastAsia="Aptos" w:cs="Arial"/>
          <w:kern w:val="2"/>
          <w:szCs w:val="20"/>
          <w14:ligatures w14:val="standardContextual"/>
        </w:rPr>
      </w:pPr>
      <w:r w:rsidRPr="00537FA9">
        <w:rPr>
          <w:rFonts w:eastAsia="Aptos" w:cs="Arial"/>
          <w:kern w:val="2"/>
          <w:szCs w:val="20"/>
          <w14:ligatures w14:val="standardContextual"/>
        </w:rPr>
        <w:t xml:space="preserve">Russell, D. W. (1996). UCLA Loneliness Scale (Version 3): Reliability, Validity, and Factor Structure. </w:t>
      </w:r>
      <w:r w:rsidRPr="00537FA9">
        <w:rPr>
          <w:rFonts w:eastAsia="Aptos" w:cs="Arial"/>
          <w:i/>
          <w:iCs/>
          <w:kern w:val="2"/>
          <w:szCs w:val="20"/>
          <w14:ligatures w14:val="standardContextual"/>
        </w:rPr>
        <w:t>Journal of Personality Assessment</w:t>
      </w:r>
      <w:r w:rsidRPr="00537FA9">
        <w:rPr>
          <w:rFonts w:eastAsia="Aptos" w:cs="Arial"/>
          <w:kern w:val="2"/>
          <w:szCs w:val="20"/>
          <w14:ligatures w14:val="standardContextual"/>
        </w:rPr>
        <w:t xml:space="preserve">, </w:t>
      </w:r>
      <w:r w:rsidRPr="00537FA9">
        <w:rPr>
          <w:rFonts w:eastAsia="Aptos" w:cs="Arial"/>
          <w:i/>
          <w:iCs/>
          <w:kern w:val="2"/>
          <w:szCs w:val="20"/>
          <w14:ligatures w14:val="standardContextual"/>
        </w:rPr>
        <w:t>66</w:t>
      </w:r>
      <w:r w:rsidRPr="00537FA9">
        <w:rPr>
          <w:rFonts w:eastAsia="Aptos" w:cs="Arial"/>
          <w:kern w:val="2"/>
          <w:szCs w:val="20"/>
          <w14:ligatures w14:val="standardContextual"/>
        </w:rPr>
        <w:t>(1), 20–40. https://doi.org/10.1207/s15327752jpa6601_2</w:t>
      </w:r>
    </w:p>
    <w:p w14:paraId="61BB8FA3" w14:textId="61BB393C" w:rsidR="0064135E" w:rsidRPr="00537FA9" w:rsidRDefault="00537FA9" w:rsidP="00AD11BA">
      <w:pPr>
        <w:spacing w:line="240" w:lineRule="auto"/>
        <w:ind w:left="720" w:hanging="720"/>
        <w:contextualSpacing/>
        <w:rPr>
          <w:szCs w:val="20"/>
        </w:rPr>
      </w:pPr>
      <w:r w:rsidRPr="00537FA9">
        <w:rPr>
          <w:rFonts w:eastAsia="Aptos" w:cs="Arial"/>
          <w:kern w:val="2"/>
          <w:szCs w:val="20"/>
          <w14:ligatures w14:val="standardContextual"/>
        </w:rPr>
        <w:fldChar w:fldCharType="end"/>
      </w:r>
    </w:p>
    <w:p w14:paraId="1B6C0599" w14:textId="77777777" w:rsidR="00BE0DE5" w:rsidRDefault="00BE0DE5" w:rsidP="0064135E">
      <w:pPr>
        <w:jc w:val="center"/>
        <w:rPr>
          <w:b/>
          <w:bCs/>
          <w:szCs w:val="20"/>
        </w:rPr>
      </w:pPr>
    </w:p>
    <w:p w14:paraId="5A190359" w14:textId="77777777" w:rsidR="00583D5B" w:rsidRDefault="00583D5B">
      <w:pPr>
        <w:spacing w:after="160" w:line="259" w:lineRule="auto"/>
        <w:rPr>
          <w:b/>
          <w:bCs/>
          <w:szCs w:val="20"/>
        </w:rPr>
      </w:pPr>
      <w:r>
        <w:rPr>
          <w:b/>
          <w:bCs/>
          <w:szCs w:val="20"/>
        </w:rPr>
        <w:br w:type="page"/>
      </w:r>
    </w:p>
    <w:p w14:paraId="46304025" w14:textId="081649C7" w:rsidR="0064135E" w:rsidRPr="00537FA9" w:rsidRDefault="0064135E" w:rsidP="0064135E">
      <w:pPr>
        <w:jc w:val="center"/>
        <w:rPr>
          <w:b/>
          <w:bCs/>
          <w:szCs w:val="20"/>
        </w:rPr>
      </w:pPr>
      <w:r w:rsidRPr="00537FA9">
        <w:rPr>
          <w:b/>
          <w:bCs/>
          <w:szCs w:val="20"/>
        </w:rPr>
        <w:lastRenderedPageBreak/>
        <w:t xml:space="preserve">Paper 3 of </w:t>
      </w:r>
      <w:r w:rsidR="00537FA9">
        <w:rPr>
          <w:b/>
          <w:bCs/>
          <w:szCs w:val="20"/>
        </w:rPr>
        <w:t>3</w:t>
      </w:r>
    </w:p>
    <w:p w14:paraId="404639F6" w14:textId="77777777" w:rsidR="006C24E2" w:rsidRDefault="0064135E" w:rsidP="0064135E">
      <w:r w:rsidRPr="002A64F0">
        <w:rPr>
          <w:b/>
          <w:bCs/>
        </w:rPr>
        <w:t>Paper Title</w:t>
      </w:r>
      <w:r>
        <w:t xml:space="preserve">: </w:t>
      </w:r>
      <w:r w:rsidR="006C24E2" w:rsidRPr="006C24E2">
        <w:t xml:space="preserve">Child Opportunity Index and Mental Health in Youth with Intellectual and Developmental Disabilities </w:t>
      </w:r>
    </w:p>
    <w:p w14:paraId="26C811B4" w14:textId="3724EC62" w:rsidR="00FA7672" w:rsidRDefault="0064135E" w:rsidP="0064135E">
      <w:r w:rsidRPr="002A64F0">
        <w:rPr>
          <w:b/>
          <w:bCs/>
        </w:rPr>
        <w:t>Authors</w:t>
      </w:r>
      <w:r>
        <w:t xml:space="preserve">: </w:t>
      </w:r>
      <w:r w:rsidR="005D6590" w:rsidRPr="005D6590">
        <w:t xml:space="preserve">Iulia </w:t>
      </w:r>
      <w:r w:rsidR="00FA7672" w:rsidRPr="00FA7672">
        <w:t>Mihaila</w:t>
      </w:r>
      <w:r w:rsidR="006A35E3">
        <w:rPr>
          <w:rStyle w:val="FootnoteReference"/>
        </w:rPr>
        <w:footnoteReference w:id="3"/>
      </w:r>
      <w:r w:rsidR="00FA7672" w:rsidRPr="00FA7672">
        <w:t xml:space="preserve">, </w:t>
      </w:r>
      <w:r w:rsidR="00224E84" w:rsidRPr="00224E84">
        <w:t>Cheng-Shi Shiu</w:t>
      </w:r>
      <w:r w:rsidR="00A05D76" w:rsidRPr="00A05D76">
        <w:rPr>
          <w:vertAlign w:val="superscript"/>
        </w:rPr>
        <w:t>2</w:t>
      </w:r>
      <w:r w:rsidR="00FA7672" w:rsidRPr="00FA7672">
        <w:t xml:space="preserve">, </w:t>
      </w:r>
      <w:r w:rsidR="00D87F3A" w:rsidRPr="00D87F3A">
        <w:t xml:space="preserve">Katherine </w:t>
      </w:r>
      <w:r w:rsidR="00FA7672" w:rsidRPr="00FA7672">
        <w:t>Buchholz</w:t>
      </w:r>
      <w:r w:rsidR="00A05D76" w:rsidRPr="00A05D76">
        <w:rPr>
          <w:vertAlign w:val="superscript"/>
        </w:rPr>
        <w:t>3</w:t>
      </w:r>
      <w:r w:rsidR="00FA7672" w:rsidRPr="00FA7672">
        <w:t xml:space="preserve">, </w:t>
      </w:r>
      <w:r w:rsidR="00CD54A6" w:rsidRPr="00CD54A6">
        <w:t xml:space="preserve">Tracy </w:t>
      </w:r>
      <w:r w:rsidR="00FA7672" w:rsidRPr="00FA7672">
        <w:t>Gladstone</w:t>
      </w:r>
      <w:r w:rsidR="00A05D76" w:rsidRPr="00A05D76">
        <w:rPr>
          <w:vertAlign w:val="superscript"/>
        </w:rPr>
        <w:t>4</w:t>
      </w:r>
      <w:r w:rsidR="00FA7672" w:rsidRPr="00FA7672">
        <w:t>,</w:t>
      </w:r>
      <w:r w:rsidR="00FA7672">
        <w:t xml:space="preserve"> </w:t>
      </w:r>
      <w:r w:rsidR="003412D7" w:rsidRPr="003412D7">
        <w:t xml:space="preserve">Jocelyn </w:t>
      </w:r>
      <w:r w:rsidR="00FA7672" w:rsidRPr="00FA7672">
        <w:t>Kuhn</w:t>
      </w:r>
      <w:r w:rsidR="00A05D76" w:rsidRPr="00A05D76">
        <w:rPr>
          <w:vertAlign w:val="superscript"/>
        </w:rPr>
        <w:t>5</w:t>
      </w:r>
      <w:r w:rsidR="00FA7672" w:rsidRPr="00FA7672">
        <w:t xml:space="preserve">, </w:t>
      </w:r>
      <w:r w:rsidR="003412D7">
        <w:t xml:space="preserve">Kristin </w:t>
      </w:r>
      <w:r w:rsidR="00FA7672" w:rsidRPr="00FA7672">
        <w:t>Berg</w:t>
      </w:r>
      <w:r w:rsidR="00A05D76" w:rsidRPr="00A05D76">
        <w:rPr>
          <w:vertAlign w:val="superscript"/>
        </w:rPr>
        <w:t>1</w:t>
      </w:r>
    </w:p>
    <w:p w14:paraId="664EF5DF" w14:textId="77777777" w:rsidR="003052F7" w:rsidRDefault="0064135E" w:rsidP="0064135E">
      <w:r w:rsidRPr="002A64F0">
        <w:rPr>
          <w:b/>
          <w:bCs/>
        </w:rPr>
        <w:t>Introduction</w:t>
      </w:r>
      <w:r>
        <w:t xml:space="preserve">: </w:t>
      </w:r>
      <w:r w:rsidR="003052F7" w:rsidRPr="003052F7">
        <w:t xml:space="preserve">Existing literature suggests that neighborhood environments are associated with youth physical and mental health (Christian et al., 2015). The child opportunity index is a population-level tool that provides an indicator of neighborhood resources and conditions available to youth by considering a variety of factors, including access to education, parks, food, healthcare, and safe housing (Noelke et al., 2020). It covers three domains: education, health and environment, and social and economic. The relation between neighborhood and environmental conditions and mental health among youth with intellectual and developmental disabilities remains relatively unexplored. This study aims to examine neighborhood and environmental predictors of depression and anxiety severity in youth with IDD. </w:t>
      </w:r>
    </w:p>
    <w:p w14:paraId="3F13CD79" w14:textId="5911D450" w:rsidR="0064135E" w:rsidRDefault="0064135E" w:rsidP="0064135E">
      <w:r w:rsidRPr="007B5928">
        <w:rPr>
          <w:b/>
          <w:bCs/>
        </w:rPr>
        <w:t>Method</w:t>
      </w:r>
      <w:r>
        <w:t xml:space="preserve">: </w:t>
      </w:r>
      <w:r w:rsidR="009D1C43" w:rsidRPr="009D1C43">
        <w:t xml:space="preserve">We examined baseline data from an ongoing randomized control trial investigating the efficacy of a stratified behavioral health treatment program in promoting positive mental health outcomes in a sample of 780 youth with IDD receiving care coordination services. Caregivers reported on environmental factors, including zip code (used to calculate the child opportunity index), the number of times the youth moved or changed houses in their life, how long the youth had lived in their current household, and caregiver </w:t>
      </w:r>
      <w:proofErr w:type="spellStart"/>
      <w:r w:rsidR="009D1C43" w:rsidRPr="009D1C43">
        <w:t>sociodemographics</w:t>
      </w:r>
      <w:proofErr w:type="spellEnd"/>
      <w:r w:rsidR="009D1C43" w:rsidRPr="009D1C43">
        <w:t>. The Patient Health Questionnaire – Adolescent (PHQA) was interviewer-administered to youth with IDD to measure their depressive symptomatology and the Generalized Anxiety Disorder 7-item Scale (GAD7) was interviewer-administered to measure their anxiety symptomatology. Regression analyses were used to examine associations between neighborhood and environmental factors and depression and anxiety severity in youth with IDD.</w:t>
      </w:r>
    </w:p>
    <w:p w14:paraId="251538FC" w14:textId="1D5D4755" w:rsidR="0064135E" w:rsidRDefault="0064135E" w:rsidP="0064135E">
      <w:r w:rsidRPr="007B5928">
        <w:rPr>
          <w:b/>
          <w:bCs/>
        </w:rPr>
        <w:t>Results</w:t>
      </w:r>
      <w:r>
        <w:t>:</w:t>
      </w:r>
      <w:r w:rsidRPr="009B17A1">
        <w:t xml:space="preserve"> </w:t>
      </w:r>
      <w:r w:rsidR="00134F17" w:rsidRPr="00134F17">
        <w:t xml:space="preserve">To date, baseline data has been collected from 276 youth with IDD, aged 13-20 years (M = 16.6, SD = 2.5). Approximately 56% identified as male, 41% as female, and 3% as another gender identity (e.g., transgender male or non-binary). Roughly 65% identified as white, non-Hispanic. Nineteen percent of youth lived in very low opportunity neighborhoods. Across youth with IDD, average PHQA and GAD7 scores were 5.4 and 4.5, respectively indicating mild depression and anxiety symptoms. Controlling for age, gender, and intellectual disability (yes vs. no), the number of times the youth moved or changed houses in their life (ß = .20, p=.002) was significantly associated with greater depression severity </w:t>
      </w:r>
      <w:proofErr w:type="gramStart"/>
      <w:r w:rsidR="00134F17" w:rsidRPr="00134F17">
        <w:t>F(</w:t>
      </w:r>
      <w:proofErr w:type="gramEnd"/>
      <w:r w:rsidR="00134F17" w:rsidRPr="00134F17">
        <w:t xml:space="preserve">5,229)=5.10, p&lt;.001). Similarly, the number of times the youth moved or changed houses in their life (ß = .16, p=.01) was significantly associated with greater anxiety severity </w:t>
      </w:r>
      <w:proofErr w:type="gramStart"/>
      <w:r w:rsidR="00134F17" w:rsidRPr="00134F17">
        <w:t>F(</w:t>
      </w:r>
      <w:proofErr w:type="gramEnd"/>
      <w:r w:rsidR="00134F17" w:rsidRPr="00134F17">
        <w:t>5,226)=6.0, p&lt;.001). The child opportunity index was not associated with depression or anxiety severity in our sample.</w:t>
      </w:r>
    </w:p>
    <w:p w14:paraId="3A37D9AA" w14:textId="5A230B9A" w:rsidR="0064135E" w:rsidRDefault="0064135E" w:rsidP="0064135E">
      <w:r w:rsidRPr="007B5928">
        <w:rPr>
          <w:b/>
          <w:bCs/>
        </w:rPr>
        <w:lastRenderedPageBreak/>
        <w:t>Discussion</w:t>
      </w:r>
      <w:r>
        <w:t>:</w:t>
      </w:r>
      <w:r w:rsidR="002A64F0" w:rsidRPr="002A64F0">
        <w:t xml:space="preserve"> </w:t>
      </w:r>
      <w:r w:rsidR="00D261AA" w:rsidRPr="00D261AA">
        <w:t xml:space="preserve">Neighborhood conditions as described by the childhood opportunity index were not associated with mental health outcomes among youth with IDD. However, findings indicate that greater housing instability (i.e., the number of times youth move throughout their lives) may contribute to greater depression and anxiety severity among youth with IDD. This is consistent with existing literature, which suggests that a greater number of moves in childhood is associated with poorer well-being in adulthood (Oishi &amp; </w:t>
      </w:r>
      <w:proofErr w:type="spellStart"/>
      <w:r w:rsidR="00D261AA" w:rsidRPr="00D261AA">
        <w:t>Shimmack</w:t>
      </w:r>
      <w:proofErr w:type="spellEnd"/>
      <w:r w:rsidR="00D261AA" w:rsidRPr="00D261AA">
        <w:t>, 2010). Resources and mental health promotion services specifically targeted at youth experiencing housing instability may be beneficial.</w:t>
      </w:r>
    </w:p>
    <w:p w14:paraId="43F37D1A" w14:textId="3A78C222" w:rsidR="0064135E" w:rsidRDefault="0064135E" w:rsidP="00BE0DE5">
      <w:pPr>
        <w:spacing w:line="240" w:lineRule="auto"/>
        <w:contextualSpacing/>
      </w:pPr>
      <w:r w:rsidRPr="007B5928">
        <w:rPr>
          <w:b/>
          <w:bCs/>
        </w:rPr>
        <w:t>References</w:t>
      </w:r>
      <w:r>
        <w:t xml:space="preserve"> </w:t>
      </w:r>
    </w:p>
    <w:p w14:paraId="1C80F7EF" w14:textId="77777777" w:rsidR="00764999" w:rsidRDefault="00764999" w:rsidP="00AD11BA">
      <w:pPr>
        <w:spacing w:line="240" w:lineRule="auto"/>
        <w:ind w:left="720" w:hanging="720"/>
        <w:contextualSpacing/>
        <w:rPr>
          <w:rFonts w:eastAsia="Aptos" w:cs="Arial"/>
          <w:color w:val="467886"/>
          <w:u w:val="single"/>
        </w:rPr>
      </w:pPr>
      <w:r w:rsidRPr="00764999">
        <w:rPr>
          <w:rFonts w:eastAsia="Aptos" w:cs="Arial"/>
        </w:rPr>
        <w:t xml:space="preserve">Christian, H., Zubrick, S. R., Foster, S., Giles-Corti, B., Bull, F., Wood, L., </w:t>
      </w:r>
      <w:proofErr w:type="spellStart"/>
      <w:r w:rsidRPr="00764999">
        <w:rPr>
          <w:rFonts w:eastAsia="Aptos" w:cs="Arial"/>
        </w:rPr>
        <w:t>Knuiman</w:t>
      </w:r>
      <w:proofErr w:type="spellEnd"/>
      <w:r w:rsidRPr="00764999">
        <w:rPr>
          <w:rFonts w:eastAsia="Aptos" w:cs="Arial"/>
        </w:rPr>
        <w:t>, M., Brinkman, S., Houghton, S., &amp; Boruff, B. (2015). The influence of the neighborhood physical environment on early child health and development: A review and call for research. </w:t>
      </w:r>
      <w:r w:rsidRPr="00764999">
        <w:rPr>
          <w:rFonts w:eastAsia="Aptos" w:cs="Arial"/>
          <w:i/>
          <w:iCs/>
        </w:rPr>
        <w:t>Health &amp; place</w:t>
      </w:r>
      <w:r w:rsidRPr="00764999">
        <w:rPr>
          <w:rFonts w:eastAsia="Aptos" w:cs="Arial"/>
        </w:rPr>
        <w:t>, </w:t>
      </w:r>
      <w:r w:rsidRPr="00764999">
        <w:rPr>
          <w:rFonts w:eastAsia="Aptos" w:cs="Arial"/>
          <w:i/>
          <w:iCs/>
        </w:rPr>
        <w:t>33</w:t>
      </w:r>
      <w:r w:rsidRPr="00764999">
        <w:rPr>
          <w:rFonts w:eastAsia="Aptos" w:cs="Arial"/>
        </w:rPr>
        <w:t xml:space="preserve">, 25–36. </w:t>
      </w:r>
      <w:hyperlink r:id="rId11" w:history="1">
        <w:r w:rsidRPr="00764999">
          <w:rPr>
            <w:rFonts w:eastAsia="Aptos" w:cs="Arial"/>
            <w:color w:val="467886"/>
            <w:u w:val="single"/>
          </w:rPr>
          <w:t>https://doi.org/10.1016/j.healthplace.2015.01.005</w:t>
        </w:r>
      </w:hyperlink>
    </w:p>
    <w:p w14:paraId="2B479B77" w14:textId="77777777" w:rsidR="00BE0DE5" w:rsidRPr="00764999" w:rsidRDefault="00BE0DE5" w:rsidP="00AD11BA">
      <w:pPr>
        <w:spacing w:line="240" w:lineRule="auto"/>
        <w:ind w:left="720" w:hanging="720"/>
        <w:contextualSpacing/>
        <w:rPr>
          <w:rFonts w:eastAsia="Aptos" w:cs="Arial"/>
        </w:rPr>
      </w:pPr>
    </w:p>
    <w:p w14:paraId="1AB4552E" w14:textId="77777777" w:rsidR="00764999" w:rsidRDefault="00764999" w:rsidP="00AD11BA">
      <w:pPr>
        <w:spacing w:line="240" w:lineRule="auto"/>
        <w:ind w:left="720" w:hanging="720"/>
        <w:contextualSpacing/>
        <w:rPr>
          <w:rFonts w:eastAsia="Aptos" w:cs="Arial"/>
        </w:rPr>
      </w:pPr>
      <w:r w:rsidRPr="00764999">
        <w:rPr>
          <w:rFonts w:eastAsia="Aptos" w:cs="Arial"/>
        </w:rPr>
        <w:t>Noelke, C., McArdle, N., Baek, M., Huntington, N., Huber, R., Hardy, E., &amp; Acevedo-Garcia, D. (2020). Child Opportunity Index 2.0 Technical Documentation. Retrieved from diversitydatakids.org/researchlibrary/research-brief/how-we-built-it.</w:t>
      </w:r>
    </w:p>
    <w:p w14:paraId="7EAEE30A" w14:textId="77777777" w:rsidR="00BE0DE5" w:rsidRPr="00764999" w:rsidRDefault="00BE0DE5" w:rsidP="00AD11BA">
      <w:pPr>
        <w:spacing w:line="240" w:lineRule="auto"/>
        <w:ind w:left="720" w:hanging="720"/>
        <w:contextualSpacing/>
        <w:rPr>
          <w:rFonts w:eastAsia="Aptos" w:cs="Arial"/>
        </w:rPr>
      </w:pPr>
    </w:p>
    <w:p w14:paraId="36EFE8CE" w14:textId="77777777" w:rsidR="00BB3491" w:rsidRDefault="00764999" w:rsidP="00AD11BA">
      <w:pPr>
        <w:spacing w:line="240" w:lineRule="auto"/>
        <w:ind w:left="720" w:hanging="720"/>
        <w:contextualSpacing/>
        <w:rPr>
          <w:rFonts w:eastAsia="Aptos" w:cs="Arial"/>
        </w:rPr>
      </w:pPr>
      <w:r w:rsidRPr="00764999">
        <w:rPr>
          <w:rFonts w:eastAsia="Aptos" w:cs="Arial"/>
        </w:rPr>
        <w:t xml:space="preserve">Oishi, S., &amp; </w:t>
      </w:r>
      <w:proofErr w:type="spellStart"/>
      <w:r w:rsidRPr="00764999">
        <w:rPr>
          <w:rFonts w:eastAsia="Aptos" w:cs="Arial"/>
        </w:rPr>
        <w:t>Schimmack</w:t>
      </w:r>
      <w:proofErr w:type="spellEnd"/>
      <w:r w:rsidRPr="00764999">
        <w:rPr>
          <w:rFonts w:eastAsia="Aptos" w:cs="Arial"/>
        </w:rPr>
        <w:t>, U. (2010). Residential mobility, well-being, and mortality. </w:t>
      </w:r>
      <w:r w:rsidRPr="00764999">
        <w:rPr>
          <w:rFonts w:eastAsia="Aptos" w:cs="Arial"/>
          <w:i/>
          <w:iCs/>
        </w:rPr>
        <w:t>Journal of personality and social psychology</w:t>
      </w:r>
      <w:r w:rsidRPr="00764999">
        <w:rPr>
          <w:rFonts w:eastAsia="Aptos" w:cs="Arial"/>
        </w:rPr>
        <w:t>, </w:t>
      </w:r>
      <w:r w:rsidRPr="00764999">
        <w:rPr>
          <w:rFonts w:eastAsia="Aptos" w:cs="Arial"/>
          <w:i/>
          <w:iCs/>
        </w:rPr>
        <w:t>98</w:t>
      </w:r>
      <w:r w:rsidRPr="00764999">
        <w:rPr>
          <w:rFonts w:eastAsia="Aptos" w:cs="Arial"/>
        </w:rPr>
        <w:t>(6), 980–994. https://doi.org/10.1037/a0019389</w:t>
      </w:r>
    </w:p>
    <w:p w14:paraId="50B5B63E" w14:textId="77777777" w:rsidR="00BB3491" w:rsidRDefault="00BB3491" w:rsidP="00BE0DE5">
      <w:pPr>
        <w:spacing w:line="240" w:lineRule="auto"/>
        <w:contextualSpacing/>
        <w:rPr>
          <w:rFonts w:eastAsia="Aptos" w:cs="Arial"/>
        </w:rPr>
      </w:pPr>
    </w:p>
    <w:p w14:paraId="69CB973F" w14:textId="65693309" w:rsidR="00764999" w:rsidRPr="006A35E3" w:rsidRDefault="00764999" w:rsidP="00BE0DE5">
      <w:pPr>
        <w:spacing w:line="240" w:lineRule="auto"/>
        <w:contextualSpacing/>
        <w:rPr>
          <w:rFonts w:eastAsia="Aptos" w:cs="Arial"/>
        </w:rPr>
      </w:pPr>
    </w:p>
    <w:sectPr w:rsidR="00764999" w:rsidRPr="006A35E3" w:rsidSect="006A35E3">
      <w:headerReference w:type="default" r:id="rId12"/>
      <w:footerReference w:type="default" r:id="rId13"/>
      <w:footnotePr>
        <w:numRestart w:val="eachPage"/>
      </w:footnotePr>
      <w:endnotePr>
        <w:numFmt w:val="decimal"/>
      </w:endnotePr>
      <w:type w:val="continuous"/>
      <w:pgSz w:w="12240" w:h="15840"/>
      <w:pgMar w:top="1440" w:right="864" w:bottom="1440" w:left="86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cKinney, Walker (He/Him/His)" w:date="2024-11-01T17:33:00Z" w:initials="WM">
    <w:p w14:paraId="186856A8" w14:textId="77777777" w:rsidR="008003B6" w:rsidRDefault="008003B6" w:rsidP="008003B6">
      <w:pPr>
        <w:pStyle w:val="CommentText"/>
      </w:pPr>
      <w:r>
        <w:rPr>
          <w:rStyle w:val="CommentReference"/>
        </w:rPr>
        <w:annotationRef/>
      </w:r>
      <w:r>
        <w:t>Nixing air/water finding until we figure out what’s going on w/ those 2 outlier patients Vineland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6856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9844D72" w16cex:dateUtc="2024-11-01T2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6856A8" w16cid:durableId="49844D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20E84" w14:textId="77777777" w:rsidR="00E67EC4" w:rsidRDefault="00E67EC4" w:rsidP="00F01EB9">
      <w:pPr>
        <w:spacing w:after="0" w:line="240" w:lineRule="auto"/>
      </w:pPr>
      <w:r>
        <w:separator/>
      </w:r>
    </w:p>
  </w:endnote>
  <w:endnote w:type="continuationSeparator" w:id="0">
    <w:p w14:paraId="6001C9F3" w14:textId="77777777" w:rsidR="00E67EC4" w:rsidRDefault="00E67EC4" w:rsidP="00F0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dvOT1ef757c0">
    <w:altName w:val="Cambria"/>
    <w:panose1 w:val="00000000000000000000"/>
    <w:charset w:val="00"/>
    <w:family w:val="roman"/>
    <w:notTrueType/>
    <w:pitch w:val="default"/>
    <w:sig w:usb0="00000003" w:usb1="00000000" w:usb2="00000000" w:usb3="00000000" w:csb0="00000001" w:csb1="00000000"/>
  </w:font>
  <w:font w:name="Kefa">
    <w:altName w:val="Nyala"/>
    <w:charset w:val="00"/>
    <w:family w:val="auto"/>
    <w:pitch w:val="variable"/>
    <w:sig w:usb0="800000AF" w:usb1="4000204B" w:usb2="000008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C3C01" w14:textId="77777777" w:rsidR="00F01EB9" w:rsidRPr="00F361B2" w:rsidRDefault="00B93BCF" w:rsidP="00F01EB9">
    <w:pPr>
      <w:pStyle w:val="Footer"/>
      <w:jc w:val="center"/>
      <w:rPr>
        <w:b/>
        <w:szCs w:val="20"/>
      </w:rPr>
    </w:pPr>
    <w:sdt>
      <w:sdtPr>
        <w:rPr>
          <w:b/>
        </w:rPr>
        <w:id w:val="-1669238322"/>
        <w:docPartObj>
          <w:docPartGallery w:val="Page Numbers (Top of Page)"/>
          <w:docPartUnique/>
        </w:docPartObj>
      </w:sdtPr>
      <w:sdtEndPr/>
      <w:sdtContent>
        <w:r w:rsidR="00F01EB9" w:rsidRPr="00F361B2">
          <w:rPr>
            <w:b/>
            <w:szCs w:val="20"/>
          </w:rPr>
          <w:t xml:space="preserve">Page </w:t>
        </w:r>
        <w:r w:rsidR="00F01EB9" w:rsidRPr="00F361B2">
          <w:rPr>
            <w:b/>
            <w:bCs/>
          </w:rPr>
          <w:fldChar w:fldCharType="begin"/>
        </w:r>
        <w:r w:rsidR="00F01EB9" w:rsidRPr="00F361B2">
          <w:rPr>
            <w:b/>
            <w:bCs/>
          </w:rPr>
          <w:instrText xml:space="preserve"> PAGE </w:instrText>
        </w:r>
        <w:r w:rsidR="00F01EB9" w:rsidRPr="00F361B2">
          <w:rPr>
            <w:b/>
            <w:bCs/>
          </w:rPr>
          <w:fldChar w:fldCharType="separate"/>
        </w:r>
        <w:r w:rsidR="00F01EB9">
          <w:rPr>
            <w:b/>
            <w:bCs/>
          </w:rPr>
          <w:t>1</w:t>
        </w:r>
        <w:r w:rsidR="00F01EB9" w:rsidRPr="00F361B2">
          <w:rPr>
            <w:b/>
            <w:bCs/>
          </w:rPr>
          <w:fldChar w:fldCharType="end"/>
        </w:r>
        <w:r w:rsidR="00F01EB9" w:rsidRPr="00F361B2">
          <w:rPr>
            <w:b/>
            <w:szCs w:val="20"/>
          </w:rPr>
          <w:t xml:space="preserve"> of </w:t>
        </w:r>
        <w:r w:rsidR="00F01EB9" w:rsidRPr="00F361B2">
          <w:rPr>
            <w:b/>
            <w:bCs/>
          </w:rPr>
          <w:fldChar w:fldCharType="begin"/>
        </w:r>
        <w:r w:rsidR="00F01EB9" w:rsidRPr="00F361B2">
          <w:rPr>
            <w:b/>
            <w:bCs/>
          </w:rPr>
          <w:instrText xml:space="preserve"> NUMPAGES  </w:instrText>
        </w:r>
        <w:r w:rsidR="00F01EB9" w:rsidRPr="00F361B2">
          <w:rPr>
            <w:b/>
            <w:bCs/>
          </w:rPr>
          <w:fldChar w:fldCharType="separate"/>
        </w:r>
        <w:r w:rsidR="00F01EB9">
          <w:rPr>
            <w:b/>
            <w:bCs/>
          </w:rPr>
          <w:t>2</w:t>
        </w:r>
        <w:r w:rsidR="00F01EB9" w:rsidRPr="00F361B2">
          <w:rPr>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79EAB" w14:textId="77777777" w:rsidR="00E67EC4" w:rsidRDefault="00E67EC4" w:rsidP="00F01EB9">
      <w:pPr>
        <w:spacing w:after="0" w:line="240" w:lineRule="auto"/>
      </w:pPr>
      <w:r>
        <w:separator/>
      </w:r>
    </w:p>
  </w:footnote>
  <w:footnote w:type="continuationSeparator" w:id="0">
    <w:p w14:paraId="14737937" w14:textId="77777777" w:rsidR="00E67EC4" w:rsidRDefault="00E67EC4" w:rsidP="00F01EB9">
      <w:pPr>
        <w:spacing w:after="0" w:line="240" w:lineRule="auto"/>
      </w:pPr>
      <w:r>
        <w:continuationSeparator/>
      </w:r>
    </w:p>
  </w:footnote>
  <w:footnote w:id="1">
    <w:p w14:paraId="1CA254F7" w14:textId="0E27EC99" w:rsidR="006B3304" w:rsidRDefault="006B3304" w:rsidP="006B3304">
      <w:pPr>
        <w:pStyle w:val="FootnoteText"/>
        <w:contextualSpacing/>
      </w:pPr>
      <w:r w:rsidRPr="006B3304">
        <w:rPr>
          <w:vertAlign w:val="superscript"/>
        </w:rPr>
        <w:t>1</w:t>
      </w:r>
      <w:r>
        <w:t xml:space="preserve"> </w:t>
      </w:r>
      <w:r w:rsidRPr="006B3304">
        <w:t>Department of Behavioral Medicine and Clinical Psychology, Cincinnati Children’s Hospital Medical Center</w:t>
      </w:r>
    </w:p>
    <w:p w14:paraId="287BE0D4" w14:textId="2D88B7AF" w:rsidR="006B3304" w:rsidRDefault="006B3304" w:rsidP="006B3304">
      <w:pPr>
        <w:pStyle w:val="FootnoteText"/>
        <w:contextualSpacing/>
      </w:pPr>
      <w:r w:rsidRPr="006B3304">
        <w:rPr>
          <w:vertAlign w:val="superscript"/>
        </w:rPr>
        <w:t>2</w:t>
      </w:r>
      <w:r>
        <w:t xml:space="preserve"> </w:t>
      </w:r>
      <w:r w:rsidRPr="006B3304">
        <w:t>Departm</w:t>
      </w:r>
      <w:r>
        <w:t>e</w:t>
      </w:r>
      <w:r w:rsidRPr="006B3304">
        <w:t>nt of Pediatrics, University of Cincinnati College of Medicin</w:t>
      </w:r>
      <w:r>
        <w:t>e</w:t>
      </w:r>
    </w:p>
    <w:p w14:paraId="793DBC19" w14:textId="5318695C" w:rsidR="006B3304" w:rsidRPr="00D362D0" w:rsidRDefault="006B3304" w:rsidP="006B3304">
      <w:pPr>
        <w:pStyle w:val="FootnoteText"/>
        <w:contextualSpacing/>
      </w:pPr>
      <w:r w:rsidRPr="006B3304">
        <w:rPr>
          <w:vertAlign w:val="superscript"/>
        </w:rPr>
        <w:t>3</w:t>
      </w:r>
      <w:r w:rsidR="00D362D0" w:rsidRPr="00D362D0">
        <w:t xml:space="preserve"> MIND Institute, University of California, Davis</w:t>
      </w:r>
    </w:p>
    <w:p w14:paraId="7B3464EB" w14:textId="53749813" w:rsidR="006B3304" w:rsidRPr="006B3304" w:rsidRDefault="006B3304" w:rsidP="009250C3">
      <w:pPr>
        <w:pStyle w:val="FootnoteText"/>
        <w:contextualSpacing/>
        <w:rPr>
          <w:vertAlign w:val="superscript"/>
        </w:rPr>
      </w:pPr>
      <w:r w:rsidRPr="006B3304">
        <w:rPr>
          <w:vertAlign w:val="superscript"/>
        </w:rPr>
        <w:t>4</w:t>
      </w:r>
      <w:r w:rsidR="00FA2CCB" w:rsidRPr="00FA2CCB">
        <w:t xml:space="preserve"> </w:t>
      </w:r>
      <w:r w:rsidR="009250C3">
        <w:t>Department of Psychiatry and Behavioral</w:t>
      </w:r>
      <w:r w:rsidR="009250C3">
        <w:t xml:space="preserve"> </w:t>
      </w:r>
      <w:r w:rsidR="009250C3">
        <w:t>Sciences, University of California Davis</w:t>
      </w:r>
    </w:p>
    <w:p w14:paraId="1AA23DE8" w14:textId="33457C81" w:rsidR="006B3304" w:rsidRPr="006B3304" w:rsidRDefault="006B3304" w:rsidP="006B3304">
      <w:pPr>
        <w:pStyle w:val="FootnoteText"/>
        <w:contextualSpacing/>
      </w:pPr>
      <w:r>
        <w:rPr>
          <w:vertAlign w:val="superscript"/>
        </w:rPr>
        <w:t xml:space="preserve">5 </w:t>
      </w:r>
      <w:r w:rsidRPr="006B3304">
        <w:t>Loewenberg College of Nursing, University of Memphis</w:t>
      </w:r>
    </w:p>
    <w:p w14:paraId="5D2DAD45" w14:textId="4C8AD6CC" w:rsidR="006B3304" w:rsidRDefault="006B3304" w:rsidP="006B3304">
      <w:pPr>
        <w:pStyle w:val="FootnoteText"/>
        <w:contextualSpacing/>
      </w:pPr>
      <w:r>
        <w:rPr>
          <w:vertAlign w:val="superscript"/>
        </w:rPr>
        <w:t>6</w:t>
      </w:r>
      <w:r>
        <w:t xml:space="preserve"> </w:t>
      </w:r>
      <w:r w:rsidRPr="006B3304">
        <w:t>Division of Child and Adolescent Psychiatry, Cincinnati Children’s Hospital Medical Center</w:t>
      </w:r>
    </w:p>
    <w:p w14:paraId="795DD260" w14:textId="5562CA32" w:rsidR="00DA0427" w:rsidRDefault="00DA0427" w:rsidP="006B3304">
      <w:pPr>
        <w:pStyle w:val="FootnoteText"/>
        <w:contextualSpacing/>
      </w:pPr>
      <w:r w:rsidRPr="00DA0427">
        <w:rPr>
          <w:vertAlign w:val="superscript"/>
        </w:rPr>
        <w:t>7</w:t>
      </w:r>
      <w:r>
        <w:t xml:space="preserve"> </w:t>
      </w:r>
      <w:r w:rsidRPr="00DA0427">
        <w:t>Division of Neurology, Cincinnati Children’s Hospital Medical Center</w:t>
      </w:r>
    </w:p>
    <w:p w14:paraId="26A91D14" w14:textId="7B371EDF" w:rsidR="0064135E" w:rsidRDefault="00DA0427" w:rsidP="006B3304">
      <w:pPr>
        <w:pStyle w:val="FootnoteText"/>
        <w:contextualSpacing/>
      </w:pPr>
      <w:r>
        <w:rPr>
          <w:vertAlign w:val="superscript"/>
        </w:rPr>
        <w:t>8</w:t>
      </w:r>
      <w:r w:rsidR="007B220D">
        <w:t xml:space="preserve"> </w:t>
      </w:r>
      <w:r w:rsidR="007B220D" w:rsidRPr="007B220D">
        <w:t>Department of Psychiatry and Behavioral Neuroscience, University of Cincinnati College of Medicine</w:t>
      </w:r>
    </w:p>
    <w:p w14:paraId="3229C0EB" w14:textId="6C678C31" w:rsidR="00B93BCF" w:rsidRPr="00B93BCF" w:rsidRDefault="00B93BCF" w:rsidP="006B3304">
      <w:pPr>
        <w:pStyle w:val="FootnoteText"/>
        <w:contextualSpacing/>
      </w:pPr>
      <w:r w:rsidRPr="00B93BCF">
        <w:rPr>
          <w:vertAlign w:val="superscript"/>
        </w:rPr>
        <w:t>9</w:t>
      </w:r>
      <w:r>
        <w:t xml:space="preserve"> </w:t>
      </w:r>
      <w:r w:rsidRPr="00B93BCF">
        <w:t>Phelan-McDermid Syndrome Foundation</w:t>
      </w:r>
    </w:p>
  </w:footnote>
  <w:footnote w:id="2">
    <w:p w14:paraId="2B6DA8CF" w14:textId="12262FE7" w:rsidR="006A35E3" w:rsidRDefault="006A35E3">
      <w:pPr>
        <w:pStyle w:val="FootnoteText"/>
      </w:pPr>
      <w:r>
        <w:rPr>
          <w:rStyle w:val="FootnoteReference"/>
        </w:rPr>
        <w:footnoteRef/>
      </w:r>
      <w:r>
        <w:t xml:space="preserve"> </w:t>
      </w:r>
      <w:r w:rsidR="00220175">
        <w:t xml:space="preserve">Department of </w:t>
      </w:r>
      <w:r w:rsidR="00220175" w:rsidRPr="00220175">
        <w:t>Communication Sciences and Disorders</w:t>
      </w:r>
      <w:r w:rsidR="00220175">
        <w:t>, University of South Carolina</w:t>
      </w:r>
    </w:p>
  </w:footnote>
  <w:footnote w:id="3">
    <w:p w14:paraId="251A9B95" w14:textId="5C31D86E" w:rsidR="006A35E3" w:rsidRDefault="006A35E3" w:rsidP="006A35E3">
      <w:pPr>
        <w:pStyle w:val="FootnoteText"/>
      </w:pPr>
      <w:r>
        <w:rPr>
          <w:rStyle w:val="FootnoteReference"/>
        </w:rPr>
        <w:footnoteRef/>
      </w:r>
      <w:r>
        <w:t xml:space="preserve"> University of Illinois Chicago</w:t>
      </w:r>
    </w:p>
    <w:p w14:paraId="08CF7734" w14:textId="77777777" w:rsidR="006A35E3" w:rsidRDefault="006A35E3" w:rsidP="006A35E3">
      <w:pPr>
        <w:pStyle w:val="FootnoteText"/>
      </w:pPr>
      <w:r w:rsidRPr="007E2ED2">
        <w:rPr>
          <w:vertAlign w:val="superscript"/>
        </w:rPr>
        <w:t>2</w:t>
      </w:r>
      <w:r>
        <w:t xml:space="preserve"> University of California Los Angeles</w:t>
      </w:r>
    </w:p>
    <w:p w14:paraId="1A1CB1BA" w14:textId="77777777" w:rsidR="006A35E3" w:rsidRDefault="006A35E3" w:rsidP="006A35E3">
      <w:pPr>
        <w:pStyle w:val="FootnoteText"/>
      </w:pPr>
      <w:r>
        <w:rPr>
          <w:vertAlign w:val="superscript"/>
        </w:rPr>
        <w:t>3</w:t>
      </w:r>
      <w:r>
        <w:t xml:space="preserve"> Wellesley College</w:t>
      </w:r>
    </w:p>
    <w:p w14:paraId="59DAEA03" w14:textId="77777777" w:rsidR="006A35E3" w:rsidRDefault="006A35E3" w:rsidP="006A35E3">
      <w:pPr>
        <w:pStyle w:val="FootnoteText"/>
      </w:pPr>
      <w:r>
        <w:rPr>
          <w:vertAlign w:val="superscript"/>
        </w:rPr>
        <w:t>4</w:t>
      </w:r>
      <w:r>
        <w:t xml:space="preserve"> Brown University</w:t>
      </w:r>
    </w:p>
    <w:p w14:paraId="1E8D4A2A" w14:textId="3E504CD5" w:rsidR="006A35E3" w:rsidRDefault="006A35E3" w:rsidP="006A35E3">
      <w:pPr>
        <w:pStyle w:val="FootnoteText"/>
      </w:pPr>
      <w:r>
        <w:rPr>
          <w:vertAlign w:val="superscript"/>
        </w:rPr>
        <w:t>5</w:t>
      </w:r>
      <w:r>
        <w:t xml:space="preserve"> Emory University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4FE1F" w14:textId="2B4F3B86" w:rsidR="00F01EB9" w:rsidRDefault="00EA77BA" w:rsidP="00F01EB9">
    <w:pPr>
      <w:pStyle w:val="Header"/>
    </w:pPr>
    <w:r>
      <w:rPr>
        <w:noProof/>
      </w:rPr>
      <mc:AlternateContent>
        <mc:Choice Requires="wps">
          <w:drawing>
            <wp:anchor distT="0" distB="0" distL="114300" distR="114300" simplePos="0" relativeHeight="251659264" behindDoc="0" locked="0" layoutInCell="1" allowOverlap="1" wp14:anchorId="19AB5428" wp14:editId="556952A5">
              <wp:simplePos x="0" y="0"/>
              <wp:positionH relativeFrom="column">
                <wp:posOffset>-9467</wp:posOffset>
              </wp:positionH>
              <wp:positionV relativeFrom="paragraph">
                <wp:posOffset>-188191</wp:posOffset>
              </wp:positionV>
              <wp:extent cx="5371690" cy="349448"/>
              <wp:effectExtent l="12700" t="12700" r="13335" b="1905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90" cy="349448"/>
                      </a:xfrm>
                      <a:prstGeom prst="rect">
                        <a:avLst/>
                      </a:prstGeom>
                      <a:noFill/>
                      <a:ln w="25400">
                        <a:solidFill>
                          <a:srgbClr val="444C6A"/>
                        </a:solidFill>
                        <a:miter lim="800000"/>
                        <a:headEnd/>
                        <a:tailEnd/>
                      </a:ln>
                    </wps:spPr>
                    <wps:txb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F79B6D2" w14:textId="089F5A05" w:rsidR="00F01EB9" w:rsidRPr="00163A52" w:rsidRDefault="00EA77BA" w:rsidP="00F01EB9">
                              <w:pPr>
                                <w:pStyle w:val="Header"/>
                                <w:rPr>
                                  <w:rFonts w:ascii="Kefa" w:hAnsi="Kefa"/>
                                  <w:b/>
                                  <w:color w:val="444C6A"/>
                                  <w:sz w:val="32"/>
                                  <w:szCs w:val="32"/>
                                </w:rPr>
                              </w:pPr>
                              <w:r>
                                <w:rPr>
                                  <w:rFonts w:ascii="Kefa" w:hAnsi="Kefa"/>
                                  <w:b/>
                                  <w:color w:val="444C6A"/>
                                  <w:sz w:val="32"/>
                                  <w:szCs w:val="32"/>
                                </w:rPr>
                                <w:t>2024 Gatlinburg Conference Symposium Submission</w:t>
                              </w:r>
                            </w:p>
                          </w:sdtContent>
                        </w:sdt>
                      </w:txbxContent>
                    </wps:txbx>
                    <wps:bodyPr rot="0" vert="horz" wrap="square" lIns="91440" tIns="45720" rIns="91440" bIns="45720" anchor="ctr" anchorCtr="0" upright="1">
                      <a:noAutofit/>
                    </wps:bodyPr>
                  </wps:wsp>
                </a:graphicData>
              </a:graphic>
            </wp:anchor>
          </w:drawing>
        </mc:Choice>
        <mc:Fallback>
          <w:pict>
            <v:rect w14:anchorId="19AB5428" id="Rectangle 197" o:spid="_x0000_s1026" style="position:absolute;margin-left:-.75pt;margin-top:-14.8pt;width:422.9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" filled="f" strokecolor="#444c6a" strokeweight="2pt">
              <v:textbo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F79B6D2" w14:textId="089F5A05" w:rsidR="00F01EB9" w:rsidRPr="00163A52" w:rsidRDefault="00EA77BA" w:rsidP="00F01EB9">
                        <w:pPr>
                          <w:pStyle w:val="Header"/>
                          <w:rPr>
                            <w:rFonts w:ascii="Kefa" w:hAnsi="Kefa"/>
                            <w:b/>
                            <w:color w:val="444C6A"/>
                            <w:sz w:val="32"/>
                            <w:szCs w:val="32"/>
                          </w:rPr>
                        </w:pPr>
                        <w:r>
                          <w:rPr>
                            <w:rFonts w:ascii="Kefa" w:hAnsi="Kefa"/>
                            <w:b/>
                            <w:color w:val="444C6A"/>
                            <w:sz w:val="32"/>
                            <w:szCs w:val="32"/>
                          </w:rPr>
                          <w:t>2024 Gatlinburg Conference Symposium Submission</w:t>
                        </w:r>
                      </w:p>
                    </w:sdtContent>
                  </w:sdt>
                </w:txbxContent>
              </v:textbox>
            </v:rect>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Kinney, Walker (He/Him/His)">
    <w15:presenceInfo w15:providerId="AD" w15:userId="S::Walker.McKinney@cchmc.org::24df771b-31a2-4db4-aaee-bff1d97a81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rial&lt;/FontName&gt;&lt;FontSize&gt;10&lt;/FontSize&gt;&lt;ReflistTitle&gt;&lt;style face=&quot;underline&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s990ws0tpd9ede99fpvdwe6aspv9a9wwzes&quot;&gt;My EndNote Library&lt;record-ids&gt;&lt;item&gt;35&lt;/item&gt;&lt;/record-ids&gt;&lt;/item&gt;&lt;/Libraries&gt;"/>
  </w:docVars>
  <w:rsids>
    <w:rsidRoot w:val="00373627"/>
    <w:rsid w:val="0002642B"/>
    <w:rsid w:val="0003110B"/>
    <w:rsid w:val="000658A3"/>
    <w:rsid w:val="00065943"/>
    <w:rsid w:val="000673EC"/>
    <w:rsid w:val="000A776C"/>
    <w:rsid w:val="000B7F74"/>
    <w:rsid w:val="000C0C61"/>
    <w:rsid w:val="000D4973"/>
    <w:rsid w:val="000D6128"/>
    <w:rsid w:val="000D78E2"/>
    <w:rsid w:val="000E4176"/>
    <w:rsid w:val="000F274F"/>
    <w:rsid w:val="000F684F"/>
    <w:rsid w:val="00102512"/>
    <w:rsid w:val="00115D14"/>
    <w:rsid w:val="00134F17"/>
    <w:rsid w:val="001461BE"/>
    <w:rsid w:val="00163A52"/>
    <w:rsid w:val="00165CD4"/>
    <w:rsid w:val="0017186F"/>
    <w:rsid w:val="001756C1"/>
    <w:rsid w:val="00184EE9"/>
    <w:rsid w:val="00192CCE"/>
    <w:rsid w:val="001A26D6"/>
    <w:rsid w:val="001A4900"/>
    <w:rsid w:val="001B4154"/>
    <w:rsid w:val="001B7B61"/>
    <w:rsid w:val="001C59B2"/>
    <w:rsid w:val="001C6F6A"/>
    <w:rsid w:val="001E0913"/>
    <w:rsid w:val="001E1C12"/>
    <w:rsid w:val="001E7DB9"/>
    <w:rsid w:val="001F214A"/>
    <w:rsid w:val="00204C06"/>
    <w:rsid w:val="00205489"/>
    <w:rsid w:val="00215209"/>
    <w:rsid w:val="00220175"/>
    <w:rsid w:val="00224E84"/>
    <w:rsid w:val="00237977"/>
    <w:rsid w:val="002423F6"/>
    <w:rsid w:val="0025129D"/>
    <w:rsid w:val="002560CA"/>
    <w:rsid w:val="00261FBA"/>
    <w:rsid w:val="002669FD"/>
    <w:rsid w:val="002738D9"/>
    <w:rsid w:val="002755F9"/>
    <w:rsid w:val="0029327F"/>
    <w:rsid w:val="002A64F0"/>
    <w:rsid w:val="002D512C"/>
    <w:rsid w:val="002E5979"/>
    <w:rsid w:val="002F58E5"/>
    <w:rsid w:val="003052F7"/>
    <w:rsid w:val="00305D6B"/>
    <w:rsid w:val="003074A5"/>
    <w:rsid w:val="003412D7"/>
    <w:rsid w:val="0034535B"/>
    <w:rsid w:val="003638B0"/>
    <w:rsid w:val="00370D39"/>
    <w:rsid w:val="00373627"/>
    <w:rsid w:val="0037664B"/>
    <w:rsid w:val="003841CF"/>
    <w:rsid w:val="0038685E"/>
    <w:rsid w:val="003B0472"/>
    <w:rsid w:val="003B64D2"/>
    <w:rsid w:val="003C6C6B"/>
    <w:rsid w:val="003E3333"/>
    <w:rsid w:val="0041035F"/>
    <w:rsid w:val="004273F6"/>
    <w:rsid w:val="00430A8A"/>
    <w:rsid w:val="00437B8A"/>
    <w:rsid w:val="004401CF"/>
    <w:rsid w:val="00470032"/>
    <w:rsid w:val="00470DD7"/>
    <w:rsid w:val="004815BF"/>
    <w:rsid w:val="00481AB0"/>
    <w:rsid w:val="00487A23"/>
    <w:rsid w:val="004945A6"/>
    <w:rsid w:val="004A300B"/>
    <w:rsid w:val="004B6262"/>
    <w:rsid w:val="004E3B6F"/>
    <w:rsid w:val="00521ECA"/>
    <w:rsid w:val="005269C0"/>
    <w:rsid w:val="005337EA"/>
    <w:rsid w:val="00537E49"/>
    <w:rsid w:val="00537FA9"/>
    <w:rsid w:val="00562E0A"/>
    <w:rsid w:val="00572CE2"/>
    <w:rsid w:val="005749F2"/>
    <w:rsid w:val="00583D5B"/>
    <w:rsid w:val="005B2ACF"/>
    <w:rsid w:val="005D6590"/>
    <w:rsid w:val="005E50A5"/>
    <w:rsid w:val="0064135E"/>
    <w:rsid w:val="0064143F"/>
    <w:rsid w:val="0064369F"/>
    <w:rsid w:val="00646BFE"/>
    <w:rsid w:val="00670238"/>
    <w:rsid w:val="0068085C"/>
    <w:rsid w:val="00685A0F"/>
    <w:rsid w:val="00687CD7"/>
    <w:rsid w:val="00692C11"/>
    <w:rsid w:val="00695DD7"/>
    <w:rsid w:val="006A35E3"/>
    <w:rsid w:val="006B3304"/>
    <w:rsid w:val="006B3CA8"/>
    <w:rsid w:val="006C24E2"/>
    <w:rsid w:val="006C444B"/>
    <w:rsid w:val="006C6041"/>
    <w:rsid w:val="00702620"/>
    <w:rsid w:val="00743A57"/>
    <w:rsid w:val="00764999"/>
    <w:rsid w:val="007703A6"/>
    <w:rsid w:val="00794134"/>
    <w:rsid w:val="007B220D"/>
    <w:rsid w:val="007B5928"/>
    <w:rsid w:val="007C0A1A"/>
    <w:rsid w:val="007D6C12"/>
    <w:rsid w:val="007E22AE"/>
    <w:rsid w:val="007E2ED2"/>
    <w:rsid w:val="008003B6"/>
    <w:rsid w:val="008053E3"/>
    <w:rsid w:val="00864C97"/>
    <w:rsid w:val="008B4F99"/>
    <w:rsid w:val="008D07B6"/>
    <w:rsid w:val="008D34A5"/>
    <w:rsid w:val="008E0EEC"/>
    <w:rsid w:val="008F00FF"/>
    <w:rsid w:val="008F6D9D"/>
    <w:rsid w:val="009250C3"/>
    <w:rsid w:val="00935BED"/>
    <w:rsid w:val="00980BB0"/>
    <w:rsid w:val="009B17A1"/>
    <w:rsid w:val="009B5243"/>
    <w:rsid w:val="009B6992"/>
    <w:rsid w:val="009D1C43"/>
    <w:rsid w:val="009D416B"/>
    <w:rsid w:val="009E30F9"/>
    <w:rsid w:val="009F45D3"/>
    <w:rsid w:val="00A038BC"/>
    <w:rsid w:val="00A05D76"/>
    <w:rsid w:val="00A25EDD"/>
    <w:rsid w:val="00A51DCD"/>
    <w:rsid w:val="00A623FA"/>
    <w:rsid w:val="00AA63CB"/>
    <w:rsid w:val="00AD0C94"/>
    <w:rsid w:val="00AD11BA"/>
    <w:rsid w:val="00B07139"/>
    <w:rsid w:val="00B10E0C"/>
    <w:rsid w:val="00B1162B"/>
    <w:rsid w:val="00B336F4"/>
    <w:rsid w:val="00B34328"/>
    <w:rsid w:val="00B36EAC"/>
    <w:rsid w:val="00B45689"/>
    <w:rsid w:val="00B85F8D"/>
    <w:rsid w:val="00B93BCF"/>
    <w:rsid w:val="00B97173"/>
    <w:rsid w:val="00BA0805"/>
    <w:rsid w:val="00BA12D5"/>
    <w:rsid w:val="00BB3491"/>
    <w:rsid w:val="00BD3AFE"/>
    <w:rsid w:val="00BE0DE5"/>
    <w:rsid w:val="00BE0E8A"/>
    <w:rsid w:val="00BE4EAD"/>
    <w:rsid w:val="00BF22D8"/>
    <w:rsid w:val="00BF3304"/>
    <w:rsid w:val="00C04652"/>
    <w:rsid w:val="00C31F0A"/>
    <w:rsid w:val="00C46E60"/>
    <w:rsid w:val="00C60C8C"/>
    <w:rsid w:val="00C63B21"/>
    <w:rsid w:val="00C90DC4"/>
    <w:rsid w:val="00C94C3E"/>
    <w:rsid w:val="00C96924"/>
    <w:rsid w:val="00CB5F45"/>
    <w:rsid w:val="00CB6E85"/>
    <w:rsid w:val="00CD1315"/>
    <w:rsid w:val="00CD54A6"/>
    <w:rsid w:val="00CE5580"/>
    <w:rsid w:val="00CF18BB"/>
    <w:rsid w:val="00D011AB"/>
    <w:rsid w:val="00D11F63"/>
    <w:rsid w:val="00D261AA"/>
    <w:rsid w:val="00D362D0"/>
    <w:rsid w:val="00D634B4"/>
    <w:rsid w:val="00D73920"/>
    <w:rsid w:val="00D75EA5"/>
    <w:rsid w:val="00D77DA2"/>
    <w:rsid w:val="00D87F3A"/>
    <w:rsid w:val="00D93FEE"/>
    <w:rsid w:val="00DA0427"/>
    <w:rsid w:val="00DD746A"/>
    <w:rsid w:val="00E11F43"/>
    <w:rsid w:val="00E34421"/>
    <w:rsid w:val="00E45A7A"/>
    <w:rsid w:val="00E61C7B"/>
    <w:rsid w:val="00E67EC4"/>
    <w:rsid w:val="00E86100"/>
    <w:rsid w:val="00EA77BA"/>
    <w:rsid w:val="00ED13B4"/>
    <w:rsid w:val="00ED4606"/>
    <w:rsid w:val="00ED5807"/>
    <w:rsid w:val="00F01EB9"/>
    <w:rsid w:val="00F169CD"/>
    <w:rsid w:val="00F339FF"/>
    <w:rsid w:val="00F56CF2"/>
    <w:rsid w:val="00F618E8"/>
    <w:rsid w:val="00F90BBA"/>
    <w:rsid w:val="00F90CC3"/>
    <w:rsid w:val="00FA2271"/>
    <w:rsid w:val="00FA2CCB"/>
    <w:rsid w:val="00FA3BF4"/>
    <w:rsid w:val="00FA5549"/>
    <w:rsid w:val="00FA6D50"/>
    <w:rsid w:val="00FA7672"/>
    <w:rsid w:val="00FD4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12A58"/>
  <w15:chartTrackingRefBased/>
  <w15:docId w15:val="{512F01A4-99F6-4E9E-8CEE-69E1BE0D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7A1"/>
    <w:pPr>
      <w:spacing w:after="240" w:line="360" w:lineRule="auto"/>
    </w:pPr>
    <w:rPr>
      <w:rFonts w:ascii="Arial" w:hAnsi="Arial"/>
      <w:sz w:val="20"/>
    </w:rPr>
  </w:style>
  <w:style w:type="paragraph" w:styleId="Heading3">
    <w:name w:val="heading 3"/>
    <w:basedOn w:val="Normal"/>
    <w:next w:val="Normal"/>
    <w:link w:val="Heading3Char"/>
    <w:uiPriority w:val="9"/>
    <w:semiHidden/>
    <w:unhideWhenUsed/>
    <w:qFormat/>
    <w:rsid w:val="00B93B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7E2ED2"/>
    <w:pPr>
      <w:keepNext/>
      <w:keepLines/>
      <w:spacing w:before="80" w:after="40"/>
      <w:outlineLvl w:val="4"/>
    </w:pPr>
    <w:rPr>
      <w:rFonts w:asciiTheme="minorHAnsi" w:eastAsiaTheme="majorEastAsia" w:hAnsiTheme="min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EB9"/>
    <w:pPr>
      <w:tabs>
        <w:tab w:val="center" w:pos="4680"/>
        <w:tab w:val="right" w:pos="9360"/>
      </w:tabs>
      <w:spacing w:line="240" w:lineRule="auto"/>
    </w:pPr>
  </w:style>
  <w:style w:type="character" w:customStyle="1" w:styleId="HeaderChar">
    <w:name w:val="Header Char"/>
    <w:basedOn w:val="DefaultParagraphFont"/>
    <w:link w:val="Header"/>
    <w:uiPriority w:val="99"/>
    <w:rsid w:val="00F01EB9"/>
    <w:rPr>
      <w:rFonts w:ascii="Arial" w:hAnsi="Arial"/>
      <w:sz w:val="20"/>
    </w:rPr>
  </w:style>
  <w:style w:type="paragraph" w:styleId="Footer">
    <w:name w:val="footer"/>
    <w:basedOn w:val="Normal"/>
    <w:link w:val="FooterChar"/>
    <w:uiPriority w:val="99"/>
    <w:unhideWhenUsed/>
    <w:rsid w:val="00F01EB9"/>
    <w:pPr>
      <w:tabs>
        <w:tab w:val="center" w:pos="4680"/>
        <w:tab w:val="right" w:pos="9360"/>
      </w:tabs>
      <w:spacing w:line="240" w:lineRule="auto"/>
    </w:pPr>
  </w:style>
  <w:style w:type="character" w:customStyle="1" w:styleId="FooterChar">
    <w:name w:val="Footer Char"/>
    <w:basedOn w:val="DefaultParagraphFont"/>
    <w:link w:val="Footer"/>
    <w:uiPriority w:val="99"/>
    <w:rsid w:val="00F01EB9"/>
    <w:rPr>
      <w:rFonts w:ascii="Arial" w:hAnsi="Arial"/>
      <w:sz w:val="20"/>
    </w:rPr>
  </w:style>
  <w:style w:type="paragraph" w:styleId="EndnoteText">
    <w:name w:val="endnote text"/>
    <w:basedOn w:val="Normal"/>
    <w:link w:val="EndnoteTextChar"/>
    <w:uiPriority w:val="99"/>
    <w:semiHidden/>
    <w:unhideWhenUsed/>
    <w:rsid w:val="009B17A1"/>
    <w:pPr>
      <w:spacing w:after="0" w:line="240" w:lineRule="auto"/>
    </w:pPr>
    <w:rPr>
      <w:szCs w:val="20"/>
    </w:rPr>
  </w:style>
  <w:style w:type="character" w:customStyle="1" w:styleId="EndnoteTextChar">
    <w:name w:val="Endnote Text Char"/>
    <w:basedOn w:val="DefaultParagraphFont"/>
    <w:link w:val="EndnoteText"/>
    <w:uiPriority w:val="99"/>
    <w:semiHidden/>
    <w:rsid w:val="009B17A1"/>
    <w:rPr>
      <w:rFonts w:ascii="Arial" w:hAnsi="Arial"/>
      <w:sz w:val="20"/>
      <w:szCs w:val="20"/>
    </w:rPr>
  </w:style>
  <w:style w:type="character" w:styleId="EndnoteReference">
    <w:name w:val="endnote reference"/>
    <w:basedOn w:val="DefaultParagraphFont"/>
    <w:uiPriority w:val="99"/>
    <w:semiHidden/>
    <w:unhideWhenUsed/>
    <w:rsid w:val="009B17A1"/>
    <w:rPr>
      <w:vertAlign w:val="superscript"/>
    </w:rPr>
  </w:style>
  <w:style w:type="paragraph" w:styleId="FootnoteText">
    <w:name w:val="footnote text"/>
    <w:basedOn w:val="Normal"/>
    <w:link w:val="FootnoteTextChar"/>
    <w:uiPriority w:val="99"/>
    <w:semiHidden/>
    <w:unhideWhenUsed/>
    <w:rsid w:val="0064135E"/>
    <w:pPr>
      <w:spacing w:after="0" w:line="240" w:lineRule="auto"/>
    </w:pPr>
    <w:rPr>
      <w:szCs w:val="20"/>
    </w:rPr>
  </w:style>
  <w:style w:type="character" w:customStyle="1" w:styleId="FootnoteTextChar">
    <w:name w:val="Footnote Text Char"/>
    <w:basedOn w:val="DefaultParagraphFont"/>
    <w:link w:val="FootnoteText"/>
    <w:uiPriority w:val="99"/>
    <w:semiHidden/>
    <w:rsid w:val="0064135E"/>
    <w:rPr>
      <w:rFonts w:ascii="Arial" w:hAnsi="Arial"/>
      <w:sz w:val="20"/>
      <w:szCs w:val="20"/>
    </w:rPr>
  </w:style>
  <w:style w:type="character" w:styleId="FootnoteReference">
    <w:name w:val="footnote reference"/>
    <w:basedOn w:val="DefaultParagraphFont"/>
    <w:uiPriority w:val="99"/>
    <w:semiHidden/>
    <w:unhideWhenUsed/>
    <w:rsid w:val="0064135E"/>
    <w:rPr>
      <w:vertAlign w:val="superscript"/>
    </w:rPr>
  </w:style>
  <w:style w:type="character" w:styleId="CommentReference">
    <w:name w:val="annotation reference"/>
    <w:basedOn w:val="DefaultParagraphFont"/>
    <w:uiPriority w:val="99"/>
    <w:semiHidden/>
    <w:unhideWhenUsed/>
    <w:rsid w:val="008003B6"/>
    <w:rPr>
      <w:sz w:val="16"/>
      <w:szCs w:val="16"/>
    </w:rPr>
  </w:style>
  <w:style w:type="paragraph" w:styleId="CommentText">
    <w:name w:val="annotation text"/>
    <w:basedOn w:val="Normal"/>
    <w:link w:val="CommentTextChar"/>
    <w:uiPriority w:val="99"/>
    <w:unhideWhenUsed/>
    <w:rsid w:val="008003B6"/>
    <w:pPr>
      <w:spacing w:line="240" w:lineRule="auto"/>
    </w:pPr>
    <w:rPr>
      <w:szCs w:val="20"/>
    </w:rPr>
  </w:style>
  <w:style w:type="character" w:customStyle="1" w:styleId="CommentTextChar">
    <w:name w:val="Comment Text Char"/>
    <w:basedOn w:val="DefaultParagraphFont"/>
    <w:link w:val="CommentText"/>
    <w:uiPriority w:val="99"/>
    <w:rsid w:val="008003B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003B6"/>
    <w:rPr>
      <w:b/>
      <w:bCs/>
    </w:rPr>
  </w:style>
  <w:style w:type="character" w:customStyle="1" w:styleId="CommentSubjectChar">
    <w:name w:val="Comment Subject Char"/>
    <w:basedOn w:val="CommentTextChar"/>
    <w:link w:val="CommentSubject"/>
    <w:uiPriority w:val="99"/>
    <w:semiHidden/>
    <w:rsid w:val="008003B6"/>
    <w:rPr>
      <w:rFonts w:ascii="Arial" w:hAnsi="Arial"/>
      <w:b/>
      <w:bCs/>
      <w:sz w:val="20"/>
      <w:szCs w:val="20"/>
    </w:rPr>
  </w:style>
  <w:style w:type="paragraph" w:styleId="Bibliography">
    <w:name w:val="Bibliography"/>
    <w:basedOn w:val="Normal"/>
    <w:next w:val="Normal"/>
    <w:uiPriority w:val="37"/>
    <w:unhideWhenUsed/>
    <w:rsid w:val="00537FA9"/>
    <w:pPr>
      <w:spacing w:after="160" w:line="259" w:lineRule="auto"/>
    </w:pPr>
    <w:rPr>
      <w:rFonts w:ascii="Aptos" w:hAnsi="Aptos"/>
      <w:kern w:val="2"/>
      <w:sz w:val="22"/>
      <w14:ligatures w14:val="standardContextual"/>
    </w:rPr>
  </w:style>
  <w:style w:type="character" w:styleId="Hyperlink">
    <w:name w:val="Hyperlink"/>
    <w:basedOn w:val="DefaultParagraphFont"/>
    <w:uiPriority w:val="99"/>
    <w:unhideWhenUsed/>
    <w:rsid w:val="00D87F3A"/>
    <w:rPr>
      <w:color w:val="0563C1" w:themeColor="hyperlink"/>
      <w:u w:val="single"/>
    </w:rPr>
  </w:style>
  <w:style w:type="character" w:styleId="UnresolvedMention">
    <w:name w:val="Unresolved Mention"/>
    <w:basedOn w:val="DefaultParagraphFont"/>
    <w:uiPriority w:val="99"/>
    <w:semiHidden/>
    <w:unhideWhenUsed/>
    <w:rsid w:val="00D87F3A"/>
    <w:rPr>
      <w:color w:val="605E5C"/>
      <w:shd w:val="clear" w:color="auto" w:fill="E1DFDD"/>
    </w:rPr>
  </w:style>
  <w:style w:type="character" w:customStyle="1" w:styleId="Heading5Char">
    <w:name w:val="Heading 5 Char"/>
    <w:basedOn w:val="DefaultParagraphFont"/>
    <w:link w:val="Heading5"/>
    <w:uiPriority w:val="9"/>
    <w:semiHidden/>
    <w:rsid w:val="007E2ED2"/>
    <w:rPr>
      <w:rFonts w:eastAsiaTheme="majorEastAsia" w:cstheme="majorBidi"/>
      <w:color w:val="2F5496" w:themeColor="accent1" w:themeShade="BF"/>
      <w:sz w:val="20"/>
    </w:rPr>
  </w:style>
  <w:style w:type="paragraph" w:customStyle="1" w:styleId="EndNoteBibliographyTitle">
    <w:name w:val="EndNote Bibliography Title"/>
    <w:basedOn w:val="Normal"/>
    <w:link w:val="EndNoteBibliographyTitleChar"/>
    <w:rsid w:val="00BB3491"/>
    <w:pPr>
      <w:spacing w:after="0"/>
      <w:jc w:val="center"/>
    </w:pPr>
    <w:rPr>
      <w:rFonts w:cs="Arial"/>
      <w:noProof/>
    </w:rPr>
  </w:style>
  <w:style w:type="character" w:customStyle="1" w:styleId="EndNoteBibliographyTitleChar">
    <w:name w:val="EndNote Bibliography Title Char"/>
    <w:basedOn w:val="DefaultParagraphFont"/>
    <w:link w:val="EndNoteBibliographyTitle"/>
    <w:rsid w:val="00BB3491"/>
    <w:rPr>
      <w:rFonts w:ascii="Arial" w:hAnsi="Arial" w:cs="Arial"/>
      <w:noProof/>
      <w:sz w:val="20"/>
    </w:rPr>
  </w:style>
  <w:style w:type="paragraph" w:customStyle="1" w:styleId="EndNoteBibliography">
    <w:name w:val="EndNote Bibliography"/>
    <w:basedOn w:val="Normal"/>
    <w:link w:val="EndNoteBibliographyChar"/>
    <w:rsid w:val="00BB3491"/>
    <w:pPr>
      <w:spacing w:line="240" w:lineRule="auto"/>
    </w:pPr>
    <w:rPr>
      <w:rFonts w:cs="Arial"/>
      <w:noProof/>
    </w:rPr>
  </w:style>
  <w:style w:type="character" w:customStyle="1" w:styleId="EndNoteBibliographyChar">
    <w:name w:val="EndNote Bibliography Char"/>
    <w:basedOn w:val="DefaultParagraphFont"/>
    <w:link w:val="EndNoteBibliography"/>
    <w:rsid w:val="00BB3491"/>
    <w:rPr>
      <w:rFonts w:ascii="Arial" w:hAnsi="Arial" w:cs="Arial"/>
      <w:noProof/>
      <w:sz w:val="20"/>
    </w:rPr>
  </w:style>
  <w:style w:type="character" w:customStyle="1" w:styleId="Heading3Char">
    <w:name w:val="Heading 3 Char"/>
    <w:basedOn w:val="DefaultParagraphFont"/>
    <w:link w:val="Heading3"/>
    <w:uiPriority w:val="9"/>
    <w:semiHidden/>
    <w:rsid w:val="00B93BC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737852">
      <w:bodyDiv w:val="1"/>
      <w:marLeft w:val="0"/>
      <w:marRight w:val="0"/>
      <w:marTop w:val="0"/>
      <w:marBottom w:val="0"/>
      <w:divBdr>
        <w:top w:val="none" w:sz="0" w:space="0" w:color="auto"/>
        <w:left w:val="none" w:sz="0" w:space="0" w:color="auto"/>
        <w:bottom w:val="none" w:sz="0" w:space="0" w:color="auto"/>
        <w:right w:val="none" w:sz="0" w:space="0" w:color="auto"/>
      </w:divBdr>
    </w:div>
    <w:div w:id="499389004">
      <w:bodyDiv w:val="1"/>
      <w:marLeft w:val="0"/>
      <w:marRight w:val="0"/>
      <w:marTop w:val="0"/>
      <w:marBottom w:val="0"/>
      <w:divBdr>
        <w:top w:val="none" w:sz="0" w:space="0" w:color="auto"/>
        <w:left w:val="none" w:sz="0" w:space="0" w:color="auto"/>
        <w:bottom w:val="none" w:sz="0" w:space="0" w:color="auto"/>
        <w:right w:val="none" w:sz="0" w:space="0" w:color="auto"/>
      </w:divBdr>
    </w:div>
    <w:div w:id="805777999">
      <w:bodyDiv w:val="1"/>
      <w:marLeft w:val="0"/>
      <w:marRight w:val="0"/>
      <w:marTop w:val="0"/>
      <w:marBottom w:val="0"/>
      <w:divBdr>
        <w:top w:val="none" w:sz="0" w:space="0" w:color="auto"/>
        <w:left w:val="none" w:sz="0" w:space="0" w:color="auto"/>
        <w:bottom w:val="none" w:sz="0" w:space="0" w:color="auto"/>
        <w:right w:val="none" w:sz="0" w:space="0" w:color="auto"/>
      </w:divBdr>
    </w:div>
    <w:div w:id="822307888">
      <w:bodyDiv w:val="1"/>
      <w:marLeft w:val="0"/>
      <w:marRight w:val="0"/>
      <w:marTop w:val="0"/>
      <w:marBottom w:val="0"/>
      <w:divBdr>
        <w:top w:val="none" w:sz="0" w:space="0" w:color="auto"/>
        <w:left w:val="none" w:sz="0" w:space="0" w:color="auto"/>
        <w:bottom w:val="none" w:sz="0" w:space="0" w:color="auto"/>
        <w:right w:val="none" w:sz="0" w:space="0" w:color="auto"/>
      </w:divBdr>
    </w:div>
    <w:div w:id="1497457474">
      <w:bodyDiv w:val="1"/>
      <w:marLeft w:val="0"/>
      <w:marRight w:val="0"/>
      <w:marTop w:val="0"/>
      <w:marBottom w:val="0"/>
      <w:divBdr>
        <w:top w:val="none" w:sz="0" w:space="0" w:color="auto"/>
        <w:left w:val="none" w:sz="0" w:space="0" w:color="auto"/>
        <w:bottom w:val="none" w:sz="0" w:space="0" w:color="auto"/>
        <w:right w:val="none" w:sz="0" w:space="0" w:color="auto"/>
      </w:divBdr>
    </w:div>
    <w:div w:id="1818763394">
      <w:bodyDiv w:val="1"/>
      <w:marLeft w:val="0"/>
      <w:marRight w:val="0"/>
      <w:marTop w:val="0"/>
      <w:marBottom w:val="0"/>
      <w:divBdr>
        <w:top w:val="none" w:sz="0" w:space="0" w:color="auto"/>
        <w:left w:val="none" w:sz="0" w:space="0" w:color="auto"/>
        <w:bottom w:val="none" w:sz="0" w:space="0" w:color="auto"/>
        <w:right w:val="none" w:sz="0" w:space="0" w:color="auto"/>
      </w:divBdr>
    </w:div>
    <w:div w:id="1882134961">
      <w:bodyDiv w:val="1"/>
      <w:marLeft w:val="0"/>
      <w:marRight w:val="0"/>
      <w:marTop w:val="0"/>
      <w:marBottom w:val="0"/>
      <w:divBdr>
        <w:top w:val="none" w:sz="0" w:space="0" w:color="auto"/>
        <w:left w:val="none" w:sz="0" w:space="0" w:color="auto"/>
        <w:bottom w:val="none" w:sz="0" w:space="0" w:color="auto"/>
        <w:right w:val="none" w:sz="0" w:space="0" w:color="auto"/>
      </w:divBdr>
    </w:div>
    <w:div w:id="193397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6/j.healthplace.2015.01.005"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19" Type="http://schemas.openxmlformats.org/officeDocument/2006/relationships/customXml" Target="../customXml/item4.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7" ma:contentTypeDescription="Create a new document." ma:contentTypeScope="" ma:versionID="819b4ee962be2bddd2474e785d1181b8">
  <xsd:schema xmlns:xsd="http://www.w3.org/2001/XMLSchema" xmlns:xs="http://www.w3.org/2001/XMLSchema" xmlns:p="http://schemas.microsoft.com/office/2006/metadata/properties" xmlns:ns2="bfec5155-cd0c-46a7-a3ba-4de02cda8ac5" xmlns:ns3="ef7c5145-e159-46d3-924d-b50a59624be6" xmlns:ns4="19a4d83b-00ce-4127-a5b3-b065af9349eb" targetNamespace="http://schemas.microsoft.com/office/2006/metadata/properties" ma:root="true" ma:fieldsID="f34546f8b4ac1cec3bd81821bd59e526" ns2:_="" ns3:_="" ns4:_="">
    <xsd:import namespace="bfec5155-cd0c-46a7-a3ba-4de02cda8ac5"/>
    <xsd:import namespace="ef7c5145-e159-46d3-924d-b50a59624be6"/>
    <xsd:import namespace="19a4d83b-00ce-4127-a5b3-b065af9349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a4d83b-00ce-4127-a5b3-b065af9349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1f28c6-8888-4c4a-84f6-b5cc35d41f63}" ma:internalName="TaxCatchAll" ma:showField="CatchAllData" ma:web="19a4d83b-00ce-4127-a5b3-b065af934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ec5155-cd0c-46a7-a3ba-4de02cda8ac5">
      <Terms xmlns="http://schemas.microsoft.com/office/infopath/2007/PartnerControls"/>
    </lcf76f155ced4ddcb4097134ff3c332f>
    <TaxCatchAll xmlns="19a4d83b-00ce-4127-a5b3-b065af9349eb" xsi:nil="true"/>
  </documentManagement>
</p:properties>
</file>

<file path=customXml/itemProps1.xml><?xml version="1.0" encoding="utf-8"?>
<ds:datastoreItem xmlns:ds="http://schemas.openxmlformats.org/officeDocument/2006/customXml" ds:itemID="{3BF7A4B2-441C-45FB-8822-085009B7B96F}">
  <ds:schemaRefs>
    <ds:schemaRef ds:uri="http://schemas.openxmlformats.org/officeDocument/2006/bibliography"/>
  </ds:schemaRefs>
</ds:datastoreItem>
</file>

<file path=customXml/itemProps2.xml><?xml version="1.0" encoding="utf-8"?>
<ds:datastoreItem xmlns:ds="http://schemas.openxmlformats.org/officeDocument/2006/customXml" ds:itemID="{DD1A5F3F-490E-4159-B501-F7B46BB3213E}"/>
</file>

<file path=customXml/itemProps3.xml><?xml version="1.0" encoding="utf-8"?>
<ds:datastoreItem xmlns:ds="http://schemas.openxmlformats.org/officeDocument/2006/customXml" ds:itemID="{3FBCB543-624A-4AC9-A037-F5259FC80C61}"/>
</file>

<file path=customXml/itemProps4.xml><?xml version="1.0" encoding="utf-8"?>
<ds:datastoreItem xmlns:ds="http://schemas.openxmlformats.org/officeDocument/2006/customXml" ds:itemID="{C95D8300-6B6E-4BBC-BD6C-58EBF06C4AA0}"/>
</file>

<file path=docProps/app.xml><?xml version="1.0" encoding="utf-8"?>
<Properties xmlns="http://schemas.openxmlformats.org/officeDocument/2006/extended-properties" xmlns:vt="http://schemas.openxmlformats.org/officeDocument/2006/docPropsVTypes">
  <Template>Normal.dotm</Template>
  <TotalTime>253</TotalTime>
  <Pages>7</Pages>
  <Words>2604</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Kansas</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Symposium Submission</dc:title>
  <dc:subject/>
  <dc:creator>Hallberg, Lisa K.</dc:creator>
  <cp:keywords/>
  <dc:description/>
  <cp:lastModifiedBy>McKinney, Walker (He/Him/His)</cp:lastModifiedBy>
  <cp:revision>193</cp:revision>
  <dcterms:created xsi:type="dcterms:W3CDTF">2023-08-04T19:45:00Z</dcterms:created>
  <dcterms:modified xsi:type="dcterms:W3CDTF">2024-11-04T15:46:00Z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