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4B0DC" w14:textId="1B2F8094" w:rsidR="00F01EB9" w:rsidRDefault="00163A52" w:rsidP="009B17A1">
      <w:r>
        <w:rPr>
          <w:b/>
          <w:bCs/>
        </w:rPr>
        <w:t xml:space="preserve">Symposium </w:t>
      </w:r>
      <w:r w:rsidR="009B17A1" w:rsidRPr="007B5928">
        <w:rPr>
          <w:b/>
          <w:bCs/>
        </w:rPr>
        <w:t>Title</w:t>
      </w:r>
      <w:r w:rsidR="009B17A1">
        <w:t xml:space="preserve">: </w:t>
      </w:r>
      <w:r w:rsidR="003D422A" w:rsidRPr="00934F6F">
        <w:rPr>
          <w:rFonts w:cs="Arial"/>
          <w:szCs w:val="20"/>
        </w:rPr>
        <w:t>Examining Moderators and Maintenance Effects of a Transition Intervention for Autistic Adolescents and Young Adults</w:t>
      </w:r>
    </w:p>
    <w:p w14:paraId="7AF660EF" w14:textId="38D763BC" w:rsidR="00163A52" w:rsidRDefault="00163A52" w:rsidP="009B17A1">
      <w:r>
        <w:rPr>
          <w:b/>
          <w:bCs/>
        </w:rPr>
        <w:t>Chair</w:t>
      </w:r>
      <w:r w:rsidR="009B17A1">
        <w:t xml:space="preserve">: </w:t>
      </w:r>
      <w:r w:rsidR="003D422A">
        <w:t>Matthew J. Smith</w:t>
      </w:r>
      <w:r w:rsidR="0064135E">
        <w:rPr>
          <w:rStyle w:val="FootnoteReference"/>
        </w:rPr>
        <w:footnoteReference w:id="1"/>
      </w:r>
    </w:p>
    <w:p w14:paraId="623354BE" w14:textId="6627A7FA" w:rsidR="009B17A1" w:rsidRDefault="00163A52" w:rsidP="009B17A1">
      <w:r w:rsidRPr="00163A52">
        <w:rPr>
          <w:b/>
          <w:bCs/>
        </w:rPr>
        <w:t>Discussant</w:t>
      </w:r>
      <w:r>
        <w:t xml:space="preserve">: </w:t>
      </w:r>
      <w:r w:rsidR="003D422A">
        <w:t>Mary Baker-</w:t>
      </w:r>
      <w:proofErr w:type="spellStart"/>
      <w:r w:rsidR="003D422A">
        <w:t>Ericzen</w:t>
      </w:r>
      <w:proofErr w:type="spellEnd"/>
      <w:r w:rsidR="002A64F0">
        <w:rPr>
          <w:rStyle w:val="FootnoteReference"/>
        </w:rPr>
        <w:footnoteReference w:id="2"/>
      </w:r>
    </w:p>
    <w:p w14:paraId="22FE818A" w14:textId="19AB2958" w:rsidR="009B17A1" w:rsidRDefault="00163A52" w:rsidP="009B17A1">
      <w:r>
        <w:rPr>
          <w:b/>
          <w:bCs/>
        </w:rPr>
        <w:t>Overview</w:t>
      </w:r>
      <w:r w:rsidR="009B17A1">
        <w:t xml:space="preserve">: </w:t>
      </w:r>
      <w:r w:rsidR="003D422A" w:rsidRPr="003D422A">
        <w:t>Autistic adults’ employment rates remain extremely low, posing a clinically significant problem given the benefits of employment for well-being, independence and life satisfaction in all adults. We present integrative cross-disciplinary strategies to improve employment outcomes in autistic individuals. Dr. Brianne Tomaszewski will present findings from a clinical trial of the TEACCH Autism Program, School Transition to Employment and Postsecondary Education Program (T-STEP), a community college-based transition program for autistic students that includes self-determination and executive function training, counseling and an internship. Dr. Matthew Smith will then discuss a Hybrid Type I trial of the effectiveness, feasibility, and acceptability of a virtual workplace communication training platform (</w:t>
      </w:r>
      <w:proofErr w:type="spellStart"/>
      <w:r w:rsidR="003D422A" w:rsidRPr="003D422A">
        <w:t>WorkChat</w:t>
      </w:r>
      <w:proofErr w:type="spellEnd"/>
      <w:r w:rsidR="003D422A" w:rsidRPr="003D422A">
        <w:t>) developed with members of the autistic community and implemented in 4 post-secondary pre-employment transition services. Dr. Ben Schwartzman will discuss his study of a parent mentorship program to assist parents in connecting their adult autistic and/or intellectual disabled family members with paid employment. Finally, Dr. Marjorie Solomon will present results of a Hybrid Type 1 effectiveness trial examining employment outcomes, and feasibility and acceptability of the highly validated Individualized Placement and Support (IPS) model –which has been used extensively and successfully in the severe mental illness field –implemented in autistic adults in the community.</w:t>
      </w:r>
    </w:p>
    <w:p w14:paraId="1AB18FF1" w14:textId="00B1ABF4" w:rsidR="00163A52" w:rsidRPr="00163A52" w:rsidRDefault="00163A52" w:rsidP="00163A52">
      <w:pPr>
        <w:jc w:val="center"/>
        <w:rPr>
          <w:b/>
          <w:bCs/>
        </w:rPr>
      </w:pPr>
      <w:r w:rsidRPr="00163A52">
        <w:rPr>
          <w:b/>
          <w:bCs/>
        </w:rPr>
        <w:t xml:space="preserve">Paper 1 of </w:t>
      </w:r>
      <w:r w:rsidR="0064135E">
        <w:rPr>
          <w:b/>
          <w:bCs/>
        </w:rPr>
        <w:t>4</w:t>
      </w:r>
    </w:p>
    <w:p w14:paraId="3E5F90CC" w14:textId="5FCC5E16" w:rsidR="00163A52" w:rsidRDefault="00163A52" w:rsidP="00163A52">
      <w:r w:rsidRPr="002A64F0">
        <w:rPr>
          <w:b/>
          <w:bCs/>
        </w:rPr>
        <w:t>Paper Title</w:t>
      </w:r>
      <w:r>
        <w:t xml:space="preserve">: </w:t>
      </w:r>
      <w:r w:rsidR="003D422A" w:rsidRPr="003D422A">
        <w:rPr>
          <w:rFonts w:cs="Arial"/>
          <w:szCs w:val="20"/>
        </w:rPr>
        <w:t>Examining Moderators and Maintenance Effects of a Transition Intervention for Autistic Adolescents and Young Adults</w:t>
      </w:r>
      <w:r w:rsidR="00934F6F">
        <w:rPr>
          <w:rFonts w:cs="Arial"/>
          <w:szCs w:val="20"/>
        </w:rPr>
        <w:t>.</w:t>
      </w:r>
    </w:p>
    <w:p w14:paraId="32961CA8" w14:textId="496F1B07" w:rsidR="003D422A" w:rsidRDefault="00163A52" w:rsidP="00163A52">
      <w:pPr>
        <w:rPr>
          <w:b/>
          <w:bCs/>
        </w:rPr>
      </w:pPr>
      <w:r w:rsidRPr="002A64F0">
        <w:rPr>
          <w:b/>
          <w:bCs/>
        </w:rPr>
        <w:t>Authors</w:t>
      </w:r>
      <w:r>
        <w:t xml:space="preserve">: </w:t>
      </w:r>
      <w:r w:rsidR="003D422A" w:rsidRPr="003D422A">
        <w:rPr>
          <w:rFonts w:cs="Arial"/>
          <w:color w:val="000000"/>
          <w:szCs w:val="20"/>
        </w:rPr>
        <w:t>Brianne Tomaszewski</w:t>
      </w:r>
      <w:r w:rsidR="003D422A">
        <w:rPr>
          <w:rStyle w:val="FootnoteReference"/>
        </w:rPr>
        <w:footnoteReference w:id="3"/>
      </w:r>
      <w:r w:rsidR="003D422A" w:rsidRPr="003D422A">
        <w:rPr>
          <w:rFonts w:cs="Arial"/>
          <w:color w:val="000000"/>
          <w:szCs w:val="20"/>
        </w:rPr>
        <w:t>, Elena Lamarche</w:t>
      </w:r>
      <w:r w:rsidR="003D422A">
        <w:rPr>
          <w:rStyle w:val="FootnoteReference"/>
        </w:rPr>
        <w:t>3</w:t>
      </w:r>
      <w:r w:rsidR="003D422A" w:rsidRPr="003D422A">
        <w:rPr>
          <w:rFonts w:cs="Arial"/>
          <w:color w:val="000000"/>
          <w:szCs w:val="20"/>
        </w:rPr>
        <w:t>, Michal Cook</w:t>
      </w:r>
      <w:r w:rsidR="003D422A">
        <w:rPr>
          <w:rStyle w:val="FootnoteReference"/>
        </w:rPr>
        <w:t>3</w:t>
      </w:r>
      <w:r w:rsidR="003D422A" w:rsidRPr="003D422A">
        <w:rPr>
          <w:rFonts w:cs="Arial"/>
          <w:color w:val="000000"/>
          <w:szCs w:val="20"/>
        </w:rPr>
        <w:t>, Claire Klein</w:t>
      </w:r>
      <w:r w:rsidR="003D422A" w:rsidRPr="003D422A">
        <w:rPr>
          <w:rFonts w:cs="Arial"/>
          <w:color w:val="000000"/>
          <w:szCs w:val="20"/>
          <w:vertAlign w:val="superscript"/>
        </w:rPr>
        <w:t>3</w:t>
      </w:r>
      <w:r w:rsidR="003D422A" w:rsidRPr="003D422A">
        <w:rPr>
          <w:rFonts w:cs="Arial"/>
          <w:color w:val="000000"/>
          <w:szCs w:val="20"/>
        </w:rPr>
        <w:t>, Tabetha Marsh</w:t>
      </w:r>
      <w:r w:rsidR="003D422A" w:rsidRPr="003D422A">
        <w:rPr>
          <w:rFonts w:cs="Arial"/>
          <w:color w:val="000000"/>
          <w:szCs w:val="20"/>
          <w:vertAlign w:val="superscript"/>
        </w:rPr>
        <w:t>3</w:t>
      </w:r>
      <w:r w:rsidR="003D422A" w:rsidRPr="003D422A">
        <w:rPr>
          <w:rFonts w:cs="Arial"/>
          <w:color w:val="000000"/>
          <w:szCs w:val="20"/>
        </w:rPr>
        <w:t>, Bridgette Kiernan</w:t>
      </w:r>
      <w:r w:rsidR="003D422A" w:rsidRPr="003D422A">
        <w:rPr>
          <w:rFonts w:cs="Arial"/>
          <w:color w:val="000000"/>
          <w:szCs w:val="20"/>
          <w:vertAlign w:val="superscript"/>
        </w:rPr>
        <w:t>3</w:t>
      </w:r>
      <w:r w:rsidR="003D422A" w:rsidRPr="003D422A">
        <w:rPr>
          <w:rFonts w:cs="Arial"/>
          <w:color w:val="000000"/>
          <w:szCs w:val="20"/>
        </w:rPr>
        <w:t>, Glenna Osborne</w:t>
      </w:r>
      <w:r w:rsidR="003D422A" w:rsidRPr="003D422A">
        <w:rPr>
          <w:rFonts w:cs="Arial"/>
          <w:color w:val="000000"/>
          <w:szCs w:val="20"/>
          <w:vertAlign w:val="superscript"/>
        </w:rPr>
        <w:t>3</w:t>
      </w:r>
      <w:r w:rsidR="003D422A" w:rsidRPr="003D422A">
        <w:rPr>
          <w:rFonts w:cs="Arial"/>
          <w:color w:val="000000"/>
          <w:szCs w:val="20"/>
        </w:rPr>
        <w:t>, &amp; Laura G. Klinger</w:t>
      </w:r>
      <w:r w:rsidR="003D422A" w:rsidRPr="003D422A">
        <w:rPr>
          <w:rFonts w:cs="Arial"/>
          <w:color w:val="000000"/>
          <w:szCs w:val="20"/>
          <w:vertAlign w:val="superscript"/>
        </w:rPr>
        <w:t>3</w:t>
      </w:r>
      <w:r w:rsidR="003D422A" w:rsidRPr="002A64F0">
        <w:rPr>
          <w:b/>
          <w:bCs/>
        </w:rPr>
        <w:t xml:space="preserve"> </w:t>
      </w:r>
    </w:p>
    <w:p w14:paraId="50BCC3F6" w14:textId="4FFE018C" w:rsidR="00163A52" w:rsidRDefault="00163A52" w:rsidP="00163A52">
      <w:r w:rsidRPr="002A64F0">
        <w:rPr>
          <w:b/>
          <w:bCs/>
        </w:rPr>
        <w:t>Introduction</w:t>
      </w:r>
      <w:r>
        <w:t xml:space="preserve">: </w:t>
      </w:r>
      <w:r w:rsidR="003D422A" w:rsidRPr="003D422A">
        <w:t xml:space="preserve">The TEACCH School Transition to Employment and Postsecondary Education (T-STEP) is a 12-week community college program that supports transition-aged autistic youth in pursuing their individualized goals for a successful adult life. The T-STEP has three components. For each week: (1) two 1.5-hour classes focused on self-determination, executive function, professional social skills, and coping skills; (2) 1-hour internship; and (3)  1-hour counseling sessions focused on self-advocacy, career counseling, and disability services. In a comparative efficacy trial, students received either all three components (Comprehensive T-STEP) or the weekly counseling component (Counseling). Students in the Comprehensive T-STEP reported more significant gains in self-determination and coping skills compared to students in the Counseling group. Parents reported gains in both groups for self-determination and </w:t>
      </w:r>
      <w:r w:rsidR="003D422A" w:rsidRPr="003D422A">
        <w:lastRenderedPageBreak/>
        <w:t>executive function</w:t>
      </w:r>
      <w:r w:rsidR="00FF0381">
        <w:t xml:space="preserve"> (masked authors et al., 2024)</w:t>
      </w:r>
      <w:r w:rsidR="003D422A" w:rsidRPr="003D422A">
        <w:t>.</w:t>
      </w:r>
      <w:r w:rsidR="003D422A">
        <w:t xml:space="preserve"> </w:t>
      </w:r>
      <w:r w:rsidR="003D422A" w:rsidRPr="003D422A">
        <w:t>The objectives of the current study were to (1) examine the maintenance effects of the comprehensive T-STEP and Counseling programs at a 3-month follow-up timepoint and (2) examine moderators of the comprehensive T-STEP and Counseling groups to identify characteristics of adolescents and young adults (e.g., IQ, autism characteristics, anxiety) who benefited most from the two programs.</w:t>
      </w:r>
    </w:p>
    <w:p w14:paraId="56DA41D9" w14:textId="4424A0B9" w:rsidR="009B17A1" w:rsidRDefault="009B17A1" w:rsidP="009B17A1">
      <w:r w:rsidRPr="007B5928">
        <w:rPr>
          <w:b/>
          <w:bCs/>
        </w:rPr>
        <w:t>Method</w:t>
      </w:r>
      <w:r>
        <w:t xml:space="preserve">: </w:t>
      </w:r>
      <w:r w:rsidR="003D422A" w:rsidRPr="003D422A">
        <w:t>110 autistic adolescents and young adults ages 16-21 (M=18.21, SD=1.32) with IQ ≥ 80 (M=107.72, SD=15.32) were randomly assigned to complete the 12-week (Comprehensive T-STEP (N=58) or Counseling (N=52). 68.8% of the participants were male, 82.0% were White, 15.0% were Black, 2.0% were Asian, and 4.8% were Latine. During the pre-test, an IQ test was performed (WASI-II), and caregivers completed a measure of autism characteristics (SRS-2).  During the pre-test, post-test, and 3-month follow-up, autistic students completed measures of self-determination (AIR-SDS), coping skills (Coping Self-Efficacy Scale), anxiety (State-Trait Anxiety), and depression (CESD-R).  Caregivers completed measures of self-determination and executive function (BRIEF). Linear mixed models examined moderators of IQ, autism characteristics, and anxiety on the outcomes for the Comprehensive T-STEP and Counseling groups and outcomes over the three- time points.</w:t>
      </w:r>
    </w:p>
    <w:p w14:paraId="4BAE4CCB" w14:textId="71107097" w:rsidR="009B17A1" w:rsidRDefault="009B17A1" w:rsidP="009B17A1">
      <w:r w:rsidRPr="007B5928">
        <w:rPr>
          <w:b/>
          <w:bCs/>
        </w:rPr>
        <w:t>Results</w:t>
      </w:r>
      <w:r>
        <w:t>:</w:t>
      </w:r>
      <w:r w:rsidRPr="009B17A1">
        <w:t xml:space="preserve"> </w:t>
      </w:r>
      <w:r w:rsidR="003D422A" w:rsidRPr="003D422A">
        <w:t xml:space="preserve">Effects were maintained at follow-up for self-determination and coping skills. Autism characteristics significantly moderated treatment effects between Comprehensive T-STEP and Counseling on student-reported depression, F(2,8) = 3.22, </w:t>
      </w:r>
      <w:r w:rsidR="003D422A" w:rsidRPr="003D422A">
        <w:rPr>
          <w:i/>
          <w:iCs/>
        </w:rPr>
        <w:t>p</w:t>
      </w:r>
      <w:r w:rsidR="003D422A" w:rsidRPr="003D422A">
        <w:t xml:space="preserve"> = .04 and parent-reported executive function, F(5,110) = 2.37, </w:t>
      </w:r>
      <w:r w:rsidR="003D422A" w:rsidRPr="003D422A">
        <w:rPr>
          <w:i/>
          <w:iCs/>
        </w:rPr>
        <w:t>p</w:t>
      </w:r>
      <w:r w:rsidR="003D422A" w:rsidRPr="003D422A">
        <w:t xml:space="preserve"> = .04. Autistic students with average (T-Score=68)  and high (T- Score = 77)  SRS-2 scores in the Comprehensive T-STEP reported decreases in depression from pre-test to follow-up. Individuals in the Comprehensive T-STEP maintained their gains in executive function skills from the pre-test to follow-up across low, average, and SRS-2 scores. Individuals in the Counseling group maintained their gains if their SRS-2 scores were low or average, but not if they were high</w:t>
      </w:r>
      <w:r w:rsidR="00FF0381">
        <w:t xml:space="preserve"> (see Figure 1)</w:t>
      </w:r>
      <w:r w:rsidR="003D422A" w:rsidRPr="003D422A">
        <w:t>.</w:t>
      </w:r>
    </w:p>
    <w:p w14:paraId="5704A701" w14:textId="6706FE7C" w:rsidR="009B17A1" w:rsidRDefault="009B17A1" w:rsidP="009B17A1">
      <w:r w:rsidRPr="007B5928">
        <w:rPr>
          <w:b/>
          <w:bCs/>
        </w:rPr>
        <w:t>Discussion</w:t>
      </w:r>
      <w:r>
        <w:t xml:space="preserve">: </w:t>
      </w:r>
      <w:r w:rsidR="003D422A" w:rsidRPr="003D422A">
        <w:t>Students receiving the Comprehensive T-STEP maintained their gains in self-determination and coping skills three months after completing the program. Autism characteristics were a significant moderator for depression and executive function. This analysis suggests that the Comprehensive T-STEP may work best for students with more autism characteristics, and students in the Counseling group may work best for students with less autism characteristics.  Findings highlight the need for individualized approaches to interventions for autistic students.</w:t>
      </w:r>
    </w:p>
    <w:p w14:paraId="41EC6608" w14:textId="0C322672" w:rsidR="00FF0381" w:rsidRDefault="00FF0381" w:rsidP="009B17A1">
      <w:r>
        <w:rPr>
          <w:b/>
          <w:bCs/>
        </w:rPr>
        <w:t>Reference</w:t>
      </w:r>
      <w:r>
        <w:t>:</w:t>
      </w:r>
      <w:r>
        <w:t xml:space="preserve"> masked author/publication</w:t>
      </w:r>
    </w:p>
    <w:p w14:paraId="2AC9BB35" w14:textId="77777777" w:rsidR="00FF0381" w:rsidRPr="00FF0381" w:rsidRDefault="00FF0381" w:rsidP="00FF0381">
      <w:pPr>
        <w:spacing w:after="0" w:line="240" w:lineRule="auto"/>
        <w:textAlignment w:val="baseline"/>
        <w:rPr>
          <w:rFonts w:eastAsiaTheme="majorEastAsia" w:cs="Arial"/>
          <w:szCs w:val="20"/>
        </w:rPr>
      </w:pPr>
      <w:r w:rsidRPr="00FF0381">
        <w:rPr>
          <w:rFonts w:eastAsiaTheme="majorEastAsia" w:cs="Arial"/>
          <w:szCs w:val="20"/>
        </w:rPr>
        <w:t>Figure 1. Moderation of Autism Characteristics on Student-Reported Depression and Parent-Reported Executive Function Between Comprehensive T-STEP and Counseling Programs over Pre-Test, Post-Test, and a 3-month Follow-Up</w:t>
      </w:r>
    </w:p>
    <w:p w14:paraId="181FA1F8" w14:textId="77777777" w:rsidR="00FF0381" w:rsidRPr="00A03067" w:rsidRDefault="00FF0381" w:rsidP="00FF0381">
      <w:pPr>
        <w:spacing w:after="0" w:line="240" w:lineRule="auto"/>
        <w:textAlignment w:val="baseline"/>
        <w:rPr>
          <w:rFonts w:eastAsiaTheme="majorEastAsia" w:cs="Arial"/>
          <w:sz w:val="24"/>
          <w:szCs w:val="24"/>
        </w:rPr>
      </w:pPr>
      <w:r w:rsidRPr="00A03067">
        <w:rPr>
          <w:rFonts w:eastAsiaTheme="majorEastAsia" w:cs="Arial"/>
          <w:noProof/>
          <w:sz w:val="24"/>
          <w:szCs w:val="24"/>
        </w:rPr>
        <w:lastRenderedPageBreak/>
        <w:drawing>
          <wp:inline distT="0" distB="0" distL="0" distR="0" wp14:anchorId="4E7830EC" wp14:editId="65FA9C17">
            <wp:extent cx="5980430" cy="2689860"/>
            <wp:effectExtent l="0" t="0" r="1270" b="2540"/>
            <wp:docPr id="391833716" name="Picture 1" descr="A graph of autism characterist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833716" name="Picture 1" descr="A graph of autism characteristics&#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8659" cy="2693561"/>
                    </a:xfrm>
                    <a:prstGeom prst="rect">
                      <a:avLst/>
                    </a:prstGeom>
                    <a:noFill/>
                  </pic:spPr>
                </pic:pic>
              </a:graphicData>
            </a:graphic>
          </wp:inline>
        </w:drawing>
      </w:r>
    </w:p>
    <w:p w14:paraId="10956609" w14:textId="0CB623FF" w:rsidR="00FF0381" w:rsidRPr="00A03067" w:rsidRDefault="00FF0381" w:rsidP="00FF0381">
      <w:pPr>
        <w:spacing w:after="0" w:line="240" w:lineRule="auto"/>
        <w:textAlignment w:val="baseline"/>
        <w:rPr>
          <w:rFonts w:eastAsia="Times New Roman" w:cs="Arial"/>
          <w:sz w:val="24"/>
          <w:szCs w:val="24"/>
        </w:rPr>
      </w:pPr>
    </w:p>
    <w:p w14:paraId="42BAA49D" w14:textId="0CA038B9" w:rsidR="00FF0381" w:rsidRDefault="00FF0381" w:rsidP="009B17A1">
      <w:r w:rsidRPr="00A03067">
        <w:rPr>
          <w:rFonts w:eastAsia="Times New Roman" w:cs="Arial"/>
          <w:noProof/>
          <w:color w:val="C5060B"/>
          <w:sz w:val="24"/>
          <w:szCs w:val="24"/>
        </w:rPr>
        <w:drawing>
          <wp:anchor distT="0" distB="0" distL="114300" distR="114300" simplePos="0" relativeHeight="251659264" behindDoc="0" locked="0" layoutInCell="1" allowOverlap="1" wp14:anchorId="79ACD2C4" wp14:editId="64237F6F">
            <wp:simplePos x="0" y="0"/>
            <wp:positionH relativeFrom="column">
              <wp:posOffset>0</wp:posOffset>
            </wp:positionH>
            <wp:positionV relativeFrom="paragraph">
              <wp:posOffset>119380</wp:posOffset>
            </wp:positionV>
            <wp:extent cx="5980430" cy="2689860"/>
            <wp:effectExtent l="0" t="0" r="1270" b="2540"/>
            <wp:wrapSquare wrapText="bothSides"/>
            <wp:docPr id="898620189" name="Picture 5"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620189" name="Picture 5" descr="A screenshot of a graph&#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980430" cy="2689860"/>
                    </a:xfrm>
                    <a:prstGeom prst="rect">
                      <a:avLst/>
                    </a:prstGeom>
                    <a:noFill/>
                  </pic:spPr>
                </pic:pic>
              </a:graphicData>
            </a:graphic>
            <wp14:sizeRelH relativeFrom="margin">
              <wp14:pctWidth>0</wp14:pctWidth>
            </wp14:sizeRelH>
            <wp14:sizeRelV relativeFrom="margin">
              <wp14:pctHeight>0</wp14:pctHeight>
            </wp14:sizeRelV>
          </wp:anchor>
        </w:drawing>
      </w:r>
    </w:p>
    <w:p w14:paraId="6A890F86" w14:textId="77777777" w:rsidR="00FF0381" w:rsidRDefault="00FF0381" w:rsidP="0064135E">
      <w:pPr>
        <w:jc w:val="center"/>
        <w:rPr>
          <w:b/>
          <w:bCs/>
        </w:rPr>
      </w:pPr>
    </w:p>
    <w:p w14:paraId="65CF3B4A" w14:textId="77777777" w:rsidR="00FF0381" w:rsidRDefault="00FF0381" w:rsidP="0064135E">
      <w:pPr>
        <w:jc w:val="center"/>
        <w:rPr>
          <w:b/>
          <w:bCs/>
        </w:rPr>
      </w:pPr>
    </w:p>
    <w:p w14:paraId="76263233" w14:textId="77777777" w:rsidR="00FF0381" w:rsidRDefault="00FF0381" w:rsidP="0064135E">
      <w:pPr>
        <w:jc w:val="center"/>
        <w:rPr>
          <w:b/>
          <w:bCs/>
        </w:rPr>
      </w:pPr>
    </w:p>
    <w:p w14:paraId="46E7ADAE" w14:textId="77777777" w:rsidR="00FF0381" w:rsidRDefault="00FF0381" w:rsidP="0064135E">
      <w:pPr>
        <w:jc w:val="center"/>
        <w:rPr>
          <w:b/>
          <w:bCs/>
        </w:rPr>
      </w:pPr>
    </w:p>
    <w:p w14:paraId="09FAC726" w14:textId="77777777" w:rsidR="00FF0381" w:rsidRDefault="00FF0381" w:rsidP="0064135E">
      <w:pPr>
        <w:jc w:val="center"/>
        <w:rPr>
          <w:b/>
          <w:bCs/>
        </w:rPr>
      </w:pPr>
    </w:p>
    <w:p w14:paraId="1D87837F" w14:textId="77777777" w:rsidR="00FF0381" w:rsidRDefault="00FF0381" w:rsidP="0064135E">
      <w:pPr>
        <w:jc w:val="center"/>
        <w:rPr>
          <w:b/>
          <w:bCs/>
        </w:rPr>
      </w:pPr>
    </w:p>
    <w:p w14:paraId="274477C6" w14:textId="77777777" w:rsidR="00FF0381" w:rsidRDefault="00FF0381" w:rsidP="0064135E">
      <w:pPr>
        <w:jc w:val="center"/>
        <w:rPr>
          <w:b/>
          <w:bCs/>
        </w:rPr>
      </w:pPr>
    </w:p>
    <w:p w14:paraId="1984815E" w14:textId="05B76283" w:rsidR="00FF0381" w:rsidRDefault="00FF0381" w:rsidP="003E7FAC">
      <w:pPr>
        <w:jc w:val="center"/>
        <w:rPr>
          <w:b/>
          <w:bCs/>
        </w:rPr>
      </w:pPr>
      <w:r w:rsidRPr="00A03067">
        <w:rPr>
          <w:rFonts w:eastAsia="Times New Roman" w:cs="Arial"/>
          <w:noProof/>
          <w:sz w:val="24"/>
          <w:szCs w:val="24"/>
        </w:rPr>
        <w:drawing>
          <wp:inline distT="0" distB="0" distL="0" distR="0" wp14:anchorId="1DF06702" wp14:editId="0A43BFD8">
            <wp:extent cx="5942965" cy="2308860"/>
            <wp:effectExtent l="0" t="0" r="635" b="2540"/>
            <wp:docPr id="35065129" name="Picture 1" descr="A graph with number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65129" name="Picture 1" descr="A graph with numbers and lines&#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4633" cy="2309508"/>
                    </a:xfrm>
                    <a:prstGeom prst="rect">
                      <a:avLst/>
                    </a:prstGeom>
                    <a:noFill/>
                  </pic:spPr>
                </pic:pic>
              </a:graphicData>
            </a:graphic>
          </wp:inline>
        </w:drawing>
      </w:r>
    </w:p>
    <w:p w14:paraId="6F13206B" w14:textId="01183A62" w:rsidR="0064135E" w:rsidRPr="00163A52" w:rsidRDefault="0064135E" w:rsidP="0064135E">
      <w:pPr>
        <w:jc w:val="center"/>
        <w:rPr>
          <w:b/>
          <w:bCs/>
        </w:rPr>
      </w:pPr>
      <w:r w:rsidRPr="00163A52">
        <w:rPr>
          <w:b/>
          <w:bCs/>
        </w:rPr>
        <w:lastRenderedPageBreak/>
        <w:t xml:space="preserve">Paper </w:t>
      </w:r>
      <w:r>
        <w:rPr>
          <w:b/>
          <w:bCs/>
        </w:rPr>
        <w:t>2</w:t>
      </w:r>
      <w:r w:rsidRPr="00163A52">
        <w:rPr>
          <w:b/>
          <w:bCs/>
        </w:rPr>
        <w:t xml:space="preserve"> of </w:t>
      </w:r>
      <w:r>
        <w:rPr>
          <w:b/>
          <w:bCs/>
        </w:rPr>
        <w:t>4</w:t>
      </w:r>
    </w:p>
    <w:p w14:paraId="4BCF8EC6" w14:textId="7E3300EC" w:rsidR="0064135E" w:rsidRDefault="0064135E" w:rsidP="0064135E">
      <w:r w:rsidRPr="002A64F0">
        <w:rPr>
          <w:b/>
          <w:bCs/>
        </w:rPr>
        <w:t>Paper Title</w:t>
      </w:r>
      <w:r>
        <w:t xml:space="preserve">: </w:t>
      </w:r>
      <w:r w:rsidR="003D422A" w:rsidRPr="003D422A">
        <w:rPr>
          <w:bCs/>
        </w:rPr>
        <w:t xml:space="preserve">Initial Findings from a Hybrid Type I RCT of </w:t>
      </w:r>
      <w:proofErr w:type="spellStart"/>
      <w:r w:rsidR="003D422A" w:rsidRPr="003D422A">
        <w:rPr>
          <w:bCs/>
        </w:rPr>
        <w:t>WorkChat</w:t>
      </w:r>
      <w:proofErr w:type="spellEnd"/>
      <w:r w:rsidR="003D422A" w:rsidRPr="003D422A">
        <w:rPr>
          <w:bCs/>
        </w:rPr>
        <w:t>: A Virtual Workday for Autistic Transition-Age Youth Delivered in Pre-Employment Transition Services</w:t>
      </w:r>
      <w:r w:rsidR="00934F6F">
        <w:rPr>
          <w:bCs/>
        </w:rPr>
        <w:t>.</w:t>
      </w:r>
    </w:p>
    <w:p w14:paraId="74A51CF7" w14:textId="3513B9FF" w:rsidR="0064135E" w:rsidRDefault="0064135E" w:rsidP="0064135E">
      <w:r w:rsidRPr="002A64F0">
        <w:rPr>
          <w:b/>
          <w:bCs/>
        </w:rPr>
        <w:t>Authors</w:t>
      </w:r>
      <w:r>
        <w:t xml:space="preserve">: </w:t>
      </w:r>
      <w:r w:rsidR="003D422A">
        <w:t>Matthew J. Smith</w:t>
      </w:r>
      <w:r w:rsidR="00FF0381">
        <w:rPr>
          <w:rStyle w:val="FootnoteReference"/>
        </w:rPr>
        <w:t>1</w:t>
      </w:r>
      <w:r w:rsidR="003D422A">
        <w:t xml:space="preserve">, </w:t>
      </w:r>
      <w:r w:rsidR="00D95016">
        <w:t>Kari Sherwood</w:t>
      </w:r>
      <w:r w:rsidR="00FF0381">
        <w:rPr>
          <w:rStyle w:val="FootnoteReference"/>
        </w:rPr>
        <w:t>1</w:t>
      </w:r>
      <w:r w:rsidR="003D422A">
        <w:t>,</w:t>
      </w:r>
      <w:r w:rsidR="003D422A" w:rsidRPr="003D422A">
        <w:t xml:space="preserve"> </w:t>
      </w:r>
      <w:r w:rsidR="00D95016">
        <w:t>Connie Sung</w:t>
      </w:r>
      <w:r w:rsidR="003D422A">
        <w:rPr>
          <w:rStyle w:val="FootnoteReference"/>
        </w:rPr>
        <w:footnoteReference w:id="4"/>
      </w:r>
      <w:r w:rsidR="003D422A">
        <w:t>,</w:t>
      </w:r>
      <w:r w:rsidR="003D422A" w:rsidRPr="003D422A">
        <w:t xml:space="preserve"> </w:t>
      </w:r>
      <w:r w:rsidR="00D95016">
        <w:t>Ed-Dee William</w:t>
      </w:r>
      <w:r w:rsidR="003D422A">
        <w:rPr>
          <w:rStyle w:val="FootnoteReference"/>
        </w:rPr>
        <w:footnoteReference w:id="5"/>
      </w:r>
      <w:r w:rsidR="003D422A">
        <w:t>,</w:t>
      </w:r>
      <w:r w:rsidR="003D422A" w:rsidRPr="003D422A">
        <w:t xml:space="preserve"> </w:t>
      </w:r>
      <w:r w:rsidR="00D95016">
        <w:t>Brittany Ross</w:t>
      </w:r>
      <w:r w:rsidR="00D95016">
        <w:rPr>
          <w:rStyle w:val="FootnoteReference"/>
        </w:rPr>
        <w:t>4</w:t>
      </w:r>
      <w:r w:rsidR="003D422A">
        <w:t>,</w:t>
      </w:r>
      <w:r w:rsidR="00D95016" w:rsidRPr="00D95016">
        <w:t xml:space="preserve"> </w:t>
      </w:r>
      <w:r w:rsidR="00D95016">
        <w:t>Apara Sharma</w:t>
      </w:r>
      <w:r w:rsidR="00D95016">
        <w:rPr>
          <w:rStyle w:val="FootnoteReference"/>
        </w:rPr>
        <w:t>4</w:t>
      </w:r>
      <w:r w:rsidR="00D95016">
        <w:t>,</w:t>
      </w:r>
      <w:r w:rsidR="00D95016" w:rsidRPr="00D95016">
        <w:t xml:space="preserve"> </w:t>
      </w:r>
      <w:r w:rsidR="00D95016">
        <w:t>Cheryl Brown</w:t>
      </w:r>
      <w:r w:rsidR="00D95016">
        <w:rPr>
          <w:rStyle w:val="FootnoteReference"/>
        </w:rPr>
        <w:footnoteReference w:id="6"/>
      </w:r>
      <w:r w:rsidR="00D95016">
        <w:t>,</w:t>
      </w:r>
      <w:r w:rsidR="00D95016" w:rsidRPr="00D95016">
        <w:t xml:space="preserve"> </w:t>
      </w:r>
      <w:r w:rsidR="00D95016">
        <w:t>David Telfer</w:t>
      </w:r>
      <w:r w:rsidR="00D95016">
        <w:rPr>
          <w:rStyle w:val="FootnoteReference"/>
        </w:rPr>
        <w:footnoteReference w:id="7"/>
      </w:r>
      <w:r w:rsidR="00D95016">
        <w:t>,</w:t>
      </w:r>
      <w:r w:rsidR="00D95016" w:rsidRPr="00D95016">
        <w:t xml:space="preserve"> </w:t>
      </w:r>
      <w:r w:rsidR="00D95016">
        <w:t>Justine Bond</w:t>
      </w:r>
      <w:r w:rsidR="00D95016">
        <w:rPr>
          <w:rStyle w:val="FootnoteReference"/>
        </w:rPr>
        <w:footnoteReference w:id="8"/>
      </w:r>
      <w:r w:rsidR="00D95016">
        <w:t>,</w:t>
      </w:r>
      <w:r w:rsidR="00D95016" w:rsidRPr="00D95016">
        <w:t xml:space="preserve"> </w:t>
      </w:r>
      <w:r w:rsidR="00D95016">
        <w:t>Sen Toda</w:t>
      </w:r>
      <w:r w:rsidR="00D95016">
        <w:rPr>
          <w:rStyle w:val="FootnoteReference"/>
        </w:rPr>
        <w:footnoteReference w:id="9"/>
      </w:r>
      <w:r w:rsidR="00D95016">
        <w:t>,</w:t>
      </w:r>
      <w:r w:rsidR="00D95016" w:rsidRPr="00D95016">
        <w:t xml:space="preserve"> </w:t>
      </w:r>
      <w:r w:rsidR="00D95016">
        <w:t>David Kearon</w:t>
      </w:r>
      <w:r w:rsidR="00D95016">
        <w:rPr>
          <w:rStyle w:val="FootnoteReference"/>
        </w:rPr>
        <w:footnoteReference w:id="10"/>
      </w:r>
      <w:r w:rsidR="00D95016">
        <w:t>,</w:t>
      </w:r>
      <w:r w:rsidR="00D95016" w:rsidRPr="00D95016">
        <w:t xml:space="preserve"> </w:t>
      </w:r>
      <w:r w:rsidR="00D95016">
        <w:t>Shelby Morrow</w:t>
      </w:r>
      <w:r w:rsidR="00D95016">
        <w:rPr>
          <w:rStyle w:val="FootnoteReference"/>
        </w:rPr>
        <w:footnoteReference w:id="11"/>
      </w:r>
      <w:r w:rsidR="00D95016">
        <w:t>,</w:t>
      </w:r>
      <w:r w:rsidR="00D95016" w:rsidRPr="00D95016">
        <w:t xml:space="preserve"> </w:t>
      </w:r>
      <w:r w:rsidR="00D95016">
        <w:t>Temple Lovelace</w:t>
      </w:r>
      <w:r w:rsidR="00D95016">
        <w:rPr>
          <w:rStyle w:val="FootnoteReference"/>
        </w:rPr>
        <w:footnoteReference w:id="12"/>
      </w:r>
      <w:r w:rsidR="00D95016">
        <w:t>,</w:t>
      </w:r>
      <w:r w:rsidR="00D95016" w:rsidRPr="00D95016">
        <w:t xml:space="preserve"> </w:t>
      </w:r>
      <w:r w:rsidR="00D95016">
        <w:t xml:space="preserve">Sarah </w:t>
      </w:r>
      <w:proofErr w:type="spellStart"/>
      <w:r w:rsidR="00D95016">
        <w:t>Dababnah</w:t>
      </w:r>
      <w:proofErr w:type="spellEnd"/>
      <w:r w:rsidR="00D95016">
        <w:rPr>
          <w:rStyle w:val="FootnoteReference"/>
        </w:rPr>
        <w:footnoteReference w:id="13"/>
      </w:r>
      <w:r w:rsidR="00D95016">
        <w:t>,</w:t>
      </w:r>
      <w:r w:rsidR="00D95016" w:rsidRPr="00D95016">
        <w:t xml:space="preserve"> </w:t>
      </w:r>
      <w:r w:rsidR="00D95016">
        <w:t>Shanna K. Kattari</w:t>
      </w:r>
      <w:r w:rsidR="00D95016">
        <w:rPr>
          <w:rStyle w:val="FootnoteReference"/>
        </w:rPr>
        <w:t>4</w:t>
      </w:r>
      <w:r w:rsidR="00D95016">
        <w:t>,</w:t>
      </w:r>
      <w:r w:rsidR="00D95016" w:rsidRPr="00D95016">
        <w:t xml:space="preserve"> </w:t>
      </w:r>
      <w:r w:rsidR="00D95016">
        <w:t xml:space="preserve">Sandra </w:t>
      </w:r>
      <w:proofErr w:type="spellStart"/>
      <w:r w:rsidR="00D95016">
        <w:t>Maga</w:t>
      </w:r>
      <w:r w:rsidR="00D95016" w:rsidRPr="00D95016">
        <w:rPr>
          <w:rFonts w:cs="Arial"/>
          <w:bCs/>
          <w:szCs w:val="20"/>
        </w:rPr>
        <w:t>ñ</w:t>
      </w:r>
      <w:r w:rsidR="00D95016">
        <w:t>a</w:t>
      </w:r>
      <w:proofErr w:type="spellEnd"/>
      <w:r w:rsidR="00D95016">
        <w:rPr>
          <w:rStyle w:val="FootnoteReference"/>
        </w:rPr>
        <w:footnoteReference w:id="14"/>
      </w:r>
      <w:r w:rsidR="00D95016">
        <w:t>,</w:t>
      </w:r>
      <w:r w:rsidR="00D95016" w:rsidRPr="00D95016">
        <w:t xml:space="preserve"> </w:t>
      </w:r>
      <w:proofErr w:type="spellStart"/>
      <w:r w:rsidR="00D95016">
        <w:t>Tikia</w:t>
      </w:r>
      <w:proofErr w:type="spellEnd"/>
      <w:r w:rsidR="00D95016">
        <w:t xml:space="preserve"> Watkins</w:t>
      </w:r>
      <w:r w:rsidR="00D95016">
        <w:rPr>
          <w:rStyle w:val="FootnoteReference"/>
        </w:rPr>
        <w:footnoteReference w:id="15"/>
      </w:r>
      <w:r w:rsidR="00D95016">
        <w:t>,</w:t>
      </w:r>
      <w:r w:rsidR="00D95016" w:rsidRPr="00D95016">
        <w:t xml:space="preserve"> </w:t>
      </w:r>
      <w:r w:rsidR="00D95016">
        <w:t>Caleb Liggett</w:t>
      </w:r>
      <w:r w:rsidR="00841BAA">
        <w:rPr>
          <w:rStyle w:val="FootnoteReference"/>
        </w:rPr>
        <w:t>8</w:t>
      </w:r>
      <w:r w:rsidR="00D95016">
        <w:t>,</w:t>
      </w:r>
      <w:r w:rsidR="00D95016" w:rsidRPr="00D95016">
        <w:t xml:space="preserve"> </w:t>
      </w:r>
      <w:r w:rsidR="00D95016">
        <w:t>Edwina Riddle</w:t>
      </w:r>
      <w:r w:rsidR="00D95016">
        <w:rPr>
          <w:rStyle w:val="FootnoteReference"/>
        </w:rPr>
        <w:footnoteReference w:id="16"/>
      </w:r>
      <w:r w:rsidR="00D95016">
        <w:t>,</w:t>
      </w:r>
      <w:r w:rsidR="00D95016" w:rsidRPr="00D95016">
        <w:t xml:space="preserve"> </w:t>
      </w:r>
      <w:r w:rsidR="00D95016">
        <w:t>Justin D. Smith</w:t>
      </w:r>
      <w:r w:rsidR="00D95016">
        <w:rPr>
          <w:rStyle w:val="FootnoteReference"/>
        </w:rPr>
        <w:footnoteReference w:id="17"/>
      </w:r>
      <w:r w:rsidR="00D95016">
        <w:t>,</w:t>
      </w:r>
      <w:r w:rsidR="00D95016" w:rsidRPr="00D95016">
        <w:t xml:space="preserve"> </w:t>
      </w:r>
      <w:r w:rsidR="00D95016">
        <w:t>Kara Hume</w:t>
      </w:r>
      <w:r w:rsidR="00D95016">
        <w:rPr>
          <w:rStyle w:val="FootnoteReference"/>
        </w:rPr>
        <w:footnoteReference w:id="18"/>
      </w:r>
      <w:r w:rsidR="00D95016">
        <w:t>,</w:t>
      </w:r>
      <w:r w:rsidR="00D95016" w:rsidRPr="00D95016">
        <w:t xml:space="preserve"> </w:t>
      </w:r>
      <w:r w:rsidR="00D95016">
        <w:t>Tamara Dawkins</w:t>
      </w:r>
      <w:r w:rsidR="00D95016">
        <w:rPr>
          <w:rStyle w:val="FootnoteReference"/>
        </w:rPr>
        <w:t>2</w:t>
      </w:r>
      <w:r w:rsidR="00D95016" w:rsidRPr="00D95016">
        <w:rPr>
          <w:vertAlign w:val="superscript"/>
        </w:rPr>
        <w:t>0</w:t>
      </w:r>
      <w:r w:rsidR="00D95016">
        <w:t>,</w:t>
      </w:r>
      <w:r w:rsidR="00D95016" w:rsidRPr="00D95016">
        <w:t xml:space="preserve"> </w:t>
      </w:r>
      <w:r w:rsidR="00D95016">
        <w:t>Mary Baker-</w:t>
      </w:r>
      <w:proofErr w:type="spellStart"/>
      <w:r w:rsidR="00D95016">
        <w:t>Ericzen</w:t>
      </w:r>
      <w:proofErr w:type="spellEnd"/>
      <w:r w:rsidR="00D95016">
        <w:rPr>
          <w:rStyle w:val="FootnoteReference"/>
        </w:rPr>
        <w:footnoteReference w:id="19"/>
      </w:r>
      <w:r w:rsidR="00D95016">
        <w:t>,</w:t>
      </w:r>
      <w:r w:rsidR="00D95016" w:rsidRPr="00D95016">
        <w:t xml:space="preserve"> </w:t>
      </w:r>
      <w:r w:rsidR="00D95016">
        <w:t xml:space="preserve">Shaun M. </w:t>
      </w:r>
      <w:proofErr w:type="spellStart"/>
      <w:r w:rsidR="00D95016">
        <w:t>Eack</w:t>
      </w:r>
      <w:proofErr w:type="spellEnd"/>
      <w:r w:rsidR="00D95016">
        <w:rPr>
          <w:rStyle w:val="FootnoteReference"/>
        </w:rPr>
        <w:footnoteReference w:id="20"/>
      </w:r>
      <w:r w:rsidR="00D95016">
        <w:t>,</w:t>
      </w:r>
      <w:r w:rsidR="00D95016" w:rsidRPr="00D95016">
        <w:t xml:space="preserve"> </w:t>
      </w:r>
      <w:r w:rsidR="00D95016">
        <w:t>Jane K. Burke-Miller</w:t>
      </w:r>
      <w:r w:rsidR="00D95016">
        <w:rPr>
          <w:rStyle w:val="FootnoteReference"/>
        </w:rPr>
        <w:footnoteReference w:id="21"/>
      </w:r>
      <w:r w:rsidR="00D95016">
        <w:t>,</w:t>
      </w:r>
      <w:r w:rsidR="00D95016" w:rsidRPr="00D95016">
        <w:t xml:space="preserve"> </w:t>
      </w:r>
      <w:r w:rsidR="00D95016">
        <w:t>Dale Olsen</w:t>
      </w:r>
      <w:r w:rsidR="00D95016">
        <w:rPr>
          <w:rStyle w:val="FootnoteReference"/>
        </w:rPr>
        <w:footnoteReference w:id="22"/>
      </w:r>
      <w:r w:rsidR="00D95016">
        <w:t>,</w:t>
      </w:r>
      <w:r w:rsidR="00D95016" w:rsidRPr="00D95016">
        <w:t xml:space="preserve"> </w:t>
      </w:r>
      <w:r w:rsidR="00D95016">
        <w:t>Jeff Elkins</w:t>
      </w:r>
      <w:r w:rsidR="00D95016">
        <w:rPr>
          <w:rStyle w:val="FootnoteReference"/>
        </w:rPr>
        <w:t>2</w:t>
      </w:r>
      <w:r w:rsidR="00D95016" w:rsidRPr="00D95016">
        <w:rPr>
          <w:vertAlign w:val="superscript"/>
        </w:rPr>
        <w:t>4</w:t>
      </w:r>
      <w:r w:rsidR="00D95016">
        <w:t>,</w:t>
      </w:r>
      <w:r w:rsidR="00D95016" w:rsidRPr="00D95016">
        <w:t xml:space="preserve"> </w:t>
      </w:r>
      <w:r w:rsidR="00D95016">
        <w:t>Laura Humm</w:t>
      </w:r>
      <w:r w:rsidR="00D95016">
        <w:rPr>
          <w:rStyle w:val="FootnoteReference"/>
        </w:rPr>
        <w:t>2</w:t>
      </w:r>
      <w:r w:rsidR="00D95016" w:rsidRPr="00D95016">
        <w:rPr>
          <w:vertAlign w:val="superscript"/>
        </w:rPr>
        <w:t>4</w:t>
      </w:r>
      <w:r w:rsidR="00D95016">
        <w:t>,</w:t>
      </w:r>
      <w:r w:rsidR="00D95016" w:rsidRPr="00D95016">
        <w:t xml:space="preserve"> </w:t>
      </w:r>
      <w:r w:rsidR="00D95016">
        <w:t>Chris Steacy</w:t>
      </w:r>
      <w:r w:rsidR="00D95016">
        <w:rPr>
          <w:rStyle w:val="FootnoteReference"/>
        </w:rPr>
        <w:t>2</w:t>
      </w:r>
      <w:r w:rsidR="00D95016" w:rsidRPr="00D95016">
        <w:rPr>
          <w:vertAlign w:val="superscript"/>
        </w:rPr>
        <w:t>4</w:t>
      </w:r>
      <w:r w:rsidR="00D95016">
        <w:t>.</w:t>
      </w:r>
    </w:p>
    <w:p w14:paraId="7D55242A" w14:textId="1A640889" w:rsidR="0064135E" w:rsidRPr="003E7FAC" w:rsidRDefault="0064135E" w:rsidP="00FF0381">
      <w:pPr>
        <w:spacing w:after="120"/>
        <w:ind w:firstLine="360"/>
        <w:jc w:val="both"/>
        <w:rPr>
          <w:rFonts w:cs="Arial"/>
          <w:szCs w:val="20"/>
        </w:rPr>
      </w:pPr>
      <w:r w:rsidRPr="003E7FAC">
        <w:rPr>
          <w:b/>
          <w:bCs/>
          <w:szCs w:val="20"/>
        </w:rPr>
        <w:t>Introduction</w:t>
      </w:r>
      <w:r w:rsidRPr="003E7FAC">
        <w:rPr>
          <w:szCs w:val="20"/>
        </w:rPr>
        <w:t xml:space="preserve">: </w:t>
      </w:r>
      <w:r w:rsidR="00FF0381" w:rsidRPr="003E7FAC">
        <w:rPr>
          <w:rFonts w:cs="Arial"/>
          <w:szCs w:val="20"/>
        </w:rPr>
        <w:t xml:space="preserve">Nearly 50,000 autistic youth transition from high school to adult life each year </w:t>
      </w:r>
      <w:r w:rsidR="00FF0381" w:rsidRPr="003E7FAC">
        <w:rPr>
          <w:rFonts w:cs="Arial"/>
          <w:szCs w:val="20"/>
        </w:rPr>
        <w:t>(XX)</w:t>
      </w:r>
      <w:r w:rsidR="00FF0381" w:rsidRPr="003E7FAC">
        <w:rPr>
          <w:rFonts w:cs="Arial"/>
          <w:szCs w:val="20"/>
        </w:rPr>
        <w:t xml:space="preserve"> with only 25% of these transition-age youth getting jobs within 2 years of graduation </w:t>
      </w:r>
      <w:r w:rsidR="00FF0381" w:rsidRPr="003E7FAC">
        <w:rPr>
          <w:rFonts w:cs="Arial"/>
          <w:szCs w:val="20"/>
        </w:rPr>
        <w:t>(Taylor &amp; Seltzer, 2011)</w:t>
      </w:r>
      <w:r w:rsidR="00FF0381" w:rsidRPr="003E7FAC">
        <w:rPr>
          <w:rFonts w:cs="Arial"/>
          <w:szCs w:val="20"/>
        </w:rPr>
        <w:t xml:space="preserve">. The ability to sustain employment is even more challenging given their communication skills do not meet the expectation of an allistic (i.e., non-autistic) world </w:t>
      </w:r>
      <w:r w:rsidR="00445FA4" w:rsidRPr="003E7FAC">
        <w:rPr>
          <w:rFonts w:cs="Arial"/>
          <w:szCs w:val="20"/>
        </w:rPr>
        <w:t>(</w:t>
      </w:r>
      <w:r w:rsidR="00445FA4" w:rsidRPr="003E7FAC">
        <w:rPr>
          <w:szCs w:val="20"/>
        </w:rPr>
        <w:t>Southey</w:t>
      </w:r>
      <w:r w:rsidR="00445FA4" w:rsidRPr="003E7FAC">
        <w:rPr>
          <w:szCs w:val="20"/>
        </w:rPr>
        <w:t xml:space="preserve"> et al., 2024</w:t>
      </w:r>
      <w:r w:rsidR="00445FA4" w:rsidRPr="003E7FAC">
        <w:rPr>
          <w:rFonts w:cs="Arial"/>
          <w:szCs w:val="20"/>
        </w:rPr>
        <w:t>)</w:t>
      </w:r>
      <w:r w:rsidR="00FF0381" w:rsidRPr="003E7FAC">
        <w:rPr>
          <w:rFonts w:cs="Arial"/>
          <w:szCs w:val="20"/>
        </w:rPr>
        <w:t>,  limited availability of and access to evidence-based practices to help facilitate conversational skills, and the lack of training provided by employers  to contextualize how coworkers can communicate more effectively with an autistic person</w:t>
      </w:r>
      <w:r w:rsidR="00445FA4" w:rsidRPr="003E7FAC">
        <w:rPr>
          <w:rFonts w:cs="Arial"/>
          <w:szCs w:val="20"/>
        </w:rPr>
        <w:t xml:space="preserve"> (</w:t>
      </w:r>
      <w:r w:rsidR="00445FA4" w:rsidRPr="003E7FAC">
        <w:rPr>
          <w:szCs w:val="20"/>
        </w:rPr>
        <w:t>Roux</w:t>
      </w:r>
      <w:r w:rsidR="00445FA4" w:rsidRPr="003E7FAC">
        <w:rPr>
          <w:szCs w:val="20"/>
        </w:rPr>
        <w:t xml:space="preserve"> et al., 2023</w:t>
      </w:r>
      <w:r w:rsidR="00445FA4" w:rsidRPr="003E7FAC">
        <w:rPr>
          <w:rFonts w:cs="Arial"/>
          <w:szCs w:val="20"/>
        </w:rPr>
        <w:t>)</w:t>
      </w:r>
      <w:r w:rsidR="00FF0381" w:rsidRPr="003E7FAC">
        <w:rPr>
          <w:rFonts w:cs="Arial"/>
          <w:szCs w:val="20"/>
        </w:rPr>
        <w:t>. Thus, autistic transition-age youth are at a disadvantage in effectively communicating with customers, coworkers, and supervisors in a work setting, which has been identified as a critical barriers to successfully sustaining employment</w:t>
      </w:r>
      <w:r w:rsidR="003E7FAC" w:rsidRPr="003E7FAC">
        <w:rPr>
          <w:rFonts w:cs="Arial"/>
          <w:szCs w:val="20"/>
        </w:rPr>
        <w:t xml:space="preserve"> (Chen et al., 2015)</w:t>
      </w:r>
      <w:r w:rsidR="00FF0381" w:rsidRPr="003E7FAC">
        <w:rPr>
          <w:rFonts w:cs="Arial"/>
          <w:szCs w:val="20"/>
        </w:rPr>
        <w:t>.</w:t>
      </w:r>
      <w:r w:rsidR="00FF0381" w:rsidRPr="003E7FAC">
        <w:rPr>
          <w:rFonts w:cs="Arial"/>
          <w:szCs w:val="20"/>
        </w:rPr>
        <w:t xml:space="preserve"> </w:t>
      </w:r>
      <w:r w:rsidR="00FF0381" w:rsidRPr="003E7FAC">
        <w:rPr>
          <w:szCs w:val="20"/>
        </w:rPr>
        <w:t>Notably, t</w:t>
      </w:r>
      <w:r w:rsidR="00FD0314" w:rsidRPr="003E7FAC">
        <w:rPr>
          <w:szCs w:val="20"/>
        </w:rPr>
        <w:t>he field lacks evidence-based practices for workplace conversational skills. Thus, we partnered with 45 autistic transition-age youth, 10 vocational counselors, and community, diversity, and scientific advisory boards to develop “</w:t>
      </w:r>
      <w:proofErr w:type="spellStart"/>
      <w:r w:rsidR="00FD0314" w:rsidRPr="003E7FAC">
        <w:rPr>
          <w:szCs w:val="20"/>
        </w:rPr>
        <w:t>WorkChat</w:t>
      </w:r>
      <w:proofErr w:type="spellEnd"/>
      <w:r w:rsidR="00FD0314" w:rsidRPr="003E7FAC">
        <w:rPr>
          <w:szCs w:val="20"/>
        </w:rPr>
        <w:t xml:space="preserve">: A Virtual Workday.” </w:t>
      </w:r>
      <w:proofErr w:type="spellStart"/>
      <w:r w:rsidR="00FD0314" w:rsidRPr="003E7FAC">
        <w:rPr>
          <w:szCs w:val="20"/>
        </w:rPr>
        <w:t>WorkChat</w:t>
      </w:r>
      <w:proofErr w:type="spellEnd"/>
      <w:r w:rsidR="00FD0314" w:rsidRPr="003E7FAC">
        <w:rPr>
          <w:szCs w:val="20"/>
        </w:rPr>
        <w:t xml:space="preserve"> is a safe, virtual platform where trainees practice talking with virtual customers, coworkers, and supervisors (depicted by actors) with varying personalities. </w:t>
      </w:r>
      <w:proofErr w:type="spellStart"/>
      <w:r w:rsidR="00FD0314" w:rsidRPr="003E7FAC">
        <w:rPr>
          <w:szCs w:val="20"/>
        </w:rPr>
        <w:t>WorkChat</w:t>
      </w:r>
      <w:proofErr w:type="spellEnd"/>
      <w:r w:rsidR="00FD0314" w:rsidRPr="003E7FAC">
        <w:rPr>
          <w:szCs w:val="20"/>
        </w:rPr>
        <w:t xml:space="preserve"> provides automated feedback to help guide trainees.</w:t>
      </w:r>
      <w:r w:rsidR="00FD0314" w:rsidRPr="003E7FAC">
        <w:rPr>
          <w:szCs w:val="20"/>
        </w:rPr>
        <w:t xml:space="preserve"> Thus, this study </w:t>
      </w:r>
      <w:r w:rsidR="00FD0314" w:rsidRPr="003E7FAC">
        <w:rPr>
          <w:szCs w:val="20"/>
        </w:rPr>
        <w:t>conduct</w:t>
      </w:r>
      <w:r w:rsidR="00FD0314" w:rsidRPr="003E7FAC">
        <w:rPr>
          <w:szCs w:val="20"/>
        </w:rPr>
        <w:t>ed</w:t>
      </w:r>
      <w:r w:rsidR="00FD0314" w:rsidRPr="003E7FAC">
        <w:rPr>
          <w:szCs w:val="20"/>
        </w:rPr>
        <w:t xml:space="preserve"> a Hybrid Type I RCT to evaluate whether </w:t>
      </w:r>
      <w:proofErr w:type="spellStart"/>
      <w:r w:rsidR="00FD0314" w:rsidRPr="003E7FAC">
        <w:rPr>
          <w:szCs w:val="20"/>
        </w:rPr>
        <w:t>WorkChat</w:t>
      </w:r>
      <w:proofErr w:type="spellEnd"/>
      <w:r w:rsidR="00FD0314" w:rsidRPr="003E7FAC">
        <w:rPr>
          <w:szCs w:val="20"/>
        </w:rPr>
        <w:t xml:space="preserve"> improves conversational skills, social cognition, </w:t>
      </w:r>
      <w:r w:rsidR="00FD0314" w:rsidRPr="003E7FAC">
        <w:rPr>
          <w:szCs w:val="20"/>
        </w:rPr>
        <w:lastRenderedPageBreak/>
        <w:t xml:space="preserve">and social anxiety beyond services-as-usual along with evaluating the acceptability and feasibility of </w:t>
      </w:r>
      <w:proofErr w:type="spellStart"/>
      <w:r w:rsidR="00FD0314" w:rsidRPr="003E7FAC">
        <w:rPr>
          <w:szCs w:val="20"/>
        </w:rPr>
        <w:t>WorkChat</w:t>
      </w:r>
      <w:proofErr w:type="spellEnd"/>
      <w:r w:rsidR="00FD0314" w:rsidRPr="003E7FAC">
        <w:rPr>
          <w:szCs w:val="20"/>
        </w:rPr>
        <w:t xml:space="preserve"> implementation.</w:t>
      </w:r>
    </w:p>
    <w:p w14:paraId="465969F3" w14:textId="4A844328" w:rsidR="0064135E" w:rsidRPr="003E7FAC" w:rsidRDefault="0064135E" w:rsidP="0064135E">
      <w:pPr>
        <w:rPr>
          <w:szCs w:val="20"/>
        </w:rPr>
      </w:pPr>
      <w:r w:rsidRPr="003E7FAC">
        <w:rPr>
          <w:b/>
          <w:bCs/>
          <w:szCs w:val="20"/>
        </w:rPr>
        <w:t>Method</w:t>
      </w:r>
      <w:r w:rsidRPr="003E7FAC">
        <w:rPr>
          <w:szCs w:val="20"/>
        </w:rPr>
        <w:t xml:space="preserve">: </w:t>
      </w:r>
      <w:r w:rsidR="009D4DF8" w:rsidRPr="003E7FAC">
        <w:rPr>
          <w:szCs w:val="20"/>
        </w:rPr>
        <w:t xml:space="preserve">We partnered with four post-secondary pre-employment transition services (Pre-ETS) programs who implemented </w:t>
      </w:r>
      <w:proofErr w:type="spellStart"/>
      <w:r w:rsidR="009D4DF8" w:rsidRPr="003E7FAC">
        <w:rPr>
          <w:szCs w:val="20"/>
        </w:rPr>
        <w:t>WorkChat</w:t>
      </w:r>
      <w:proofErr w:type="spellEnd"/>
      <w:r w:rsidR="009D4DF8" w:rsidRPr="003E7FAC">
        <w:rPr>
          <w:szCs w:val="20"/>
        </w:rPr>
        <w:t xml:space="preserve">. Autism was validated with individualized education programs or a standardized assessment. We measured outcomes via live role-plays (processed from 13 of 45 participants to date), social cognitive assessments and self-report measures (validated among autistic people). We conducted repeated measures analysis of variance with partial eta-squared (η2p) effect sizes (η2p ≥ .14 = large effect) to compare the group-by-time interaction among SAU with </w:t>
      </w:r>
      <w:proofErr w:type="spellStart"/>
      <w:r w:rsidR="009D4DF8" w:rsidRPr="003E7FAC">
        <w:rPr>
          <w:szCs w:val="20"/>
        </w:rPr>
        <w:t>WorkChat</w:t>
      </w:r>
      <w:proofErr w:type="spellEnd"/>
      <w:r w:rsidR="009D4DF8" w:rsidRPr="003E7FAC">
        <w:rPr>
          <w:szCs w:val="20"/>
        </w:rPr>
        <w:t xml:space="preserve"> (</w:t>
      </w:r>
      <w:proofErr w:type="spellStart"/>
      <w:r w:rsidR="009D4DF8" w:rsidRPr="003E7FAC">
        <w:rPr>
          <w:szCs w:val="20"/>
        </w:rPr>
        <w:t>SAU+WorkChat</w:t>
      </w:r>
      <w:proofErr w:type="spellEnd"/>
      <w:r w:rsidR="009D4DF8" w:rsidRPr="003E7FAC">
        <w:rPr>
          <w:szCs w:val="20"/>
        </w:rPr>
        <w:t xml:space="preserve">) to SAU only. Twenty-one Pre-ETS staff and twenty youth completed surveys and interviews assessing </w:t>
      </w:r>
      <w:proofErr w:type="spellStart"/>
      <w:r w:rsidR="009D4DF8" w:rsidRPr="003E7FAC">
        <w:rPr>
          <w:szCs w:val="20"/>
        </w:rPr>
        <w:t>WorkChat</w:t>
      </w:r>
      <w:proofErr w:type="spellEnd"/>
      <w:r w:rsidR="009D4DF8" w:rsidRPr="003E7FAC">
        <w:rPr>
          <w:szCs w:val="20"/>
        </w:rPr>
        <w:t xml:space="preserve"> acceptability and feasibility.</w:t>
      </w:r>
    </w:p>
    <w:p w14:paraId="6F427181" w14:textId="45BF78C0" w:rsidR="0064135E" w:rsidRPr="003E7FAC" w:rsidRDefault="0064135E" w:rsidP="0064135E">
      <w:pPr>
        <w:rPr>
          <w:szCs w:val="20"/>
        </w:rPr>
      </w:pPr>
      <w:r w:rsidRPr="003E7FAC">
        <w:rPr>
          <w:b/>
          <w:bCs/>
          <w:szCs w:val="20"/>
        </w:rPr>
        <w:t>Results</w:t>
      </w:r>
      <w:r w:rsidRPr="003E7FAC">
        <w:rPr>
          <w:szCs w:val="20"/>
        </w:rPr>
        <w:t xml:space="preserve">: </w:t>
      </w:r>
      <w:r w:rsidR="009D4DF8" w:rsidRPr="003E7FAC">
        <w:rPr>
          <w:szCs w:val="20"/>
        </w:rPr>
        <w:t>Forty-</w:t>
      </w:r>
      <w:r w:rsidR="009D4DF8" w:rsidRPr="003E7FAC">
        <w:rPr>
          <w:szCs w:val="20"/>
        </w:rPr>
        <w:t>four</w:t>
      </w:r>
      <w:r w:rsidR="009D4DF8" w:rsidRPr="003E7FAC">
        <w:rPr>
          <w:szCs w:val="20"/>
        </w:rPr>
        <w:t xml:space="preserve"> participants (ages 18 to 26) were randomized to </w:t>
      </w:r>
      <w:proofErr w:type="spellStart"/>
      <w:r w:rsidR="009D4DF8" w:rsidRPr="003E7FAC">
        <w:rPr>
          <w:szCs w:val="20"/>
        </w:rPr>
        <w:t>SAU+WorkChat</w:t>
      </w:r>
      <w:proofErr w:type="spellEnd"/>
      <w:r w:rsidR="009D4DF8" w:rsidRPr="003E7FAC">
        <w:rPr>
          <w:szCs w:val="20"/>
        </w:rPr>
        <w:t xml:space="preserve"> or SAU only and completed pre-test and post-test assessments. We found two significant group-by-time interactions (with large effect sizes) suggesting that </w:t>
      </w:r>
      <w:proofErr w:type="spellStart"/>
      <w:r w:rsidR="009D4DF8" w:rsidRPr="003E7FAC">
        <w:rPr>
          <w:szCs w:val="20"/>
        </w:rPr>
        <w:t>SAU+WorkChat</w:t>
      </w:r>
      <w:proofErr w:type="spellEnd"/>
      <w:r w:rsidR="009D4DF8" w:rsidRPr="003E7FAC">
        <w:rPr>
          <w:szCs w:val="20"/>
        </w:rPr>
        <w:t xml:space="preserve">, compared to SAU, improved their emotional management (p=.021, η2p=.17) and their self-reported social anxiety (p=.004, η2p=.21). </w:t>
      </w:r>
      <w:proofErr w:type="spellStart"/>
      <w:r w:rsidR="009D4DF8" w:rsidRPr="003E7FAC">
        <w:rPr>
          <w:szCs w:val="20"/>
        </w:rPr>
        <w:t>WorkChat</w:t>
      </w:r>
      <w:proofErr w:type="spellEnd"/>
      <w:r w:rsidR="009D4DF8" w:rsidRPr="003E7FAC">
        <w:rPr>
          <w:szCs w:val="20"/>
        </w:rPr>
        <w:t xml:space="preserve"> was not associated with improvements in social perception and theory-of-mind (p&gt;.10, and η2p&lt;.04). Role-play data with </w:t>
      </w:r>
      <w:proofErr w:type="spellStart"/>
      <w:r w:rsidR="009D4DF8" w:rsidRPr="003E7FAC">
        <w:rPr>
          <w:szCs w:val="20"/>
        </w:rPr>
        <w:t>SAU+WorkChat</w:t>
      </w:r>
      <w:proofErr w:type="spellEnd"/>
      <w:r w:rsidR="009D4DF8" w:rsidRPr="003E7FAC">
        <w:rPr>
          <w:szCs w:val="20"/>
        </w:rPr>
        <w:t xml:space="preserve">, compared to SAU, showing large effect size improvement in conversational skill with customers (η2p=.17), coworkers (η2p=.14), and supervisors (η2p=.19) though didn’t obtain statistical significance, perhaps due to the small sample of 13 participants wit processed videos. Staff reported </w:t>
      </w:r>
      <w:proofErr w:type="spellStart"/>
      <w:r w:rsidR="009D4DF8" w:rsidRPr="003E7FAC">
        <w:rPr>
          <w:szCs w:val="20"/>
        </w:rPr>
        <w:t>WorkChat</w:t>
      </w:r>
      <w:proofErr w:type="spellEnd"/>
      <w:r w:rsidR="009D4DF8" w:rsidRPr="003E7FAC">
        <w:rPr>
          <w:szCs w:val="20"/>
        </w:rPr>
        <w:t xml:space="preserve"> had high acceptability (mean=29.5, SD=4.0, max=35) and moderate </w:t>
      </w:r>
      <w:proofErr w:type="spellStart"/>
      <w:r w:rsidR="009D4DF8" w:rsidRPr="003E7FAC">
        <w:rPr>
          <w:szCs w:val="20"/>
        </w:rPr>
        <w:t>feasiblility</w:t>
      </w:r>
      <w:proofErr w:type="spellEnd"/>
      <w:r w:rsidR="009D4DF8" w:rsidRPr="003E7FAC">
        <w:rPr>
          <w:szCs w:val="20"/>
        </w:rPr>
        <w:t xml:space="preserve"> (mean=34.0, SD=5.1, max=45). Qualitative themes suggest staff appreciated </w:t>
      </w:r>
      <w:proofErr w:type="spellStart"/>
      <w:r w:rsidR="009D4DF8" w:rsidRPr="003E7FAC">
        <w:rPr>
          <w:szCs w:val="20"/>
        </w:rPr>
        <w:t>WorkChat</w:t>
      </w:r>
      <w:proofErr w:type="spellEnd"/>
      <w:r w:rsidR="009D4DF8" w:rsidRPr="003E7FAC">
        <w:rPr>
          <w:szCs w:val="20"/>
        </w:rPr>
        <w:t xml:space="preserve"> as an independent tool for students, while feasibility could be improved through a manual and finding protected time to deliver it. Youth reported </w:t>
      </w:r>
      <w:proofErr w:type="spellStart"/>
      <w:r w:rsidR="009D4DF8" w:rsidRPr="003E7FAC">
        <w:rPr>
          <w:szCs w:val="20"/>
        </w:rPr>
        <w:t>WorkChat</w:t>
      </w:r>
      <w:proofErr w:type="spellEnd"/>
      <w:r w:rsidR="009D4DF8" w:rsidRPr="003E7FAC">
        <w:rPr>
          <w:szCs w:val="20"/>
        </w:rPr>
        <w:t xml:space="preserve"> had high acceptability (mean=20.3, SD=3.0, max=25) and high usability (mean=29.4, SD=3.9, max=35). Qualitative themes suggest youth had enthusiasm for the virtual workday experience to do jobs and interact with the virtual characters to learn ‘professionalism.’ One theme emphasized students’ desire for additional jobs and characters within </w:t>
      </w:r>
      <w:proofErr w:type="spellStart"/>
      <w:r w:rsidR="009D4DF8" w:rsidRPr="003E7FAC">
        <w:rPr>
          <w:szCs w:val="20"/>
        </w:rPr>
        <w:t>WorkChat</w:t>
      </w:r>
      <w:proofErr w:type="spellEnd"/>
      <w:r w:rsidR="009D4DF8" w:rsidRPr="003E7FAC">
        <w:rPr>
          <w:szCs w:val="20"/>
        </w:rPr>
        <w:t>.</w:t>
      </w:r>
    </w:p>
    <w:p w14:paraId="7AC48F54" w14:textId="5E4463DD" w:rsidR="0064135E" w:rsidRDefault="0064135E" w:rsidP="0064135E">
      <w:r w:rsidRPr="003E7FAC">
        <w:rPr>
          <w:b/>
          <w:bCs/>
          <w:szCs w:val="20"/>
        </w:rPr>
        <w:t>Discussion</w:t>
      </w:r>
      <w:r w:rsidRPr="003E7FAC">
        <w:rPr>
          <w:szCs w:val="20"/>
        </w:rPr>
        <w:t xml:space="preserve">: </w:t>
      </w:r>
      <w:r w:rsidR="009D4DF8" w:rsidRPr="003E7FAC">
        <w:rPr>
          <w:szCs w:val="20"/>
        </w:rPr>
        <w:t xml:space="preserve">Autistic transition-age youth commonly experience social anxiety and have challenges with conversations in the workplace. The results suggest </w:t>
      </w:r>
      <w:r w:rsidR="009D4DF8" w:rsidRPr="003E7FAC">
        <w:rPr>
          <w:szCs w:val="20"/>
        </w:rPr>
        <w:t>that practicing</w:t>
      </w:r>
      <w:r w:rsidR="009D4DF8" w:rsidRPr="003E7FAC">
        <w:rPr>
          <w:szCs w:val="20"/>
        </w:rPr>
        <w:t xml:space="preserve"> </w:t>
      </w:r>
      <w:r w:rsidR="009D4DF8" w:rsidRPr="003E7FAC">
        <w:rPr>
          <w:szCs w:val="20"/>
        </w:rPr>
        <w:t xml:space="preserve">simulated conversations with </w:t>
      </w:r>
      <w:r w:rsidR="009D4DF8" w:rsidRPr="003E7FAC">
        <w:rPr>
          <w:szCs w:val="20"/>
        </w:rPr>
        <w:t xml:space="preserve">customers, coworkers, and supervisors </w:t>
      </w:r>
      <w:r w:rsidR="009D4DF8" w:rsidRPr="003E7FAC">
        <w:rPr>
          <w:szCs w:val="20"/>
        </w:rPr>
        <w:t xml:space="preserve">in a virtual professional setting </w:t>
      </w:r>
      <w:r w:rsidR="009D4DF8" w:rsidRPr="003E7FAC">
        <w:rPr>
          <w:szCs w:val="20"/>
        </w:rPr>
        <w:t>through</w:t>
      </w:r>
      <w:r w:rsidR="009D4DF8" w:rsidRPr="009D4DF8">
        <w:t xml:space="preserve"> </w:t>
      </w:r>
      <w:proofErr w:type="spellStart"/>
      <w:r w:rsidR="009D4DF8" w:rsidRPr="009D4DF8">
        <w:t>WorkChat</w:t>
      </w:r>
      <w:proofErr w:type="spellEnd"/>
      <w:r w:rsidR="009D4DF8" w:rsidRPr="009D4DF8">
        <w:t xml:space="preserve"> could support building skills, managing emotions, and reducing their </w:t>
      </w:r>
      <w:r w:rsidR="009D4DF8">
        <w:t xml:space="preserve">social </w:t>
      </w:r>
      <w:r w:rsidR="009D4DF8" w:rsidRPr="009D4DF8">
        <w:t xml:space="preserve">anxiety with these conversations in the real-world. The high acceptability suggests youth and staff support the implementation of </w:t>
      </w:r>
      <w:proofErr w:type="spellStart"/>
      <w:r w:rsidR="009D4DF8" w:rsidRPr="009D4DF8">
        <w:t>WorkChat</w:t>
      </w:r>
      <w:proofErr w:type="spellEnd"/>
      <w:r w:rsidR="009D4DF8" w:rsidRPr="009D4DF8">
        <w:t xml:space="preserve"> in Pre-ETS settings, along with sharing suggestions to optimize its moderate feasibility. Study limitations (e.g., small sample) will be discussed.</w:t>
      </w:r>
    </w:p>
    <w:p w14:paraId="1385E80B" w14:textId="77777777" w:rsidR="003E7FAC" w:rsidRDefault="0064135E" w:rsidP="003E7FAC">
      <w:r w:rsidRPr="007B5928">
        <w:rPr>
          <w:b/>
          <w:bCs/>
        </w:rPr>
        <w:t>References</w:t>
      </w:r>
      <w:r w:rsidR="003E7FAC">
        <w:t xml:space="preserve">: </w:t>
      </w:r>
    </w:p>
    <w:p w14:paraId="352B22D2" w14:textId="033789AA" w:rsidR="003E7FAC" w:rsidRDefault="003E7FAC" w:rsidP="003E7FAC">
      <w:r w:rsidRPr="00893EAF">
        <w:rPr>
          <w:noProof/>
        </w:rPr>
        <w:t>J.L. Chen, G. Leader, C. Sung, M. Leahy</w:t>
      </w:r>
      <w:r>
        <w:rPr>
          <w:noProof/>
        </w:rPr>
        <w:t xml:space="preserve">. (2015). </w:t>
      </w:r>
      <w:r w:rsidRPr="00893EAF">
        <w:rPr>
          <w:noProof/>
        </w:rPr>
        <w:t xml:space="preserve">Trends in </w:t>
      </w:r>
      <w:r>
        <w:rPr>
          <w:noProof/>
        </w:rPr>
        <w:t>e</w:t>
      </w:r>
      <w:r w:rsidRPr="00893EAF">
        <w:rPr>
          <w:noProof/>
        </w:rPr>
        <w:t xml:space="preserve">mployment for </w:t>
      </w:r>
      <w:r>
        <w:rPr>
          <w:noProof/>
        </w:rPr>
        <w:t>i</w:t>
      </w:r>
      <w:r w:rsidRPr="00893EAF">
        <w:rPr>
          <w:noProof/>
        </w:rPr>
        <w:t xml:space="preserve">ndividuals with </w:t>
      </w:r>
      <w:r>
        <w:rPr>
          <w:noProof/>
        </w:rPr>
        <w:t>a</w:t>
      </w:r>
      <w:r w:rsidRPr="00893EAF">
        <w:rPr>
          <w:noProof/>
        </w:rPr>
        <w:t xml:space="preserve">utism </w:t>
      </w:r>
      <w:r>
        <w:rPr>
          <w:noProof/>
        </w:rPr>
        <w:t>s</w:t>
      </w:r>
      <w:r w:rsidRPr="00893EAF">
        <w:rPr>
          <w:noProof/>
        </w:rPr>
        <w:t xml:space="preserve">pectrum </w:t>
      </w:r>
      <w:r>
        <w:rPr>
          <w:noProof/>
        </w:rPr>
        <w:t>d</w:t>
      </w:r>
      <w:r w:rsidRPr="00893EAF">
        <w:rPr>
          <w:noProof/>
        </w:rPr>
        <w:t xml:space="preserve">isorder: a </w:t>
      </w:r>
      <w:r>
        <w:rPr>
          <w:noProof/>
        </w:rPr>
        <w:t>r</w:t>
      </w:r>
      <w:r w:rsidRPr="00893EAF">
        <w:rPr>
          <w:noProof/>
        </w:rPr>
        <w:t xml:space="preserve">eview of the </w:t>
      </w:r>
      <w:r>
        <w:rPr>
          <w:noProof/>
        </w:rPr>
        <w:t>r</w:t>
      </w:r>
      <w:r w:rsidRPr="00893EAF">
        <w:rPr>
          <w:noProof/>
        </w:rPr>
        <w:t xml:space="preserve">esearch </w:t>
      </w:r>
      <w:r>
        <w:rPr>
          <w:noProof/>
        </w:rPr>
        <w:t>l</w:t>
      </w:r>
      <w:r w:rsidRPr="00893EAF">
        <w:rPr>
          <w:noProof/>
        </w:rPr>
        <w:t>iterature</w:t>
      </w:r>
      <w:r>
        <w:rPr>
          <w:noProof/>
        </w:rPr>
        <w:t xml:space="preserve">. </w:t>
      </w:r>
      <w:r w:rsidRPr="003E7FAC">
        <w:rPr>
          <w:i/>
          <w:iCs/>
          <w:noProof/>
        </w:rPr>
        <w:t>Journal of Autism and Developmental Disorders</w:t>
      </w:r>
      <w:r>
        <w:rPr>
          <w:i/>
          <w:iCs/>
          <w:noProof/>
        </w:rPr>
        <w:t>,</w:t>
      </w:r>
      <w:r w:rsidRPr="003E7FAC">
        <w:rPr>
          <w:i/>
          <w:iCs/>
          <w:noProof/>
        </w:rPr>
        <w:t xml:space="preserve"> 2</w:t>
      </w:r>
      <w:r w:rsidRPr="00893EAF">
        <w:rPr>
          <w:noProof/>
        </w:rPr>
        <w:t>(2)</w:t>
      </w:r>
      <w:r>
        <w:rPr>
          <w:noProof/>
        </w:rPr>
        <w:t xml:space="preserve">, </w:t>
      </w:r>
      <w:r w:rsidRPr="00893EAF">
        <w:rPr>
          <w:noProof/>
        </w:rPr>
        <w:t>115-127.</w:t>
      </w:r>
    </w:p>
    <w:p w14:paraId="61BB8FA3" w14:textId="04A8DEAE" w:rsidR="0064135E" w:rsidRDefault="003E7FAC" w:rsidP="0064135E">
      <w:r w:rsidRPr="00445FA4">
        <w:lastRenderedPageBreak/>
        <w:t xml:space="preserve">Roux, A. M., Shea, L. L., Steinberg, H., </w:t>
      </w:r>
      <w:proofErr w:type="spellStart"/>
      <w:r w:rsidRPr="00445FA4">
        <w:t>Rast</w:t>
      </w:r>
      <w:proofErr w:type="spellEnd"/>
      <w:r w:rsidRPr="00445FA4">
        <w:t xml:space="preserve">, J. E., Anderson, K. A., </w:t>
      </w:r>
      <w:proofErr w:type="spellStart"/>
      <w:r w:rsidRPr="00445FA4">
        <w:t>Hotez</w:t>
      </w:r>
      <w:proofErr w:type="spellEnd"/>
      <w:r w:rsidRPr="00445FA4">
        <w:t>, E., ... &amp; Shattuck, P. T. (2023). Evidence from the Autism Transitions Research Project (2017–2022): Capstone review and services research recommendations. </w:t>
      </w:r>
      <w:r w:rsidRPr="00445FA4">
        <w:rPr>
          <w:i/>
          <w:iCs/>
        </w:rPr>
        <w:t>Autism Research</w:t>
      </w:r>
      <w:r w:rsidRPr="00445FA4">
        <w:t>, </w:t>
      </w:r>
      <w:r w:rsidRPr="00445FA4">
        <w:rPr>
          <w:i/>
          <w:iCs/>
        </w:rPr>
        <w:t>16</w:t>
      </w:r>
      <w:r w:rsidRPr="00445FA4">
        <w:t>(3), 480-496.</w:t>
      </w:r>
    </w:p>
    <w:p w14:paraId="32B42667" w14:textId="6D2D1D4B" w:rsidR="003E7FAC" w:rsidRDefault="003E7FAC" w:rsidP="0064135E">
      <w:r w:rsidRPr="00445FA4">
        <w:t xml:space="preserve">Southey, S., Morris, R., Nicholas, D., &amp; </w:t>
      </w:r>
      <w:proofErr w:type="spellStart"/>
      <w:r w:rsidRPr="00445FA4">
        <w:t>Pilatzke</w:t>
      </w:r>
      <w:proofErr w:type="spellEnd"/>
      <w:r w:rsidRPr="00445FA4">
        <w:t>, M. (2024). Autistic perspectives on employment: A scoping review. </w:t>
      </w:r>
      <w:r w:rsidRPr="00445FA4">
        <w:rPr>
          <w:i/>
          <w:iCs/>
        </w:rPr>
        <w:t>Journal of Occupational Rehabilitation</w:t>
      </w:r>
      <w:r w:rsidRPr="00445FA4">
        <w:t>, 1-14.</w:t>
      </w:r>
    </w:p>
    <w:p w14:paraId="4031A6ED" w14:textId="085B8175" w:rsidR="00FF0381" w:rsidRDefault="00FF0381" w:rsidP="0064135E">
      <w:pPr>
        <w:rPr>
          <w:noProof/>
        </w:rPr>
      </w:pPr>
      <w:r w:rsidRPr="00893EAF">
        <w:rPr>
          <w:noProof/>
        </w:rPr>
        <w:t xml:space="preserve">J.L. Taylor, M.M. Seltzer, </w:t>
      </w:r>
      <w:r w:rsidR="003E7FAC">
        <w:rPr>
          <w:noProof/>
        </w:rPr>
        <w:t xml:space="preserve">(2011). </w:t>
      </w:r>
      <w:r w:rsidRPr="00893EAF">
        <w:rPr>
          <w:noProof/>
        </w:rPr>
        <w:t xml:space="preserve">Employment and post-secondary educational activities for young adults with autism spectrum disorders during the transition to adulthood, </w:t>
      </w:r>
      <w:r w:rsidRPr="003E7FAC">
        <w:rPr>
          <w:i/>
          <w:iCs/>
          <w:noProof/>
        </w:rPr>
        <w:t>J</w:t>
      </w:r>
      <w:r w:rsidR="003E7FAC" w:rsidRPr="003E7FAC">
        <w:rPr>
          <w:i/>
          <w:iCs/>
          <w:noProof/>
        </w:rPr>
        <w:t>ournal of</w:t>
      </w:r>
      <w:r w:rsidRPr="003E7FAC">
        <w:rPr>
          <w:i/>
          <w:iCs/>
          <w:noProof/>
        </w:rPr>
        <w:t xml:space="preserve"> Autism </w:t>
      </w:r>
      <w:r w:rsidR="003E7FAC" w:rsidRPr="003E7FAC">
        <w:rPr>
          <w:i/>
          <w:iCs/>
          <w:noProof/>
        </w:rPr>
        <w:t xml:space="preserve">and </w:t>
      </w:r>
      <w:r w:rsidRPr="003E7FAC">
        <w:rPr>
          <w:i/>
          <w:iCs/>
          <w:noProof/>
        </w:rPr>
        <w:t>Dev</w:t>
      </w:r>
      <w:r w:rsidR="003E7FAC" w:rsidRPr="003E7FAC">
        <w:rPr>
          <w:i/>
          <w:iCs/>
          <w:noProof/>
        </w:rPr>
        <w:t>elopmental</w:t>
      </w:r>
      <w:r w:rsidRPr="003E7FAC">
        <w:rPr>
          <w:i/>
          <w:iCs/>
          <w:noProof/>
        </w:rPr>
        <w:t xml:space="preserve"> Disord</w:t>
      </w:r>
      <w:r w:rsidR="003E7FAC" w:rsidRPr="003E7FAC">
        <w:rPr>
          <w:i/>
          <w:iCs/>
          <w:noProof/>
        </w:rPr>
        <w:t>ers</w:t>
      </w:r>
      <w:r w:rsidR="003E7FAC">
        <w:rPr>
          <w:noProof/>
        </w:rPr>
        <w:t>,</w:t>
      </w:r>
      <w:r w:rsidRPr="00893EAF">
        <w:rPr>
          <w:noProof/>
        </w:rPr>
        <w:t xml:space="preserve"> </w:t>
      </w:r>
      <w:r w:rsidRPr="003E7FAC">
        <w:rPr>
          <w:i/>
          <w:iCs/>
          <w:noProof/>
        </w:rPr>
        <w:t>41</w:t>
      </w:r>
      <w:r w:rsidRPr="00893EAF">
        <w:rPr>
          <w:noProof/>
        </w:rPr>
        <w:t>(5)</w:t>
      </w:r>
      <w:r w:rsidR="003E7FAC">
        <w:rPr>
          <w:noProof/>
        </w:rPr>
        <w:t>,</w:t>
      </w:r>
      <w:r w:rsidRPr="00893EAF">
        <w:rPr>
          <w:noProof/>
        </w:rPr>
        <w:t xml:space="preserve"> 566-74.</w:t>
      </w:r>
    </w:p>
    <w:p w14:paraId="46304025" w14:textId="51477382" w:rsidR="0064135E" w:rsidRPr="00163A52" w:rsidRDefault="0064135E" w:rsidP="0064135E">
      <w:pPr>
        <w:jc w:val="center"/>
        <w:rPr>
          <w:b/>
          <w:bCs/>
        </w:rPr>
      </w:pPr>
      <w:r w:rsidRPr="00163A52">
        <w:rPr>
          <w:b/>
          <w:bCs/>
        </w:rPr>
        <w:t xml:space="preserve">Paper </w:t>
      </w:r>
      <w:r>
        <w:rPr>
          <w:b/>
          <w:bCs/>
        </w:rPr>
        <w:t>3</w:t>
      </w:r>
      <w:r w:rsidRPr="00163A52">
        <w:rPr>
          <w:b/>
          <w:bCs/>
        </w:rPr>
        <w:t xml:space="preserve"> of </w:t>
      </w:r>
      <w:r>
        <w:rPr>
          <w:b/>
          <w:bCs/>
        </w:rPr>
        <w:t>4</w:t>
      </w:r>
    </w:p>
    <w:p w14:paraId="44199C37" w14:textId="6DDF3D82" w:rsidR="0064135E" w:rsidRDefault="0064135E" w:rsidP="0064135E">
      <w:r w:rsidRPr="002A64F0">
        <w:rPr>
          <w:b/>
          <w:bCs/>
        </w:rPr>
        <w:t>Paper Title</w:t>
      </w:r>
      <w:r>
        <w:t xml:space="preserve">: </w:t>
      </w:r>
      <w:r w:rsidR="002207DD" w:rsidRPr="002207DD">
        <w:t>Effects of a Parent-to-Parent Mentorship Intervention on the Competitive Integrated Employment Outcomes of Adults with Autism and/or Intellectual Disability</w:t>
      </w:r>
      <w:r w:rsidR="00934F6F">
        <w:t>.</w:t>
      </w:r>
    </w:p>
    <w:p w14:paraId="258ABC7A" w14:textId="403B29D2" w:rsidR="0064135E" w:rsidRDefault="0064135E" w:rsidP="0064135E">
      <w:r w:rsidRPr="002A64F0">
        <w:rPr>
          <w:b/>
          <w:bCs/>
        </w:rPr>
        <w:t>Authors</w:t>
      </w:r>
      <w:r>
        <w:t xml:space="preserve">: </w:t>
      </w:r>
      <w:r w:rsidR="002207DD">
        <w:t>Ben Schwartzman</w:t>
      </w:r>
      <w:r w:rsidR="002A64F0">
        <w:rPr>
          <w:rStyle w:val="FootnoteReference"/>
        </w:rPr>
        <w:footnoteReference w:id="23"/>
      </w:r>
      <w:r w:rsidR="002A64F0">
        <w:t xml:space="preserve">, </w:t>
      </w:r>
      <w:r w:rsidR="002207DD">
        <w:t>Emily Lanchak</w:t>
      </w:r>
      <w:r w:rsidR="002207DD">
        <w:rPr>
          <w:rStyle w:val="FootnoteReference"/>
        </w:rPr>
        <w:t>2</w:t>
      </w:r>
      <w:r w:rsidR="002207DD" w:rsidRPr="002207DD">
        <w:rPr>
          <w:vertAlign w:val="superscript"/>
        </w:rPr>
        <w:t>4</w:t>
      </w:r>
      <w:r w:rsidR="002A64F0">
        <w:t xml:space="preserve">, </w:t>
      </w:r>
      <w:r w:rsidR="002207DD">
        <w:t>Erik Carter</w:t>
      </w:r>
      <w:r w:rsidR="002A64F0">
        <w:rPr>
          <w:rStyle w:val="FootnoteReference"/>
        </w:rPr>
        <w:footnoteReference w:id="24"/>
      </w:r>
      <w:r w:rsidR="002207DD">
        <w:t>, Elise McMillan</w:t>
      </w:r>
      <w:r w:rsidR="002207DD">
        <w:rPr>
          <w:rStyle w:val="FootnoteReference"/>
        </w:rPr>
        <w:footnoteReference w:id="25"/>
      </w:r>
      <w:r w:rsidR="002207DD">
        <w:t>,</w:t>
      </w:r>
      <w:r w:rsidR="002207DD" w:rsidRPr="002207DD">
        <w:t xml:space="preserve"> </w:t>
      </w:r>
      <w:r w:rsidR="002207DD">
        <w:t xml:space="preserve">Julie </w:t>
      </w:r>
      <w:proofErr w:type="spellStart"/>
      <w:r w:rsidR="002207DD">
        <w:t>Lounds</w:t>
      </w:r>
      <w:proofErr w:type="spellEnd"/>
      <w:r w:rsidR="002207DD">
        <w:t xml:space="preserve"> Taylor</w:t>
      </w:r>
      <w:r w:rsidR="002207DD">
        <w:rPr>
          <w:rStyle w:val="FootnoteReference"/>
        </w:rPr>
        <w:t>2</w:t>
      </w:r>
      <w:r w:rsidR="002207DD" w:rsidRPr="002207DD">
        <w:rPr>
          <w:vertAlign w:val="superscript"/>
        </w:rPr>
        <w:t>6</w:t>
      </w:r>
      <w:r w:rsidR="002207DD">
        <w:t>,</w:t>
      </w:r>
    </w:p>
    <w:p w14:paraId="566D6DA2" w14:textId="6244AA0F" w:rsidR="0064135E" w:rsidRDefault="0064135E" w:rsidP="0064135E">
      <w:r w:rsidRPr="002A64F0">
        <w:rPr>
          <w:b/>
          <w:bCs/>
        </w:rPr>
        <w:t>Introduction</w:t>
      </w:r>
      <w:r>
        <w:t xml:space="preserve">: </w:t>
      </w:r>
      <w:r w:rsidR="002207DD" w:rsidRPr="002207DD">
        <w:t>The vast majority of adults with intellectual and developmental disabilities (IDD) aspire to find paid work in their communities (</w:t>
      </w:r>
      <w:proofErr w:type="spellStart"/>
      <w:r w:rsidR="006111D6">
        <w:t>Broda</w:t>
      </w:r>
      <w:proofErr w:type="spellEnd"/>
      <w:r w:rsidR="006111D6">
        <w:t xml:space="preserve"> et al.</w:t>
      </w:r>
      <w:r w:rsidR="002207DD" w:rsidRPr="002207DD">
        <w:t>, 2021). Yet, employment rates for adults with IDD have remained below 20% despite concerted policy, advocacy, and funding initiatives (Windsor et al., 2021). Additionally, the adult services system is fraught with fragmentation in that there are often socioeconomic disparities in which geographic areas have access to certain employment services and how programs are implemented (</w:t>
      </w:r>
      <w:proofErr w:type="spellStart"/>
      <w:r w:rsidR="002207DD" w:rsidRPr="002207DD">
        <w:t>Shogren</w:t>
      </w:r>
      <w:proofErr w:type="spellEnd"/>
      <w:r w:rsidR="002207DD" w:rsidRPr="002207DD">
        <w:t xml:space="preserve"> &amp; </w:t>
      </w:r>
      <w:proofErr w:type="spellStart"/>
      <w:r w:rsidR="002207DD" w:rsidRPr="002207DD">
        <w:t>Wittenburg</w:t>
      </w:r>
      <w:proofErr w:type="spellEnd"/>
      <w:r w:rsidR="002207DD" w:rsidRPr="002207DD">
        <w:t>, 2020). Due to the dearth of available services, the majority of adults with IDD continue to reside with their families as they age into older adulthood (Burke et al., 2021). Thus, it is essential to engage families in the pursuit of employment (Kamau &amp; Timmons, 2018), as parent expectations are among the most robust predictors of future employment for individuals with IDD (</w:t>
      </w:r>
      <w:proofErr w:type="spellStart"/>
      <w:r w:rsidR="002207DD" w:rsidRPr="002207DD">
        <w:t>Wehman</w:t>
      </w:r>
      <w:proofErr w:type="spellEnd"/>
      <w:r w:rsidR="002207DD" w:rsidRPr="002207DD">
        <w:t xml:space="preserve"> et al., 2015).</w:t>
      </w:r>
      <w:r w:rsidR="002207DD">
        <w:t xml:space="preserve"> </w:t>
      </w:r>
      <w:r w:rsidR="002207DD" w:rsidRPr="002207DD">
        <w:t>Our goal was to develop, pilot, and evaluate a parent-to-parent mentorship intervention where parents of employed adults with IDD serve as mentors for parents of unemployed adults with IDD.</w:t>
      </w:r>
    </w:p>
    <w:p w14:paraId="3F13CD79" w14:textId="321387CC" w:rsidR="0064135E" w:rsidRDefault="0064135E" w:rsidP="0064135E">
      <w:r w:rsidRPr="007B5928">
        <w:rPr>
          <w:b/>
          <w:bCs/>
        </w:rPr>
        <w:t>Method</w:t>
      </w:r>
      <w:r>
        <w:t xml:space="preserve">: </w:t>
      </w:r>
      <w:r w:rsidR="002207DD" w:rsidRPr="002207DD">
        <w:t xml:space="preserve">After interviewing 60 parents of adults with IDD to inform the design of the intervention, we piloted our novel parent-to-parent mentorship model by pairing five parents of unemployed adults with IDD (mentees) to five parents of employed adults with IDD (mentors). We further evaluated the intervention in an RCT (n=55) where intervention parents (n=25) were paired with a mentor for 12 months, while control group parents (n=30) received services as usual for 12 months without being paired with a mentor. Of the 55 parents, 35% had children with ASD, 31% with ASD+ID, 21% with ID, and 13% with Down Syndrome; 74% were White, 18% Black, 5% Hispanic/Latino, and 2% Native American. Prior to being randomized, all participants received a “Roadmap to Employment” guide we created and attended four Zoom classes which covered employment best practices for adults with IDD. We collected parent-report </w:t>
      </w:r>
      <w:r w:rsidR="002207DD" w:rsidRPr="002207DD">
        <w:lastRenderedPageBreak/>
        <w:t>data on employment outcomes, how prepared parents felt to navigate the employment process pre- and post-intervention, stress, and participant feedback about the intervention.</w:t>
      </w:r>
    </w:p>
    <w:p w14:paraId="251538FC" w14:textId="5BA5EC7E" w:rsidR="0064135E" w:rsidRDefault="0064135E" w:rsidP="0064135E">
      <w:r w:rsidRPr="007B5928">
        <w:rPr>
          <w:b/>
          <w:bCs/>
        </w:rPr>
        <w:t>Results</w:t>
      </w:r>
      <w:r>
        <w:t>:</w:t>
      </w:r>
      <w:r w:rsidRPr="009B17A1">
        <w:t xml:space="preserve"> </w:t>
      </w:r>
      <w:r w:rsidR="002207DD" w:rsidRPr="002207DD">
        <w:t>Parents who were paired with a mentor (intervention group; n = 25) reported feeling better prepared for employment (p &lt; .05), experiencing less stress (p &lt; .05), and their adult children with IDD experienced improved CIE outcomes, as compared to control group parents (n=30). In examining employment outcomes, we conducted a chi-square test and determined that the intervention group employments rates (68% employed) were significantly higher than those in the comparison group (37% employed) X2 (1, N = 55) = 5.4, p = .02. Additionally, all participating families, both in the intervention and comparison groups, shared primarily positive feedback on their experiences participating in the project.</w:t>
      </w:r>
    </w:p>
    <w:p w14:paraId="3A37D9AA" w14:textId="3D33CB7B" w:rsidR="0064135E" w:rsidRDefault="0064135E" w:rsidP="0064135E">
      <w:r w:rsidRPr="007B5928">
        <w:rPr>
          <w:b/>
          <w:bCs/>
        </w:rPr>
        <w:t>Discussion</w:t>
      </w:r>
      <w:r>
        <w:t>:</w:t>
      </w:r>
      <w:r w:rsidR="002A64F0" w:rsidRPr="002A64F0">
        <w:t xml:space="preserve"> </w:t>
      </w:r>
      <w:r w:rsidR="002207DD" w:rsidRPr="002207DD">
        <w:t>These findings indicate that the practical information and materials we provided to all families contributed to some improvement in employment preparedness. Evidenced by the employment outcomes at post-intervention, mentorship may provide families with an additional boost of support in connecting their family members to employment.</w:t>
      </w:r>
    </w:p>
    <w:p w14:paraId="0BA6187E" w14:textId="047DA1EC" w:rsidR="0064135E" w:rsidRDefault="0064135E" w:rsidP="0064135E">
      <w:r w:rsidRPr="007B5928">
        <w:rPr>
          <w:b/>
          <w:bCs/>
        </w:rPr>
        <w:t>References</w:t>
      </w:r>
      <w:r w:rsidR="006111D6">
        <w:t>:</w:t>
      </w:r>
    </w:p>
    <w:p w14:paraId="7EC7997A" w14:textId="4BDBE274" w:rsidR="006111D6" w:rsidRDefault="006111D6" w:rsidP="0064135E">
      <w:proofErr w:type="spellStart"/>
      <w:r>
        <w:t>Broda</w:t>
      </w:r>
      <w:proofErr w:type="spellEnd"/>
      <w:r>
        <w:t xml:space="preserve">, </w:t>
      </w:r>
      <w:r w:rsidRPr="006111D6">
        <w:t>M</w:t>
      </w:r>
      <w:r>
        <w:t>.,</w:t>
      </w:r>
      <w:r w:rsidRPr="006111D6">
        <w:t>  Bogenschutz, </w:t>
      </w:r>
      <w:r>
        <w:t xml:space="preserve">M., </w:t>
      </w:r>
      <w:proofErr w:type="spellStart"/>
      <w:r w:rsidRPr="006111D6">
        <w:t>Dinora</w:t>
      </w:r>
      <w:proofErr w:type="spellEnd"/>
      <w:r w:rsidRPr="006111D6">
        <w:t>, </w:t>
      </w:r>
      <w:r>
        <w:t xml:space="preserve">P., </w:t>
      </w:r>
      <w:proofErr w:type="spellStart"/>
      <w:r w:rsidRPr="006111D6">
        <w:t>Prohn</w:t>
      </w:r>
      <w:proofErr w:type="spellEnd"/>
      <w:r w:rsidRPr="006111D6">
        <w:t>, </w:t>
      </w:r>
      <w:r>
        <w:t xml:space="preserve">S., </w:t>
      </w:r>
      <w:r w:rsidRPr="006111D6">
        <w:t>Lineberry, </w:t>
      </w:r>
      <w:r>
        <w:t xml:space="preserve">S., &amp; </w:t>
      </w:r>
      <w:r w:rsidRPr="006111D6">
        <w:t>Ross</w:t>
      </w:r>
      <w:r>
        <w:t>, E. (2021).</w:t>
      </w:r>
      <w:r w:rsidRPr="006111D6">
        <w:t xml:space="preserve"> Using Machine Learning to Predict Patterns of Employment and Day Program Participation. </w:t>
      </w:r>
      <w:r w:rsidRPr="006111D6">
        <w:rPr>
          <w:i/>
          <w:iCs/>
        </w:rPr>
        <w:t>Am</w:t>
      </w:r>
      <w:r>
        <w:rPr>
          <w:i/>
          <w:iCs/>
        </w:rPr>
        <w:t>erican</w:t>
      </w:r>
      <w:r w:rsidRPr="006111D6">
        <w:rPr>
          <w:i/>
          <w:iCs/>
        </w:rPr>
        <w:t xml:space="preserve"> J</w:t>
      </w:r>
      <w:r>
        <w:rPr>
          <w:i/>
          <w:iCs/>
        </w:rPr>
        <w:t>ournal of</w:t>
      </w:r>
      <w:r w:rsidRPr="006111D6">
        <w:rPr>
          <w:i/>
          <w:iCs/>
        </w:rPr>
        <w:t xml:space="preserve"> Intellect</w:t>
      </w:r>
      <w:r>
        <w:rPr>
          <w:i/>
          <w:iCs/>
        </w:rPr>
        <w:t>ual and</w:t>
      </w:r>
      <w:r w:rsidRPr="006111D6">
        <w:rPr>
          <w:i/>
          <w:iCs/>
        </w:rPr>
        <w:t xml:space="preserve"> Dev</w:t>
      </w:r>
      <w:r>
        <w:rPr>
          <w:i/>
          <w:iCs/>
        </w:rPr>
        <w:t>elopmental</w:t>
      </w:r>
      <w:r w:rsidRPr="006111D6">
        <w:rPr>
          <w:i/>
          <w:iCs/>
        </w:rPr>
        <w:t xml:space="preserve"> Disabil</w:t>
      </w:r>
      <w:r>
        <w:rPr>
          <w:i/>
          <w:iCs/>
        </w:rPr>
        <w:t>ities</w:t>
      </w:r>
      <w:r>
        <w:t>,</w:t>
      </w:r>
      <w:r w:rsidRPr="006111D6">
        <w:rPr>
          <w:i/>
          <w:iCs/>
        </w:rPr>
        <w:t xml:space="preserve"> 126</w:t>
      </w:r>
      <w:r w:rsidRPr="006111D6">
        <w:t>(6)</w:t>
      </w:r>
      <w:r>
        <w:t>,</w:t>
      </w:r>
      <w:r w:rsidRPr="006111D6">
        <w:t xml:space="preserve"> 477–491. </w:t>
      </w:r>
    </w:p>
    <w:p w14:paraId="694F73CF" w14:textId="77777777" w:rsidR="006111D6" w:rsidRDefault="006111D6" w:rsidP="006111D6">
      <w:r w:rsidRPr="003F6A33">
        <w:t>Burke, M., Lee, C</w:t>
      </w:r>
      <w:r>
        <w:t>.</w:t>
      </w:r>
      <w:r w:rsidRPr="003F6A33">
        <w:t xml:space="preserve">, Rossetti, Z., Hall, S. (2021). Parent and Sibling Roles in Decision Making with Individuals with Intellectual and Developmental Disabilities. In: Khemka, I., Hickson, L. (eds) Decision Making by Individuals with Intellectual and Developmental Disabilities. Positive Psychology and Disability Series. Springer. </w:t>
      </w:r>
    </w:p>
    <w:p w14:paraId="26DB6032" w14:textId="77777777" w:rsidR="006111D6" w:rsidRDefault="006111D6" w:rsidP="006111D6">
      <w:r w:rsidRPr="003F6A33">
        <w:t>Kamau, E., &amp; Timmons, J. (2018). A Roadmap to Competitive Integrated Employment: Strategies for Provider Transformation. Bringing Employment First to Scale, 20</w:t>
      </w:r>
      <w:r>
        <w:t>,</w:t>
      </w:r>
      <w:r w:rsidRPr="003F6A33">
        <w:t> </w:t>
      </w:r>
      <w:r w:rsidRPr="003F6A33">
        <w:rPr>
          <w:i/>
          <w:iCs/>
        </w:rPr>
        <w:t>Institute for Community Inclusion</w:t>
      </w:r>
      <w:r w:rsidRPr="003F6A33">
        <w:t xml:space="preserve">. </w:t>
      </w:r>
    </w:p>
    <w:p w14:paraId="0C212CC0" w14:textId="77777777" w:rsidR="006111D6" w:rsidRDefault="006111D6" w:rsidP="006111D6">
      <w:proofErr w:type="spellStart"/>
      <w:r w:rsidRPr="006111D6">
        <w:t>Shogren</w:t>
      </w:r>
      <w:proofErr w:type="spellEnd"/>
      <w:r w:rsidRPr="006111D6">
        <w:t xml:space="preserve">, K. A., &amp; </w:t>
      </w:r>
      <w:proofErr w:type="spellStart"/>
      <w:r w:rsidRPr="006111D6">
        <w:t>Wittenburg</w:t>
      </w:r>
      <w:proofErr w:type="spellEnd"/>
      <w:r w:rsidRPr="006111D6">
        <w:t>, D. (2020). Improving outcomes of transition-age youth with disabilities: A life course perspective. </w:t>
      </w:r>
      <w:r w:rsidRPr="006111D6">
        <w:rPr>
          <w:i/>
          <w:iCs/>
        </w:rPr>
        <w:t>Career Development and Transition for Exceptional Individuals</w:t>
      </w:r>
      <w:r w:rsidRPr="006111D6">
        <w:t>, </w:t>
      </w:r>
      <w:r w:rsidRPr="006111D6">
        <w:rPr>
          <w:i/>
          <w:iCs/>
        </w:rPr>
        <w:t>43</w:t>
      </w:r>
      <w:r w:rsidRPr="006111D6">
        <w:t>(1), 18-28.</w:t>
      </w:r>
    </w:p>
    <w:p w14:paraId="7D455EB6" w14:textId="144ADE24" w:rsidR="006111D6" w:rsidRDefault="006111D6" w:rsidP="0064135E">
      <w:proofErr w:type="spellStart"/>
      <w:r w:rsidRPr="006111D6">
        <w:t>Wehman</w:t>
      </w:r>
      <w:proofErr w:type="spellEnd"/>
      <w:r w:rsidRPr="006111D6">
        <w:t xml:space="preserve">, P., Sima, A. P., Ketchum, J., West, M. D., Chan, F., &amp; </w:t>
      </w:r>
      <w:proofErr w:type="spellStart"/>
      <w:r w:rsidRPr="006111D6">
        <w:t>Luecking</w:t>
      </w:r>
      <w:proofErr w:type="spellEnd"/>
      <w:r w:rsidRPr="006111D6">
        <w:t>, R. (2015). Predictors of successful transition from school to employment for youth with disabilities. </w:t>
      </w:r>
      <w:r w:rsidRPr="006111D6">
        <w:rPr>
          <w:i/>
          <w:iCs/>
        </w:rPr>
        <w:t xml:space="preserve">Journal of </w:t>
      </w:r>
      <w:r>
        <w:rPr>
          <w:i/>
          <w:iCs/>
        </w:rPr>
        <w:t>O</w:t>
      </w:r>
      <w:r w:rsidRPr="006111D6">
        <w:rPr>
          <w:i/>
          <w:iCs/>
        </w:rPr>
        <w:t xml:space="preserve">ccupational </w:t>
      </w:r>
      <w:r>
        <w:rPr>
          <w:i/>
          <w:iCs/>
        </w:rPr>
        <w:t>R</w:t>
      </w:r>
      <w:r w:rsidRPr="006111D6">
        <w:rPr>
          <w:i/>
          <w:iCs/>
        </w:rPr>
        <w:t>ehabilitation</w:t>
      </w:r>
      <w:r w:rsidRPr="006111D6">
        <w:t>, </w:t>
      </w:r>
      <w:r w:rsidRPr="006111D6">
        <w:rPr>
          <w:i/>
          <w:iCs/>
        </w:rPr>
        <w:t>25</w:t>
      </w:r>
      <w:r w:rsidRPr="006111D6">
        <w:t>, 323-334.</w:t>
      </w:r>
    </w:p>
    <w:p w14:paraId="73AB0428" w14:textId="77777777" w:rsidR="006111D6" w:rsidRDefault="003F6A33" w:rsidP="0064135E">
      <w:r w:rsidRPr="003F6A33">
        <w:t xml:space="preserve">Winsor, J., Timmons, J. C., Butterworth, J., </w:t>
      </w:r>
      <w:proofErr w:type="spellStart"/>
      <w:r w:rsidRPr="003F6A33">
        <w:t>Migliore</w:t>
      </w:r>
      <w:proofErr w:type="spellEnd"/>
      <w:r w:rsidRPr="003F6A33">
        <w:t xml:space="preserve">, A., </w:t>
      </w:r>
      <w:proofErr w:type="spellStart"/>
      <w:r w:rsidRPr="003F6A33">
        <w:t>Domin</w:t>
      </w:r>
      <w:proofErr w:type="spellEnd"/>
      <w:r w:rsidRPr="003F6A33">
        <w:t xml:space="preserve">, D., </w:t>
      </w:r>
      <w:proofErr w:type="spellStart"/>
      <w:r w:rsidRPr="003F6A33">
        <w:t>Zalewska</w:t>
      </w:r>
      <w:proofErr w:type="spellEnd"/>
      <w:r w:rsidRPr="003F6A33">
        <w:t xml:space="preserve">, A., &amp; Shepard, J. (2021). </w:t>
      </w:r>
      <w:proofErr w:type="spellStart"/>
      <w:r w:rsidRPr="003F6A33">
        <w:t>StateData</w:t>
      </w:r>
      <w:proofErr w:type="spellEnd"/>
      <w:r w:rsidRPr="003F6A33">
        <w:t>: The national report on employment services and outcomes through 2018.</w:t>
      </w:r>
      <w:r w:rsidRPr="003F6A33">
        <w:t xml:space="preserve"> </w:t>
      </w:r>
    </w:p>
    <w:p w14:paraId="3D273325" w14:textId="5497499B" w:rsidR="0064135E" w:rsidRPr="00163A52" w:rsidRDefault="0064135E" w:rsidP="0064135E">
      <w:pPr>
        <w:jc w:val="center"/>
        <w:rPr>
          <w:b/>
          <w:bCs/>
        </w:rPr>
      </w:pPr>
      <w:r w:rsidRPr="00163A52">
        <w:rPr>
          <w:b/>
          <w:bCs/>
        </w:rPr>
        <w:t xml:space="preserve">Paper </w:t>
      </w:r>
      <w:r>
        <w:rPr>
          <w:b/>
          <w:bCs/>
        </w:rPr>
        <w:t>4</w:t>
      </w:r>
      <w:r w:rsidRPr="00163A52">
        <w:rPr>
          <w:b/>
          <w:bCs/>
        </w:rPr>
        <w:t xml:space="preserve"> of </w:t>
      </w:r>
      <w:r>
        <w:rPr>
          <w:b/>
          <w:bCs/>
        </w:rPr>
        <w:t>4</w:t>
      </w:r>
    </w:p>
    <w:p w14:paraId="18952BCF" w14:textId="1302CF81" w:rsidR="0064135E" w:rsidRDefault="0064135E" w:rsidP="0064135E">
      <w:r w:rsidRPr="002A64F0">
        <w:rPr>
          <w:b/>
          <w:bCs/>
        </w:rPr>
        <w:lastRenderedPageBreak/>
        <w:t>Paper Title</w:t>
      </w:r>
      <w:r>
        <w:t xml:space="preserve">: </w:t>
      </w:r>
      <w:r w:rsidR="00934F6F" w:rsidRPr="00934F6F">
        <w:t>Enhancing Competitive Integrated Employment for Autistic Adults: Barriers, Facilitators, and the Potential of the Individualized Placement and Support (IPS) Model</w:t>
      </w:r>
      <w:r w:rsidR="00934F6F">
        <w:t>.</w:t>
      </w:r>
    </w:p>
    <w:p w14:paraId="2BA8898C" w14:textId="0D2B2A2D" w:rsidR="0064135E" w:rsidRDefault="0064135E" w:rsidP="0064135E">
      <w:r w:rsidRPr="002A64F0">
        <w:rPr>
          <w:b/>
          <w:bCs/>
        </w:rPr>
        <w:t>Authors</w:t>
      </w:r>
      <w:r>
        <w:t xml:space="preserve">: </w:t>
      </w:r>
      <w:r w:rsidR="00934F6F">
        <w:t>Jo A. Yon-</w:t>
      </w:r>
      <w:r w:rsidR="00934F6F" w:rsidRPr="00934F6F">
        <w:t>Hernández</w:t>
      </w:r>
      <w:r w:rsidR="00934F6F" w:rsidRPr="00934F6F">
        <w:rPr>
          <w:vertAlign w:val="superscript"/>
        </w:rPr>
        <w:t xml:space="preserve"> </w:t>
      </w:r>
      <w:r w:rsidR="002A64F0">
        <w:rPr>
          <w:rStyle w:val="FootnoteReference"/>
        </w:rPr>
        <w:footnoteReference w:id="26"/>
      </w:r>
      <w:r>
        <w:t xml:space="preserve">, </w:t>
      </w:r>
      <w:r w:rsidR="00934F6F">
        <w:t>Susan McGurk</w:t>
      </w:r>
      <w:r w:rsidR="002A64F0">
        <w:rPr>
          <w:rStyle w:val="FootnoteReference"/>
        </w:rPr>
        <w:footnoteReference w:id="27"/>
      </w:r>
      <w:r w:rsidR="00934F6F">
        <w:t>, Steve Ruder</w:t>
      </w:r>
      <w:r w:rsidR="00934F6F">
        <w:rPr>
          <w:rStyle w:val="FootnoteReference"/>
        </w:rPr>
        <w:footnoteReference w:id="28"/>
      </w:r>
      <w:r w:rsidR="00934F6F">
        <w:t>,</w:t>
      </w:r>
      <w:r w:rsidR="00934F6F">
        <w:t xml:space="preserve"> Aubyn Stahmer</w:t>
      </w:r>
      <w:r w:rsidR="00572369">
        <w:rPr>
          <w:rStyle w:val="FootnoteReference"/>
        </w:rPr>
        <w:t>2</w:t>
      </w:r>
      <w:r w:rsidR="00572369" w:rsidRPr="00572369">
        <w:rPr>
          <w:vertAlign w:val="superscript"/>
        </w:rPr>
        <w:t>6</w:t>
      </w:r>
      <w:r w:rsidR="00934F6F">
        <w:t>,</w:t>
      </w:r>
      <w:r w:rsidR="00934F6F">
        <w:t xml:space="preserve"> Yukari </w:t>
      </w:r>
      <w:proofErr w:type="spellStart"/>
      <w:r w:rsidR="00934F6F">
        <w:t>Takarae</w:t>
      </w:r>
      <w:proofErr w:type="spellEnd"/>
      <w:r w:rsidR="00934F6F">
        <w:rPr>
          <w:rStyle w:val="FootnoteReference"/>
        </w:rPr>
        <w:footnoteReference w:id="29"/>
      </w:r>
      <w:r w:rsidR="00934F6F">
        <w:t>,</w:t>
      </w:r>
      <w:r w:rsidR="00934F6F">
        <w:t xml:space="preserve"> Megan Smith</w:t>
      </w:r>
      <w:r w:rsidR="00572369">
        <w:rPr>
          <w:rStyle w:val="FootnoteReference"/>
        </w:rPr>
        <w:t>2</w:t>
      </w:r>
      <w:r w:rsidR="00572369" w:rsidRPr="00572369">
        <w:rPr>
          <w:vertAlign w:val="superscript"/>
        </w:rPr>
        <w:t>6</w:t>
      </w:r>
      <w:r w:rsidR="00934F6F">
        <w:t>,</w:t>
      </w:r>
      <w:r w:rsidR="00934F6F">
        <w:t xml:space="preserve"> Maggie Zheng</w:t>
      </w:r>
      <w:r w:rsidR="00934F6F">
        <w:rPr>
          <w:rStyle w:val="FootnoteReference"/>
        </w:rPr>
        <w:footnoteReference w:id="30"/>
      </w:r>
      <w:r w:rsidR="00934F6F">
        <w:t>,</w:t>
      </w:r>
      <w:r w:rsidR="00934F6F">
        <w:t xml:space="preserve"> &amp; Marjorie Solomon</w:t>
      </w:r>
      <w:r w:rsidR="00572369">
        <w:rPr>
          <w:rStyle w:val="FootnoteReference"/>
        </w:rPr>
        <w:t>2</w:t>
      </w:r>
      <w:r w:rsidR="00572369" w:rsidRPr="00572369">
        <w:rPr>
          <w:vertAlign w:val="superscript"/>
        </w:rPr>
        <w:t>6</w:t>
      </w:r>
      <w:r w:rsidR="00934F6F">
        <w:t>.</w:t>
      </w:r>
    </w:p>
    <w:p w14:paraId="7BB18E62" w14:textId="780E5EFF" w:rsidR="0064135E" w:rsidRDefault="0064135E" w:rsidP="0064135E">
      <w:r w:rsidRPr="002A64F0">
        <w:rPr>
          <w:b/>
          <w:bCs/>
        </w:rPr>
        <w:t>Introduction</w:t>
      </w:r>
      <w:r>
        <w:t xml:space="preserve">: </w:t>
      </w:r>
      <w:r w:rsidR="00934F6F" w:rsidRPr="00934F6F">
        <w:t xml:space="preserve">Less than 20% of autistic individuals in the U.S. achieve Competitive Integrated Employment (CIE) (Annual Disability Statistics Compendium), yet research on supported employment services for them remains limited. The Individualized Placement and Support (IPS) model is well-established for individuals with severe mental illness (28 RCTs) (Drake &amp; Bond, 2023). Key IPS principles include a focus on CIE, zero exclusion to employment, integrating mental and employment services, client-driven rapid job search (no internships), having the same employment specialist (ESs) handle job development (6-employer contacts/week), coaching and long-term support, and fidelity assessment at 6- and 12-months to evaluate adherence to IPS model. In the first trial (n=5) of autistic adults in a hospital setting, 100% obtained employment (McClaren et al., 2017). A follow-up community-based trial achieved 36% employment after 1 year (Noel et at., 2018). </w:t>
      </w:r>
      <w:r w:rsidR="00934F6F" w:rsidRPr="00934F6F">
        <w:rPr>
          <w:rFonts w:cs="Arial"/>
          <w:szCs w:val="20"/>
        </w:rPr>
        <w:t xml:space="preserve">Thus, </w:t>
      </w:r>
      <w:r w:rsidR="00934F6F">
        <w:rPr>
          <w:rFonts w:cs="Arial"/>
          <w:szCs w:val="20"/>
        </w:rPr>
        <w:t>this study</w:t>
      </w:r>
      <w:r w:rsidR="00934F6F" w:rsidRPr="00934F6F">
        <w:rPr>
          <w:rFonts w:cs="Arial"/>
          <w:szCs w:val="20"/>
        </w:rPr>
        <w:t xml:space="preserve"> test</w:t>
      </w:r>
      <w:r w:rsidR="00934F6F" w:rsidRPr="00934F6F">
        <w:rPr>
          <w:rFonts w:cs="Arial"/>
          <w:szCs w:val="20"/>
        </w:rPr>
        <w:t>ed</w:t>
      </w:r>
      <w:r w:rsidR="00934F6F" w:rsidRPr="00934F6F">
        <w:rPr>
          <w:rFonts w:cs="Arial"/>
          <w:szCs w:val="20"/>
        </w:rPr>
        <w:t xml:space="preserve"> the feasibility, acceptability, and employment outcomes of IPS among California Department of Developmental Services (DDS) providers, informing the adaptation of the IPS model for autistic adults with and/or without ID.</w:t>
      </w:r>
    </w:p>
    <w:p w14:paraId="65B02D3A" w14:textId="69822370" w:rsidR="0064135E" w:rsidRDefault="0064135E" w:rsidP="0064135E">
      <w:r w:rsidRPr="007B5928">
        <w:rPr>
          <w:b/>
          <w:bCs/>
        </w:rPr>
        <w:t>Method</w:t>
      </w:r>
      <w:r>
        <w:t xml:space="preserve">: </w:t>
      </w:r>
      <w:r w:rsidR="00E6693B" w:rsidRPr="00E6693B">
        <w:t>Four community agencies participated in IPS training with ongoing weekly consultations, and site visits. Fidelity was assessed at 6- and 12-months. We enrolled 21 clients (13M, 8F), aged 20-52, (M=30, SD=19) with autism (with/without ID; n=17) or ID-only (n=4) with Verbal-IQs 59-132 (M=97, SD=19) who were 62% White, 14% Black, 10% Hispanic/Latino, and 14% Mixed Race. Employment outcomes were tracked. Focus groups with clients (n=13), caregivers (n=4), ESs (n=4), and supervisors (n=6) identified barriers and facilitators to IPS adaptation. Community-informed guidelines ensured focus group relevance. Data were analyzed using Rapid Assessment Procedures (</w:t>
      </w:r>
      <w:proofErr w:type="spellStart"/>
      <w:r w:rsidR="00E6693B" w:rsidRPr="00E6693B">
        <w:t>McNall</w:t>
      </w:r>
      <w:proofErr w:type="spellEnd"/>
      <w:r w:rsidR="00E6693B" w:rsidRPr="00E6693B">
        <w:t xml:space="preserve"> &amp; Foster-Fishman, 2007), including thematic analysis by independent coders using </w:t>
      </w:r>
      <w:proofErr w:type="spellStart"/>
      <w:r w:rsidR="00E6693B" w:rsidRPr="00E6693B">
        <w:t>Dedoose</w:t>
      </w:r>
      <w:proofErr w:type="spellEnd"/>
      <w:r w:rsidR="00E6693B" w:rsidRPr="00E6693B">
        <w:t>™.</w:t>
      </w:r>
    </w:p>
    <w:p w14:paraId="32C3EC01" w14:textId="35FF0843" w:rsidR="0064135E" w:rsidRDefault="0064135E" w:rsidP="0064135E">
      <w:r w:rsidRPr="007B5928">
        <w:rPr>
          <w:b/>
          <w:bCs/>
        </w:rPr>
        <w:t>Results</w:t>
      </w:r>
      <w:r>
        <w:t>:</w:t>
      </w:r>
      <w:r w:rsidRPr="009B17A1">
        <w:t xml:space="preserve"> </w:t>
      </w:r>
      <w:r w:rsidR="00E6693B" w:rsidRPr="00E6693B">
        <w:t>There was 75% agency and 100% client retention at 12-months. Eleven CIE placements were made (52% success), with 80% retaining employment for ≥6-months. At 6-months, 3 agencies had fair fidelity (1 did not meet criteria). By 12-months, 1 agency achieved good fidelity, 1 maintained fair fidelity, 1 still failed, and 1 withdrew. Common barriers to implementation included staff turnover and IPS discouragement of the use of internships (Table 1). Clients reported gaining job skills and confidence but noted some job mismatch and inadequate on-the-job supports.</w:t>
      </w:r>
      <w:r w:rsidR="00E6693B" w:rsidRPr="00E6693B">
        <w:rPr>
          <w:b/>
          <w:bCs/>
        </w:rPr>
        <w:t xml:space="preserve"> </w:t>
      </w:r>
      <w:r w:rsidR="00E6693B" w:rsidRPr="00E6693B">
        <w:t xml:space="preserve">Parents expressed concern their children were overqualified for some job placements, although they reported learning to work effectively with ESs and helping their children self-advocate. They mentioned the utility of parent-to-parent mentorship.  ESs felt IPS strengthened their relationships with consumers; they liked going out into </w:t>
      </w:r>
      <w:r w:rsidR="00E6693B" w:rsidRPr="00E6693B">
        <w:lastRenderedPageBreak/>
        <w:t>the community to develop jobs but found the 6-contacts/week requirement challenging. ESs and supervisors highlighted inadequate training for fidelity reviews. Supervisors also cited large caseloads, combining the development and coach roles, and required duration of employment supports as barriers.</w:t>
      </w:r>
    </w:p>
    <w:p w14:paraId="6E713001" w14:textId="31505D0F" w:rsidR="0064135E" w:rsidRDefault="0064135E" w:rsidP="0064135E">
      <w:r w:rsidRPr="007B5928">
        <w:rPr>
          <w:b/>
          <w:bCs/>
        </w:rPr>
        <w:t>Discussion</w:t>
      </w:r>
      <w:r>
        <w:t xml:space="preserve">: </w:t>
      </w:r>
      <w:r w:rsidR="00E6693B" w:rsidRPr="00E6693B">
        <w:t xml:space="preserve">IPS shows potential to improve employment outcomes for autistic individuals. In adapting the model, we will be soliciting additional community input on reconsidering the use of internships, better preparing and training ESs and agencies, parent to parent mentoring, and assisting agencies in job development. Work with the Department of Rehabilitation and DDS about sustainable funding is ongoing.   </w:t>
      </w:r>
    </w:p>
    <w:p w14:paraId="074B8D0E" w14:textId="79ADE61B" w:rsidR="0064135E" w:rsidRDefault="0064135E" w:rsidP="0064135E">
      <w:r w:rsidRPr="007B5928">
        <w:rPr>
          <w:b/>
          <w:bCs/>
        </w:rPr>
        <w:t>References</w:t>
      </w:r>
      <w:r w:rsidR="006111D6">
        <w:t>:</w:t>
      </w:r>
    </w:p>
    <w:p w14:paraId="1834325C" w14:textId="77777777" w:rsidR="00472423" w:rsidRDefault="00472423" w:rsidP="0064135E">
      <w:r w:rsidRPr="00472423">
        <w:t>Drake, R. E., &amp; Bond, G. R. (2023). Individual placement and support: History, current status, and future directions. </w:t>
      </w:r>
      <w:r w:rsidRPr="00472423">
        <w:rPr>
          <w:i/>
          <w:iCs/>
        </w:rPr>
        <w:t>Psychiatry and Clinical Neurosciences Reports</w:t>
      </w:r>
      <w:r w:rsidRPr="00472423">
        <w:t>, </w:t>
      </w:r>
      <w:r w:rsidRPr="00472423">
        <w:rPr>
          <w:i/>
          <w:iCs/>
        </w:rPr>
        <w:t>2</w:t>
      </w:r>
      <w:r w:rsidRPr="00472423">
        <w:t>(3), e122.</w:t>
      </w:r>
      <w:r w:rsidRPr="00472423">
        <w:t xml:space="preserve"> </w:t>
      </w:r>
    </w:p>
    <w:p w14:paraId="3D19ED8A" w14:textId="77777777" w:rsidR="00472423" w:rsidRDefault="00472423" w:rsidP="0064135E">
      <w:r w:rsidRPr="00472423">
        <w:t>McLaren, J., Lichtenstein, J. D., Lynch, D., Becker, D., &amp; Drake, R. (2017). Individual placement and support for people with autism spectrum disorders: A pilot program. </w:t>
      </w:r>
      <w:r w:rsidRPr="00472423">
        <w:rPr>
          <w:i/>
          <w:iCs/>
        </w:rPr>
        <w:t>Administration and Policy in Mental Health and Mental Health Services Research</w:t>
      </w:r>
      <w:r w:rsidRPr="00472423">
        <w:t>, </w:t>
      </w:r>
      <w:r w:rsidRPr="00472423">
        <w:rPr>
          <w:i/>
          <w:iCs/>
        </w:rPr>
        <w:t>44</w:t>
      </w:r>
      <w:r w:rsidRPr="00472423">
        <w:t>(3), 365-373.</w:t>
      </w:r>
    </w:p>
    <w:p w14:paraId="5D954D2E" w14:textId="21E3D974" w:rsidR="006111D6" w:rsidRDefault="00472423" w:rsidP="0064135E">
      <w:r w:rsidRPr="00472423">
        <w:t xml:space="preserve">Noel, V. A., </w:t>
      </w:r>
      <w:proofErr w:type="spellStart"/>
      <w:r w:rsidRPr="00472423">
        <w:t>Oulvey</w:t>
      </w:r>
      <w:proofErr w:type="spellEnd"/>
      <w:r w:rsidRPr="00472423">
        <w:t xml:space="preserve">, E., Drake, R. E., Bond, G. R., Carpenter-Song, E. A., &amp; </w:t>
      </w:r>
      <w:proofErr w:type="spellStart"/>
      <w:r w:rsidRPr="00472423">
        <w:t>DeAtley</w:t>
      </w:r>
      <w:proofErr w:type="spellEnd"/>
      <w:r w:rsidRPr="00472423">
        <w:t>, B. (2018). A preliminary evaluation of individual placement and support for youth with developmental and psychiatric disabilities. </w:t>
      </w:r>
      <w:r w:rsidRPr="00472423">
        <w:rPr>
          <w:i/>
          <w:iCs/>
        </w:rPr>
        <w:t>Journal of Vocational Rehabilitation</w:t>
      </w:r>
      <w:r w:rsidRPr="00472423">
        <w:t>, </w:t>
      </w:r>
      <w:r w:rsidRPr="00472423">
        <w:rPr>
          <w:i/>
          <w:iCs/>
        </w:rPr>
        <w:t>48</w:t>
      </w:r>
      <w:r w:rsidRPr="00472423">
        <w:t>(2), 249-255.</w:t>
      </w:r>
    </w:p>
    <w:tbl>
      <w:tblPr>
        <w:tblStyle w:val="TableGrid"/>
        <w:tblW w:w="5000" w:type="pct"/>
        <w:tblLook w:val="04A0" w:firstRow="1" w:lastRow="0" w:firstColumn="1" w:lastColumn="0" w:noHBand="0" w:noVBand="1"/>
      </w:tblPr>
      <w:tblGrid>
        <w:gridCol w:w="3131"/>
        <w:gridCol w:w="1318"/>
        <w:gridCol w:w="1402"/>
        <w:gridCol w:w="1503"/>
        <w:gridCol w:w="1522"/>
        <w:gridCol w:w="1636"/>
      </w:tblGrid>
      <w:tr w:rsidR="00045186" w14:paraId="00506DEE" w14:textId="77777777" w:rsidTr="00E30373">
        <w:trPr>
          <w:trHeight w:val="806"/>
        </w:trPr>
        <w:tc>
          <w:tcPr>
            <w:tcW w:w="5000" w:type="pct"/>
            <w:gridSpan w:val="6"/>
            <w:tcBorders>
              <w:top w:val="nil"/>
              <w:left w:val="nil"/>
              <w:bottom w:val="single" w:sz="4" w:space="0" w:color="auto"/>
              <w:right w:val="nil"/>
            </w:tcBorders>
            <w:vAlign w:val="center"/>
            <w:hideMark/>
          </w:tcPr>
          <w:p w14:paraId="0427A779" w14:textId="77777777" w:rsidR="00045186" w:rsidRPr="00B11FC2" w:rsidRDefault="00045186" w:rsidP="00E30373">
            <w:pPr>
              <w:rPr>
                <w:rFonts w:cs="Arial"/>
                <w:szCs w:val="20"/>
              </w:rPr>
            </w:pPr>
            <w:r w:rsidRPr="00B11FC2">
              <w:rPr>
                <w:rFonts w:cs="Arial"/>
                <w:b/>
                <w:bCs/>
                <w:szCs w:val="20"/>
              </w:rPr>
              <w:t>Table 1.</w:t>
            </w:r>
            <w:r w:rsidRPr="00B11FC2">
              <w:rPr>
                <w:rFonts w:cs="Arial"/>
                <w:szCs w:val="20"/>
              </w:rPr>
              <w:t xml:space="preserve"> Most Common Barriers and Facilitators to IPS Implementation</w:t>
            </w:r>
          </w:p>
        </w:tc>
      </w:tr>
      <w:tr w:rsidR="00045186" w14:paraId="432EA65A" w14:textId="77777777" w:rsidTr="00E30373">
        <w:trPr>
          <w:trHeight w:val="806"/>
        </w:trPr>
        <w:tc>
          <w:tcPr>
            <w:tcW w:w="1489" w:type="pct"/>
            <w:tcBorders>
              <w:top w:val="single" w:sz="4" w:space="0" w:color="auto"/>
              <w:left w:val="single" w:sz="4" w:space="0" w:color="auto"/>
              <w:bottom w:val="single" w:sz="4" w:space="0" w:color="auto"/>
              <w:right w:val="single" w:sz="4" w:space="0" w:color="auto"/>
            </w:tcBorders>
            <w:vAlign w:val="center"/>
            <w:hideMark/>
          </w:tcPr>
          <w:p w14:paraId="2895F3F1" w14:textId="77777777" w:rsidR="00045186" w:rsidRPr="00B11FC2" w:rsidRDefault="00045186" w:rsidP="00E30373">
            <w:pPr>
              <w:jc w:val="center"/>
              <w:rPr>
                <w:rFonts w:cs="Arial"/>
                <w:szCs w:val="20"/>
              </w:rPr>
            </w:pPr>
            <w:r w:rsidRPr="00B11FC2">
              <w:rPr>
                <w:rFonts w:cs="Arial"/>
                <w:szCs w:val="20"/>
              </w:rPr>
              <w:t>Theme</w:t>
            </w:r>
          </w:p>
        </w:tc>
        <w:tc>
          <w:tcPr>
            <w:tcW w:w="627" w:type="pct"/>
            <w:tcBorders>
              <w:top w:val="single" w:sz="4" w:space="0" w:color="auto"/>
              <w:left w:val="single" w:sz="4" w:space="0" w:color="auto"/>
              <w:bottom w:val="single" w:sz="4" w:space="0" w:color="auto"/>
              <w:right w:val="single" w:sz="4" w:space="0" w:color="auto"/>
            </w:tcBorders>
            <w:vAlign w:val="center"/>
            <w:hideMark/>
          </w:tcPr>
          <w:p w14:paraId="1BBC2C09" w14:textId="77777777" w:rsidR="00045186" w:rsidRPr="00B11FC2" w:rsidRDefault="00045186" w:rsidP="00E30373">
            <w:pPr>
              <w:jc w:val="center"/>
              <w:rPr>
                <w:rFonts w:cs="Arial"/>
                <w:szCs w:val="20"/>
              </w:rPr>
            </w:pPr>
            <w:r w:rsidRPr="00B11FC2">
              <w:rPr>
                <w:rFonts w:cs="Arial"/>
                <w:szCs w:val="20"/>
              </w:rPr>
              <w:t>Type</w:t>
            </w:r>
          </w:p>
        </w:tc>
        <w:tc>
          <w:tcPr>
            <w:tcW w:w="667" w:type="pct"/>
            <w:tcBorders>
              <w:top w:val="single" w:sz="4" w:space="0" w:color="auto"/>
              <w:left w:val="single" w:sz="4" w:space="0" w:color="auto"/>
              <w:bottom w:val="single" w:sz="4" w:space="0" w:color="auto"/>
              <w:right w:val="single" w:sz="4" w:space="0" w:color="auto"/>
            </w:tcBorders>
            <w:vAlign w:val="center"/>
            <w:hideMark/>
          </w:tcPr>
          <w:p w14:paraId="1CF22213" w14:textId="77777777" w:rsidR="00045186" w:rsidRPr="00B11FC2" w:rsidRDefault="00045186" w:rsidP="00E30373">
            <w:pPr>
              <w:jc w:val="center"/>
              <w:rPr>
                <w:rFonts w:cs="Arial"/>
                <w:szCs w:val="20"/>
              </w:rPr>
            </w:pPr>
            <w:r w:rsidRPr="00B11FC2">
              <w:rPr>
                <w:rFonts w:cs="Arial"/>
                <w:szCs w:val="20"/>
              </w:rPr>
              <w:t>ESs</w:t>
            </w:r>
          </w:p>
        </w:tc>
        <w:tc>
          <w:tcPr>
            <w:tcW w:w="715" w:type="pct"/>
            <w:tcBorders>
              <w:top w:val="single" w:sz="4" w:space="0" w:color="auto"/>
              <w:left w:val="single" w:sz="4" w:space="0" w:color="auto"/>
              <w:bottom w:val="single" w:sz="4" w:space="0" w:color="auto"/>
              <w:right w:val="single" w:sz="4" w:space="0" w:color="auto"/>
            </w:tcBorders>
            <w:vAlign w:val="center"/>
            <w:hideMark/>
          </w:tcPr>
          <w:p w14:paraId="1011ED5A" w14:textId="77777777" w:rsidR="00045186" w:rsidRPr="00B11FC2" w:rsidRDefault="00045186" w:rsidP="00E30373">
            <w:pPr>
              <w:jc w:val="center"/>
              <w:rPr>
                <w:rFonts w:cs="Arial"/>
                <w:szCs w:val="20"/>
              </w:rPr>
            </w:pPr>
            <w:r w:rsidRPr="00B11FC2">
              <w:rPr>
                <w:rFonts w:cs="Arial"/>
                <w:szCs w:val="20"/>
              </w:rPr>
              <w:t>Supervisors</w:t>
            </w:r>
          </w:p>
        </w:tc>
        <w:tc>
          <w:tcPr>
            <w:tcW w:w="724" w:type="pct"/>
            <w:tcBorders>
              <w:top w:val="single" w:sz="4" w:space="0" w:color="auto"/>
              <w:left w:val="single" w:sz="4" w:space="0" w:color="auto"/>
              <w:bottom w:val="single" w:sz="4" w:space="0" w:color="auto"/>
              <w:right w:val="single" w:sz="4" w:space="0" w:color="auto"/>
            </w:tcBorders>
            <w:vAlign w:val="center"/>
            <w:hideMark/>
          </w:tcPr>
          <w:p w14:paraId="1ACB3CE3" w14:textId="77777777" w:rsidR="00045186" w:rsidRPr="00B11FC2" w:rsidRDefault="00045186" w:rsidP="00E30373">
            <w:pPr>
              <w:jc w:val="center"/>
              <w:rPr>
                <w:rFonts w:cs="Arial"/>
                <w:szCs w:val="20"/>
              </w:rPr>
            </w:pPr>
            <w:r w:rsidRPr="00B11FC2">
              <w:rPr>
                <w:rFonts w:cs="Arial"/>
                <w:szCs w:val="20"/>
              </w:rPr>
              <w:t>Consumers</w:t>
            </w:r>
          </w:p>
        </w:tc>
        <w:tc>
          <w:tcPr>
            <w:tcW w:w="778" w:type="pct"/>
            <w:tcBorders>
              <w:top w:val="single" w:sz="4" w:space="0" w:color="auto"/>
              <w:left w:val="single" w:sz="4" w:space="0" w:color="auto"/>
              <w:bottom w:val="single" w:sz="4" w:space="0" w:color="auto"/>
              <w:right w:val="single" w:sz="4" w:space="0" w:color="auto"/>
            </w:tcBorders>
            <w:vAlign w:val="center"/>
            <w:hideMark/>
          </w:tcPr>
          <w:p w14:paraId="01EB83DF" w14:textId="77777777" w:rsidR="00045186" w:rsidRPr="00B11FC2" w:rsidRDefault="00045186" w:rsidP="00E30373">
            <w:pPr>
              <w:jc w:val="center"/>
              <w:rPr>
                <w:rFonts w:cs="Arial"/>
                <w:szCs w:val="20"/>
              </w:rPr>
            </w:pPr>
            <w:r w:rsidRPr="00B11FC2">
              <w:rPr>
                <w:rFonts w:cs="Arial"/>
                <w:szCs w:val="20"/>
              </w:rPr>
              <w:t>Caregivers</w:t>
            </w:r>
          </w:p>
        </w:tc>
      </w:tr>
      <w:tr w:rsidR="00045186" w14:paraId="228D4D58" w14:textId="77777777" w:rsidTr="00E30373">
        <w:trPr>
          <w:trHeight w:val="806"/>
        </w:trPr>
        <w:tc>
          <w:tcPr>
            <w:tcW w:w="1489"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6FB0A835" w14:textId="77777777" w:rsidR="00045186" w:rsidRPr="00B11FC2" w:rsidRDefault="00045186" w:rsidP="00E30373">
            <w:pPr>
              <w:jc w:val="center"/>
              <w:rPr>
                <w:rFonts w:cs="Arial"/>
                <w:szCs w:val="20"/>
              </w:rPr>
            </w:pPr>
            <w:r w:rsidRPr="00B11FC2">
              <w:rPr>
                <w:rFonts w:cs="Arial"/>
                <w:szCs w:val="20"/>
              </w:rPr>
              <w:t>Staff Turnover</w:t>
            </w:r>
          </w:p>
        </w:tc>
        <w:tc>
          <w:tcPr>
            <w:tcW w:w="627"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6731DE1B" w14:textId="77777777" w:rsidR="00045186" w:rsidRPr="00B11FC2" w:rsidRDefault="00045186" w:rsidP="00E30373">
            <w:pPr>
              <w:jc w:val="center"/>
              <w:rPr>
                <w:rFonts w:cs="Arial"/>
                <w:szCs w:val="20"/>
              </w:rPr>
            </w:pPr>
            <w:r w:rsidRPr="00B11FC2">
              <w:rPr>
                <w:rFonts w:cs="Arial"/>
                <w:szCs w:val="20"/>
              </w:rPr>
              <w:t>Barrier</w:t>
            </w:r>
          </w:p>
        </w:tc>
        <w:tc>
          <w:tcPr>
            <w:tcW w:w="667"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7F229E60" w14:textId="77777777" w:rsidR="00045186" w:rsidRPr="00B11FC2" w:rsidRDefault="00045186" w:rsidP="00E30373">
            <w:pPr>
              <w:jc w:val="center"/>
              <w:rPr>
                <w:rFonts w:cs="Arial"/>
                <w:szCs w:val="20"/>
              </w:rPr>
            </w:pPr>
            <w:r w:rsidRPr="00B11FC2">
              <w:rPr>
                <w:rFonts w:cs="Arial"/>
                <w:szCs w:val="20"/>
              </w:rPr>
              <w:t>+</w:t>
            </w:r>
          </w:p>
        </w:tc>
        <w:tc>
          <w:tcPr>
            <w:tcW w:w="715"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6E22D0A4" w14:textId="77777777" w:rsidR="00045186" w:rsidRPr="00B11FC2" w:rsidRDefault="00045186" w:rsidP="00E30373">
            <w:pPr>
              <w:jc w:val="center"/>
              <w:rPr>
                <w:rFonts w:cs="Arial"/>
                <w:szCs w:val="20"/>
              </w:rPr>
            </w:pPr>
            <w:r w:rsidRPr="00B11FC2">
              <w:rPr>
                <w:rFonts w:cs="Arial"/>
                <w:szCs w:val="20"/>
              </w:rPr>
              <w:t>+</w:t>
            </w:r>
          </w:p>
        </w:tc>
        <w:tc>
          <w:tcPr>
            <w:tcW w:w="724"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48AB28E0" w14:textId="77777777" w:rsidR="00045186" w:rsidRPr="00B11FC2" w:rsidRDefault="00045186" w:rsidP="00E30373">
            <w:pPr>
              <w:jc w:val="center"/>
              <w:rPr>
                <w:rFonts w:cs="Arial"/>
                <w:szCs w:val="20"/>
              </w:rPr>
            </w:pPr>
            <w:r w:rsidRPr="00B11FC2">
              <w:rPr>
                <w:rFonts w:cs="Arial"/>
                <w:szCs w:val="20"/>
              </w:rPr>
              <w:t>+</w:t>
            </w:r>
          </w:p>
        </w:tc>
        <w:tc>
          <w:tcPr>
            <w:tcW w:w="778"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694BF89B" w14:textId="77777777" w:rsidR="00045186" w:rsidRPr="00B11FC2" w:rsidRDefault="00045186" w:rsidP="00E30373">
            <w:pPr>
              <w:jc w:val="center"/>
              <w:rPr>
                <w:rFonts w:cs="Arial"/>
                <w:szCs w:val="20"/>
              </w:rPr>
            </w:pPr>
            <w:r w:rsidRPr="00B11FC2">
              <w:rPr>
                <w:rFonts w:cs="Arial"/>
                <w:szCs w:val="20"/>
              </w:rPr>
              <w:t>+</w:t>
            </w:r>
          </w:p>
        </w:tc>
      </w:tr>
      <w:tr w:rsidR="00045186" w14:paraId="4D44C375" w14:textId="77777777" w:rsidTr="00E30373">
        <w:trPr>
          <w:trHeight w:val="863"/>
        </w:trPr>
        <w:tc>
          <w:tcPr>
            <w:tcW w:w="1489"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21DCE630" w14:textId="77777777" w:rsidR="00045186" w:rsidRPr="00B11FC2" w:rsidRDefault="00045186" w:rsidP="00E30373">
            <w:pPr>
              <w:jc w:val="center"/>
              <w:rPr>
                <w:rFonts w:cs="Arial"/>
                <w:szCs w:val="20"/>
              </w:rPr>
            </w:pPr>
            <w:r w:rsidRPr="00B11FC2">
              <w:rPr>
                <w:rFonts w:cs="Arial"/>
                <w:szCs w:val="20"/>
              </w:rPr>
              <w:t>IPS Discouragement of Internships</w:t>
            </w:r>
          </w:p>
        </w:tc>
        <w:tc>
          <w:tcPr>
            <w:tcW w:w="627"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32778246" w14:textId="77777777" w:rsidR="00045186" w:rsidRPr="00B11FC2" w:rsidRDefault="00045186" w:rsidP="00E30373">
            <w:pPr>
              <w:jc w:val="center"/>
              <w:rPr>
                <w:rFonts w:cs="Arial"/>
                <w:szCs w:val="20"/>
              </w:rPr>
            </w:pPr>
            <w:r w:rsidRPr="00B11FC2">
              <w:rPr>
                <w:rFonts w:cs="Arial"/>
                <w:szCs w:val="20"/>
              </w:rPr>
              <w:t>Barrier</w:t>
            </w:r>
          </w:p>
        </w:tc>
        <w:tc>
          <w:tcPr>
            <w:tcW w:w="667"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2DCD922B" w14:textId="77777777" w:rsidR="00045186" w:rsidRPr="00B11FC2" w:rsidRDefault="00045186" w:rsidP="00E30373">
            <w:pPr>
              <w:jc w:val="center"/>
              <w:rPr>
                <w:rFonts w:cs="Arial"/>
                <w:szCs w:val="20"/>
              </w:rPr>
            </w:pPr>
            <w:r w:rsidRPr="00B11FC2">
              <w:rPr>
                <w:rFonts w:cs="Arial"/>
                <w:szCs w:val="20"/>
              </w:rPr>
              <w:t>+</w:t>
            </w:r>
          </w:p>
        </w:tc>
        <w:tc>
          <w:tcPr>
            <w:tcW w:w="715"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426D5430" w14:textId="77777777" w:rsidR="00045186" w:rsidRPr="00B11FC2" w:rsidRDefault="00045186" w:rsidP="00E30373">
            <w:pPr>
              <w:jc w:val="center"/>
              <w:rPr>
                <w:rFonts w:cs="Arial"/>
                <w:szCs w:val="20"/>
              </w:rPr>
            </w:pPr>
            <w:r w:rsidRPr="00B11FC2">
              <w:rPr>
                <w:rFonts w:cs="Arial"/>
                <w:szCs w:val="20"/>
              </w:rPr>
              <w:t>+</w:t>
            </w:r>
          </w:p>
        </w:tc>
        <w:tc>
          <w:tcPr>
            <w:tcW w:w="724"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774383BC" w14:textId="77777777" w:rsidR="00045186" w:rsidRPr="00B11FC2" w:rsidRDefault="00045186" w:rsidP="00E30373">
            <w:pPr>
              <w:jc w:val="center"/>
              <w:rPr>
                <w:rFonts w:cs="Arial"/>
                <w:szCs w:val="20"/>
              </w:rPr>
            </w:pPr>
            <w:r w:rsidRPr="00B11FC2">
              <w:rPr>
                <w:rFonts w:cs="Arial"/>
                <w:szCs w:val="20"/>
              </w:rPr>
              <w:t>+</w:t>
            </w:r>
          </w:p>
        </w:tc>
        <w:tc>
          <w:tcPr>
            <w:tcW w:w="778"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7421BC61" w14:textId="77777777" w:rsidR="00045186" w:rsidRPr="00B11FC2" w:rsidRDefault="00045186" w:rsidP="00E30373">
            <w:pPr>
              <w:jc w:val="center"/>
              <w:rPr>
                <w:rFonts w:cs="Arial"/>
                <w:szCs w:val="20"/>
              </w:rPr>
            </w:pPr>
            <w:r w:rsidRPr="00B11FC2">
              <w:rPr>
                <w:rFonts w:cs="Arial"/>
                <w:szCs w:val="20"/>
              </w:rPr>
              <w:t>+</w:t>
            </w:r>
          </w:p>
        </w:tc>
      </w:tr>
      <w:tr w:rsidR="00045186" w14:paraId="5C563149" w14:textId="77777777" w:rsidTr="00E30373">
        <w:trPr>
          <w:trHeight w:val="806"/>
        </w:trPr>
        <w:tc>
          <w:tcPr>
            <w:tcW w:w="1489"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620B40D6" w14:textId="77777777" w:rsidR="00045186" w:rsidRPr="00B11FC2" w:rsidRDefault="00045186" w:rsidP="00E30373">
            <w:pPr>
              <w:jc w:val="center"/>
              <w:rPr>
                <w:rFonts w:cs="Arial"/>
                <w:szCs w:val="20"/>
              </w:rPr>
            </w:pPr>
            <w:r w:rsidRPr="00B11FC2">
              <w:rPr>
                <w:rFonts w:cs="Arial"/>
                <w:szCs w:val="20"/>
              </w:rPr>
              <w:t>Large caseloads</w:t>
            </w:r>
          </w:p>
        </w:tc>
        <w:tc>
          <w:tcPr>
            <w:tcW w:w="627"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64C329B5" w14:textId="77777777" w:rsidR="00045186" w:rsidRPr="00B11FC2" w:rsidRDefault="00045186" w:rsidP="00E30373">
            <w:pPr>
              <w:jc w:val="center"/>
              <w:rPr>
                <w:rFonts w:cs="Arial"/>
                <w:szCs w:val="20"/>
              </w:rPr>
            </w:pPr>
            <w:r w:rsidRPr="00B11FC2">
              <w:rPr>
                <w:rFonts w:cs="Arial"/>
                <w:szCs w:val="20"/>
              </w:rPr>
              <w:t>Barrier</w:t>
            </w:r>
          </w:p>
        </w:tc>
        <w:tc>
          <w:tcPr>
            <w:tcW w:w="667"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2E23E809" w14:textId="77777777" w:rsidR="00045186" w:rsidRPr="00B11FC2" w:rsidRDefault="00045186" w:rsidP="00E30373">
            <w:pPr>
              <w:jc w:val="center"/>
              <w:rPr>
                <w:rFonts w:cs="Arial"/>
                <w:szCs w:val="20"/>
              </w:rPr>
            </w:pPr>
            <w:r w:rsidRPr="00B11FC2">
              <w:rPr>
                <w:rFonts w:cs="Arial"/>
                <w:szCs w:val="20"/>
              </w:rPr>
              <w:t>+</w:t>
            </w:r>
          </w:p>
        </w:tc>
        <w:tc>
          <w:tcPr>
            <w:tcW w:w="715"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32896E99" w14:textId="77777777" w:rsidR="00045186" w:rsidRPr="00B11FC2" w:rsidRDefault="00045186" w:rsidP="00E30373">
            <w:pPr>
              <w:jc w:val="center"/>
              <w:rPr>
                <w:rFonts w:cs="Arial"/>
                <w:szCs w:val="20"/>
              </w:rPr>
            </w:pPr>
            <w:r w:rsidRPr="00B11FC2">
              <w:rPr>
                <w:rFonts w:cs="Arial"/>
                <w:szCs w:val="20"/>
              </w:rPr>
              <w:t>+</w:t>
            </w:r>
          </w:p>
        </w:tc>
        <w:tc>
          <w:tcPr>
            <w:tcW w:w="724"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5D64A871" w14:textId="77777777" w:rsidR="00045186" w:rsidRPr="00B11FC2" w:rsidRDefault="00045186" w:rsidP="00E30373">
            <w:pPr>
              <w:jc w:val="center"/>
              <w:rPr>
                <w:rFonts w:cs="Arial"/>
                <w:szCs w:val="20"/>
              </w:rPr>
            </w:pPr>
            <w:r w:rsidRPr="00B11FC2">
              <w:rPr>
                <w:rFonts w:cs="Arial"/>
                <w:szCs w:val="20"/>
              </w:rPr>
              <w:t>-</w:t>
            </w:r>
          </w:p>
        </w:tc>
        <w:tc>
          <w:tcPr>
            <w:tcW w:w="778"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799ECE1D" w14:textId="77777777" w:rsidR="00045186" w:rsidRPr="00B11FC2" w:rsidRDefault="00045186" w:rsidP="00E30373">
            <w:pPr>
              <w:jc w:val="center"/>
              <w:rPr>
                <w:rFonts w:cs="Arial"/>
                <w:szCs w:val="20"/>
              </w:rPr>
            </w:pPr>
            <w:r w:rsidRPr="00B11FC2">
              <w:rPr>
                <w:rFonts w:cs="Arial"/>
                <w:szCs w:val="20"/>
              </w:rPr>
              <w:t>-</w:t>
            </w:r>
          </w:p>
        </w:tc>
      </w:tr>
      <w:tr w:rsidR="00045186" w14:paraId="1C182472" w14:textId="77777777" w:rsidTr="00E30373">
        <w:trPr>
          <w:trHeight w:val="806"/>
        </w:trPr>
        <w:tc>
          <w:tcPr>
            <w:tcW w:w="1489"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71AD9602" w14:textId="77777777" w:rsidR="00045186" w:rsidRPr="00B11FC2" w:rsidRDefault="00045186" w:rsidP="00E30373">
            <w:pPr>
              <w:jc w:val="center"/>
              <w:rPr>
                <w:rFonts w:cs="Arial"/>
                <w:szCs w:val="20"/>
              </w:rPr>
            </w:pPr>
            <w:r w:rsidRPr="00B11FC2">
              <w:rPr>
                <w:rFonts w:cs="Arial"/>
                <w:szCs w:val="20"/>
              </w:rPr>
              <w:t>Combining the development and coach roles</w:t>
            </w:r>
          </w:p>
        </w:tc>
        <w:tc>
          <w:tcPr>
            <w:tcW w:w="627"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2B60B86C" w14:textId="77777777" w:rsidR="00045186" w:rsidRPr="00B11FC2" w:rsidRDefault="00045186" w:rsidP="00E30373">
            <w:pPr>
              <w:jc w:val="center"/>
              <w:rPr>
                <w:rFonts w:cs="Arial"/>
                <w:szCs w:val="20"/>
              </w:rPr>
            </w:pPr>
            <w:r w:rsidRPr="00B11FC2">
              <w:rPr>
                <w:rFonts w:cs="Arial"/>
                <w:szCs w:val="20"/>
              </w:rPr>
              <w:t>Barrier</w:t>
            </w:r>
          </w:p>
        </w:tc>
        <w:tc>
          <w:tcPr>
            <w:tcW w:w="667"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388FDE14" w14:textId="77777777" w:rsidR="00045186" w:rsidRPr="00B11FC2" w:rsidRDefault="00045186" w:rsidP="00E30373">
            <w:pPr>
              <w:jc w:val="center"/>
              <w:rPr>
                <w:rFonts w:cs="Arial"/>
                <w:szCs w:val="20"/>
              </w:rPr>
            </w:pPr>
            <w:r w:rsidRPr="00B11FC2">
              <w:rPr>
                <w:rFonts w:cs="Arial"/>
                <w:szCs w:val="20"/>
              </w:rPr>
              <w:t>+</w:t>
            </w:r>
          </w:p>
        </w:tc>
        <w:tc>
          <w:tcPr>
            <w:tcW w:w="715"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02476CC0" w14:textId="77777777" w:rsidR="00045186" w:rsidRPr="00B11FC2" w:rsidRDefault="00045186" w:rsidP="00E30373">
            <w:pPr>
              <w:jc w:val="center"/>
              <w:rPr>
                <w:rFonts w:cs="Arial"/>
                <w:szCs w:val="20"/>
              </w:rPr>
            </w:pPr>
            <w:r w:rsidRPr="00B11FC2">
              <w:rPr>
                <w:rFonts w:cs="Arial"/>
                <w:szCs w:val="20"/>
              </w:rPr>
              <w:t>+</w:t>
            </w:r>
          </w:p>
        </w:tc>
        <w:tc>
          <w:tcPr>
            <w:tcW w:w="724"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0923C02B" w14:textId="77777777" w:rsidR="00045186" w:rsidRPr="00B11FC2" w:rsidRDefault="00045186" w:rsidP="00E30373">
            <w:pPr>
              <w:jc w:val="center"/>
              <w:rPr>
                <w:rFonts w:cs="Arial"/>
                <w:szCs w:val="20"/>
              </w:rPr>
            </w:pPr>
            <w:r w:rsidRPr="00B11FC2">
              <w:rPr>
                <w:rFonts w:cs="Arial"/>
                <w:szCs w:val="20"/>
              </w:rPr>
              <w:t>-</w:t>
            </w:r>
          </w:p>
        </w:tc>
        <w:tc>
          <w:tcPr>
            <w:tcW w:w="778"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3B8FF0DD" w14:textId="77777777" w:rsidR="00045186" w:rsidRPr="00B11FC2" w:rsidRDefault="00045186" w:rsidP="00E30373">
            <w:pPr>
              <w:jc w:val="center"/>
              <w:rPr>
                <w:rFonts w:cs="Arial"/>
                <w:szCs w:val="20"/>
              </w:rPr>
            </w:pPr>
            <w:r w:rsidRPr="00B11FC2">
              <w:rPr>
                <w:rFonts w:cs="Arial"/>
                <w:szCs w:val="20"/>
              </w:rPr>
              <w:t>-</w:t>
            </w:r>
          </w:p>
        </w:tc>
      </w:tr>
      <w:tr w:rsidR="00045186" w14:paraId="06C38121" w14:textId="77777777" w:rsidTr="00E30373">
        <w:trPr>
          <w:trHeight w:val="806"/>
        </w:trPr>
        <w:tc>
          <w:tcPr>
            <w:tcW w:w="1489"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653AEF9F" w14:textId="77777777" w:rsidR="00045186" w:rsidRPr="00B11FC2" w:rsidRDefault="00045186" w:rsidP="00E30373">
            <w:pPr>
              <w:jc w:val="center"/>
              <w:rPr>
                <w:rFonts w:cs="Arial"/>
                <w:szCs w:val="20"/>
              </w:rPr>
            </w:pPr>
            <w:r w:rsidRPr="00B11FC2">
              <w:rPr>
                <w:rFonts w:cs="Arial"/>
                <w:szCs w:val="20"/>
              </w:rPr>
              <w:t>Funding Limitations</w:t>
            </w:r>
          </w:p>
        </w:tc>
        <w:tc>
          <w:tcPr>
            <w:tcW w:w="627"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2107882C" w14:textId="77777777" w:rsidR="00045186" w:rsidRPr="00B11FC2" w:rsidRDefault="00045186" w:rsidP="00E30373">
            <w:pPr>
              <w:jc w:val="center"/>
              <w:rPr>
                <w:rFonts w:cs="Arial"/>
                <w:szCs w:val="20"/>
              </w:rPr>
            </w:pPr>
            <w:r w:rsidRPr="00B11FC2">
              <w:rPr>
                <w:rFonts w:cs="Arial"/>
                <w:szCs w:val="20"/>
              </w:rPr>
              <w:t>Barrier</w:t>
            </w:r>
          </w:p>
        </w:tc>
        <w:tc>
          <w:tcPr>
            <w:tcW w:w="667"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38FFB88E" w14:textId="77777777" w:rsidR="00045186" w:rsidRPr="00B11FC2" w:rsidRDefault="00045186" w:rsidP="00E30373">
            <w:pPr>
              <w:jc w:val="center"/>
              <w:rPr>
                <w:rFonts w:cs="Arial"/>
                <w:szCs w:val="20"/>
              </w:rPr>
            </w:pPr>
            <w:r w:rsidRPr="00B11FC2">
              <w:rPr>
                <w:rFonts w:cs="Arial"/>
                <w:szCs w:val="20"/>
              </w:rPr>
              <w:t>+</w:t>
            </w:r>
          </w:p>
        </w:tc>
        <w:tc>
          <w:tcPr>
            <w:tcW w:w="715"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4557FEBF" w14:textId="77777777" w:rsidR="00045186" w:rsidRPr="00B11FC2" w:rsidRDefault="00045186" w:rsidP="00E30373">
            <w:pPr>
              <w:jc w:val="center"/>
              <w:rPr>
                <w:rFonts w:cs="Arial"/>
                <w:szCs w:val="20"/>
              </w:rPr>
            </w:pPr>
            <w:r w:rsidRPr="00B11FC2">
              <w:rPr>
                <w:rFonts w:cs="Arial"/>
                <w:szCs w:val="20"/>
              </w:rPr>
              <w:t>+</w:t>
            </w:r>
          </w:p>
        </w:tc>
        <w:tc>
          <w:tcPr>
            <w:tcW w:w="724"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5BD4B316" w14:textId="77777777" w:rsidR="00045186" w:rsidRPr="00B11FC2" w:rsidRDefault="00045186" w:rsidP="00E30373">
            <w:pPr>
              <w:jc w:val="center"/>
              <w:rPr>
                <w:rFonts w:cs="Arial"/>
                <w:szCs w:val="20"/>
              </w:rPr>
            </w:pPr>
            <w:r w:rsidRPr="00B11FC2">
              <w:rPr>
                <w:rFonts w:cs="Arial"/>
                <w:szCs w:val="20"/>
              </w:rPr>
              <w:t>-</w:t>
            </w:r>
          </w:p>
        </w:tc>
        <w:tc>
          <w:tcPr>
            <w:tcW w:w="778" w:type="pct"/>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09E73AB2" w14:textId="77777777" w:rsidR="00045186" w:rsidRPr="00B11FC2" w:rsidRDefault="00045186" w:rsidP="00E30373">
            <w:pPr>
              <w:jc w:val="center"/>
              <w:rPr>
                <w:rFonts w:cs="Arial"/>
                <w:szCs w:val="20"/>
              </w:rPr>
            </w:pPr>
            <w:r w:rsidRPr="00B11FC2">
              <w:rPr>
                <w:rFonts w:cs="Arial"/>
                <w:szCs w:val="20"/>
              </w:rPr>
              <w:t>-</w:t>
            </w:r>
          </w:p>
        </w:tc>
      </w:tr>
      <w:tr w:rsidR="00045186" w14:paraId="3429FB17" w14:textId="77777777" w:rsidTr="00E30373">
        <w:trPr>
          <w:trHeight w:val="806"/>
        </w:trPr>
        <w:tc>
          <w:tcPr>
            <w:tcW w:w="1489"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153D86E3" w14:textId="77777777" w:rsidR="00045186" w:rsidRPr="00B11FC2" w:rsidRDefault="00045186" w:rsidP="00E30373">
            <w:pPr>
              <w:jc w:val="center"/>
              <w:rPr>
                <w:rFonts w:cs="Arial"/>
                <w:szCs w:val="20"/>
              </w:rPr>
            </w:pPr>
            <w:r w:rsidRPr="00B11FC2">
              <w:rPr>
                <w:rFonts w:cs="Arial"/>
                <w:szCs w:val="20"/>
              </w:rPr>
              <w:lastRenderedPageBreak/>
              <w:t>IPS strengthened relationships with consumers</w:t>
            </w:r>
          </w:p>
        </w:tc>
        <w:tc>
          <w:tcPr>
            <w:tcW w:w="627"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746C7945" w14:textId="77777777" w:rsidR="00045186" w:rsidRPr="00B11FC2" w:rsidRDefault="00045186" w:rsidP="00E30373">
            <w:pPr>
              <w:jc w:val="center"/>
              <w:rPr>
                <w:rFonts w:cs="Arial"/>
                <w:szCs w:val="20"/>
              </w:rPr>
            </w:pPr>
            <w:r w:rsidRPr="00B11FC2">
              <w:rPr>
                <w:rFonts w:cs="Arial"/>
                <w:szCs w:val="20"/>
              </w:rPr>
              <w:t>Facilitator</w:t>
            </w:r>
          </w:p>
        </w:tc>
        <w:tc>
          <w:tcPr>
            <w:tcW w:w="667"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00753EDC" w14:textId="77777777" w:rsidR="00045186" w:rsidRPr="00B11FC2" w:rsidRDefault="00045186" w:rsidP="00E30373">
            <w:pPr>
              <w:jc w:val="center"/>
              <w:rPr>
                <w:rFonts w:cs="Arial"/>
                <w:szCs w:val="20"/>
              </w:rPr>
            </w:pPr>
            <w:r w:rsidRPr="00B11FC2">
              <w:rPr>
                <w:rFonts w:cs="Arial"/>
                <w:szCs w:val="20"/>
              </w:rPr>
              <w:t>+</w:t>
            </w:r>
          </w:p>
        </w:tc>
        <w:tc>
          <w:tcPr>
            <w:tcW w:w="715"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2CF93BE4" w14:textId="77777777" w:rsidR="00045186" w:rsidRPr="00B11FC2" w:rsidRDefault="00045186" w:rsidP="00E30373">
            <w:pPr>
              <w:jc w:val="center"/>
              <w:rPr>
                <w:rFonts w:cs="Arial"/>
                <w:szCs w:val="20"/>
              </w:rPr>
            </w:pPr>
            <w:r w:rsidRPr="00B11FC2">
              <w:rPr>
                <w:rFonts w:cs="Arial"/>
                <w:szCs w:val="20"/>
              </w:rPr>
              <w:t>+</w:t>
            </w:r>
          </w:p>
        </w:tc>
        <w:tc>
          <w:tcPr>
            <w:tcW w:w="724"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707B559F" w14:textId="77777777" w:rsidR="00045186" w:rsidRPr="00B11FC2" w:rsidRDefault="00045186" w:rsidP="00E30373">
            <w:pPr>
              <w:jc w:val="center"/>
              <w:rPr>
                <w:rFonts w:cs="Arial"/>
                <w:szCs w:val="20"/>
              </w:rPr>
            </w:pPr>
            <w:r w:rsidRPr="00B11FC2">
              <w:rPr>
                <w:rFonts w:cs="Arial"/>
                <w:szCs w:val="20"/>
              </w:rPr>
              <w:t>-</w:t>
            </w:r>
          </w:p>
        </w:tc>
        <w:tc>
          <w:tcPr>
            <w:tcW w:w="778"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46909827" w14:textId="77777777" w:rsidR="00045186" w:rsidRPr="00B11FC2" w:rsidRDefault="00045186" w:rsidP="00E30373">
            <w:pPr>
              <w:jc w:val="center"/>
              <w:rPr>
                <w:rFonts w:cs="Arial"/>
                <w:szCs w:val="20"/>
              </w:rPr>
            </w:pPr>
            <w:r w:rsidRPr="00B11FC2">
              <w:rPr>
                <w:rFonts w:cs="Arial"/>
                <w:szCs w:val="20"/>
              </w:rPr>
              <w:t>-</w:t>
            </w:r>
          </w:p>
        </w:tc>
      </w:tr>
      <w:tr w:rsidR="00045186" w14:paraId="3F47AC32" w14:textId="77777777" w:rsidTr="00E30373">
        <w:trPr>
          <w:trHeight w:val="806"/>
        </w:trPr>
        <w:tc>
          <w:tcPr>
            <w:tcW w:w="1489"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499282E9" w14:textId="77777777" w:rsidR="00045186" w:rsidRPr="00B11FC2" w:rsidRDefault="00045186" w:rsidP="00E30373">
            <w:pPr>
              <w:jc w:val="center"/>
              <w:rPr>
                <w:rFonts w:cs="Arial"/>
                <w:szCs w:val="20"/>
              </w:rPr>
            </w:pPr>
            <w:r w:rsidRPr="00B11FC2">
              <w:rPr>
                <w:rFonts w:cs="Arial"/>
                <w:szCs w:val="20"/>
              </w:rPr>
              <w:t>Required duration of employment support</w:t>
            </w:r>
          </w:p>
        </w:tc>
        <w:tc>
          <w:tcPr>
            <w:tcW w:w="627"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14B51185" w14:textId="77777777" w:rsidR="00045186" w:rsidRPr="00B11FC2" w:rsidRDefault="00045186" w:rsidP="00E30373">
            <w:pPr>
              <w:jc w:val="center"/>
              <w:rPr>
                <w:rFonts w:cs="Arial"/>
                <w:szCs w:val="20"/>
              </w:rPr>
            </w:pPr>
            <w:r w:rsidRPr="00B11FC2">
              <w:rPr>
                <w:rFonts w:cs="Arial"/>
                <w:szCs w:val="20"/>
              </w:rPr>
              <w:t>Facilitator</w:t>
            </w:r>
          </w:p>
        </w:tc>
        <w:tc>
          <w:tcPr>
            <w:tcW w:w="667"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016DCBE0" w14:textId="77777777" w:rsidR="00045186" w:rsidRPr="00B11FC2" w:rsidRDefault="00045186" w:rsidP="00E30373">
            <w:pPr>
              <w:jc w:val="center"/>
              <w:rPr>
                <w:rFonts w:cs="Arial"/>
                <w:szCs w:val="20"/>
              </w:rPr>
            </w:pPr>
            <w:r w:rsidRPr="00B11FC2">
              <w:rPr>
                <w:rFonts w:cs="Arial"/>
                <w:szCs w:val="20"/>
              </w:rPr>
              <w:t>+</w:t>
            </w:r>
          </w:p>
        </w:tc>
        <w:tc>
          <w:tcPr>
            <w:tcW w:w="715"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6C32F876" w14:textId="77777777" w:rsidR="00045186" w:rsidRPr="00B11FC2" w:rsidRDefault="00045186" w:rsidP="00E30373">
            <w:pPr>
              <w:jc w:val="center"/>
              <w:rPr>
                <w:rFonts w:cs="Arial"/>
                <w:szCs w:val="20"/>
              </w:rPr>
            </w:pPr>
            <w:r w:rsidRPr="00B11FC2">
              <w:rPr>
                <w:rFonts w:cs="Arial"/>
                <w:szCs w:val="20"/>
              </w:rPr>
              <w:t>+</w:t>
            </w:r>
          </w:p>
        </w:tc>
        <w:tc>
          <w:tcPr>
            <w:tcW w:w="724"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7A72A786" w14:textId="77777777" w:rsidR="00045186" w:rsidRPr="00B11FC2" w:rsidRDefault="00045186" w:rsidP="00E30373">
            <w:pPr>
              <w:jc w:val="center"/>
              <w:rPr>
                <w:rFonts w:cs="Arial"/>
                <w:szCs w:val="20"/>
              </w:rPr>
            </w:pPr>
            <w:r w:rsidRPr="00B11FC2">
              <w:rPr>
                <w:rFonts w:cs="Arial"/>
                <w:szCs w:val="20"/>
              </w:rPr>
              <w:t>+</w:t>
            </w:r>
          </w:p>
        </w:tc>
        <w:tc>
          <w:tcPr>
            <w:tcW w:w="778"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1B91B133" w14:textId="77777777" w:rsidR="00045186" w:rsidRPr="00B11FC2" w:rsidRDefault="00045186" w:rsidP="00E30373">
            <w:pPr>
              <w:jc w:val="center"/>
              <w:rPr>
                <w:rFonts w:cs="Arial"/>
                <w:szCs w:val="20"/>
              </w:rPr>
            </w:pPr>
            <w:r w:rsidRPr="00B11FC2">
              <w:rPr>
                <w:rFonts w:cs="Arial"/>
                <w:szCs w:val="20"/>
              </w:rPr>
              <w:t>+</w:t>
            </w:r>
          </w:p>
        </w:tc>
      </w:tr>
      <w:tr w:rsidR="00045186" w14:paraId="761CDE1A" w14:textId="77777777" w:rsidTr="00E30373">
        <w:trPr>
          <w:trHeight w:val="806"/>
        </w:trPr>
        <w:tc>
          <w:tcPr>
            <w:tcW w:w="1489"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3BA5DC9F" w14:textId="77777777" w:rsidR="00045186" w:rsidRPr="00B11FC2" w:rsidRDefault="00045186" w:rsidP="00E30373">
            <w:pPr>
              <w:jc w:val="center"/>
              <w:rPr>
                <w:rFonts w:cs="Arial"/>
                <w:szCs w:val="20"/>
              </w:rPr>
            </w:pPr>
            <w:r w:rsidRPr="00B11FC2">
              <w:rPr>
                <w:rFonts w:cs="Arial"/>
                <w:szCs w:val="20"/>
              </w:rPr>
              <w:t>IPS group trainings increase agency overall skills</w:t>
            </w:r>
          </w:p>
        </w:tc>
        <w:tc>
          <w:tcPr>
            <w:tcW w:w="627"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650D8D29" w14:textId="77777777" w:rsidR="00045186" w:rsidRPr="00B11FC2" w:rsidRDefault="00045186" w:rsidP="00E30373">
            <w:pPr>
              <w:jc w:val="center"/>
              <w:rPr>
                <w:rFonts w:cs="Arial"/>
                <w:szCs w:val="20"/>
              </w:rPr>
            </w:pPr>
            <w:r w:rsidRPr="00B11FC2">
              <w:rPr>
                <w:rFonts w:cs="Arial"/>
                <w:szCs w:val="20"/>
              </w:rPr>
              <w:t>Facilitator</w:t>
            </w:r>
          </w:p>
        </w:tc>
        <w:tc>
          <w:tcPr>
            <w:tcW w:w="667"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53ED5016" w14:textId="77777777" w:rsidR="00045186" w:rsidRPr="00B11FC2" w:rsidRDefault="00045186" w:rsidP="00E30373">
            <w:pPr>
              <w:jc w:val="center"/>
              <w:rPr>
                <w:rFonts w:cs="Arial"/>
                <w:szCs w:val="20"/>
              </w:rPr>
            </w:pPr>
            <w:r w:rsidRPr="00B11FC2">
              <w:rPr>
                <w:rFonts w:cs="Arial"/>
                <w:szCs w:val="20"/>
              </w:rPr>
              <w:t>+</w:t>
            </w:r>
          </w:p>
        </w:tc>
        <w:tc>
          <w:tcPr>
            <w:tcW w:w="715"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52262EF0" w14:textId="77777777" w:rsidR="00045186" w:rsidRPr="00B11FC2" w:rsidRDefault="00045186" w:rsidP="00E30373">
            <w:pPr>
              <w:jc w:val="center"/>
              <w:rPr>
                <w:rFonts w:cs="Arial"/>
                <w:szCs w:val="20"/>
              </w:rPr>
            </w:pPr>
            <w:r w:rsidRPr="00B11FC2">
              <w:rPr>
                <w:rFonts w:cs="Arial"/>
                <w:szCs w:val="20"/>
              </w:rPr>
              <w:t>+</w:t>
            </w:r>
          </w:p>
        </w:tc>
        <w:tc>
          <w:tcPr>
            <w:tcW w:w="724"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1DE389F3" w14:textId="77777777" w:rsidR="00045186" w:rsidRPr="00B11FC2" w:rsidRDefault="00045186" w:rsidP="00E30373">
            <w:pPr>
              <w:jc w:val="center"/>
              <w:rPr>
                <w:rFonts w:cs="Arial"/>
                <w:szCs w:val="20"/>
              </w:rPr>
            </w:pPr>
            <w:r w:rsidRPr="00B11FC2">
              <w:rPr>
                <w:rFonts w:cs="Arial"/>
                <w:szCs w:val="20"/>
              </w:rPr>
              <w:t>-</w:t>
            </w:r>
          </w:p>
        </w:tc>
        <w:tc>
          <w:tcPr>
            <w:tcW w:w="778"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3D30042C" w14:textId="77777777" w:rsidR="00045186" w:rsidRPr="00B11FC2" w:rsidRDefault="00045186" w:rsidP="00E30373">
            <w:pPr>
              <w:jc w:val="center"/>
              <w:rPr>
                <w:rFonts w:cs="Arial"/>
                <w:szCs w:val="20"/>
              </w:rPr>
            </w:pPr>
            <w:r w:rsidRPr="00B11FC2">
              <w:rPr>
                <w:rFonts w:cs="Arial"/>
                <w:szCs w:val="20"/>
              </w:rPr>
              <w:t>-</w:t>
            </w:r>
          </w:p>
        </w:tc>
      </w:tr>
      <w:tr w:rsidR="00045186" w14:paraId="3ED2D48B" w14:textId="77777777" w:rsidTr="00E30373">
        <w:trPr>
          <w:trHeight w:val="806"/>
        </w:trPr>
        <w:tc>
          <w:tcPr>
            <w:tcW w:w="1489"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4C818EA5" w14:textId="77777777" w:rsidR="00045186" w:rsidRPr="00B11FC2" w:rsidRDefault="00045186" w:rsidP="00E30373">
            <w:pPr>
              <w:jc w:val="center"/>
              <w:rPr>
                <w:rFonts w:cs="Arial"/>
                <w:szCs w:val="20"/>
              </w:rPr>
            </w:pPr>
            <w:r w:rsidRPr="00B11FC2">
              <w:rPr>
                <w:rFonts w:cs="Arial"/>
                <w:szCs w:val="20"/>
              </w:rPr>
              <w:t>Parent-to-Parent Mentorship</w:t>
            </w:r>
          </w:p>
        </w:tc>
        <w:tc>
          <w:tcPr>
            <w:tcW w:w="627"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214A2BE1" w14:textId="77777777" w:rsidR="00045186" w:rsidRPr="00B11FC2" w:rsidRDefault="00045186" w:rsidP="00E30373">
            <w:pPr>
              <w:jc w:val="center"/>
              <w:rPr>
                <w:rFonts w:cs="Arial"/>
                <w:szCs w:val="20"/>
              </w:rPr>
            </w:pPr>
            <w:r w:rsidRPr="00B11FC2">
              <w:rPr>
                <w:rFonts w:cs="Arial"/>
                <w:szCs w:val="20"/>
              </w:rPr>
              <w:t>Facilitator</w:t>
            </w:r>
          </w:p>
        </w:tc>
        <w:tc>
          <w:tcPr>
            <w:tcW w:w="667"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35822BB5" w14:textId="77777777" w:rsidR="00045186" w:rsidRPr="00B11FC2" w:rsidRDefault="00045186" w:rsidP="00E30373">
            <w:pPr>
              <w:jc w:val="center"/>
              <w:rPr>
                <w:rFonts w:cs="Arial"/>
                <w:szCs w:val="20"/>
              </w:rPr>
            </w:pPr>
            <w:r w:rsidRPr="00B11FC2">
              <w:rPr>
                <w:rFonts w:cs="Arial"/>
                <w:szCs w:val="20"/>
              </w:rPr>
              <w:t>-</w:t>
            </w:r>
          </w:p>
        </w:tc>
        <w:tc>
          <w:tcPr>
            <w:tcW w:w="715"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5DD397D8" w14:textId="77777777" w:rsidR="00045186" w:rsidRPr="00B11FC2" w:rsidRDefault="00045186" w:rsidP="00E30373">
            <w:pPr>
              <w:jc w:val="center"/>
              <w:rPr>
                <w:rFonts w:cs="Arial"/>
                <w:szCs w:val="20"/>
              </w:rPr>
            </w:pPr>
            <w:r w:rsidRPr="00B11FC2">
              <w:rPr>
                <w:rFonts w:cs="Arial"/>
                <w:szCs w:val="20"/>
              </w:rPr>
              <w:t>-</w:t>
            </w:r>
          </w:p>
        </w:tc>
        <w:tc>
          <w:tcPr>
            <w:tcW w:w="724"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19751230" w14:textId="77777777" w:rsidR="00045186" w:rsidRPr="00B11FC2" w:rsidRDefault="00045186" w:rsidP="00E30373">
            <w:pPr>
              <w:jc w:val="center"/>
              <w:rPr>
                <w:rFonts w:cs="Arial"/>
                <w:szCs w:val="20"/>
              </w:rPr>
            </w:pPr>
            <w:r w:rsidRPr="00B11FC2">
              <w:rPr>
                <w:rFonts w:cs="Arial"/>
                <w:szCs w:val="20"/>
              </w:rPr>
              <w:t>-</w:t>
            </w:r>
          </w:p>
        </w:tc>
        <w:tc>
          <w:tcPr>
            <w:tcW w:w="778" w:type="pc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3B477150" w14:textId="77777777" w:rsidR="00045186" w:rsidRPr="00B11FC2" w:rsidRDefault="00045186" w:rsidP="00E30373">
            <w:pPr>
              <w:jc w:val="center"/>
              <w:rPr>
                <w:rFonts w:cs="Arial"/>
                <w:szCs w:val="20"/>
              </w:rPr>
            </w:pPr>
            <w:r w:rsidRPr="00B11FC2">
              <w:rPr>
                <w:rFonts w:cs="Arial"/>
                <w:szCs w:val="20"/>
              </w:rPr>
              <w:t>+</w:t>
            </w:r>
          </w:p>
        </w:tc>
      </w:tr>
      <w:tr w:rsidR="00045186" w14:paraId="59A0ED8B" w14:textId="77777777" w:rsidTr="00E30373">
        <w:trPr>
          <w:trHeight w:val="806"/>
        </w:trPr>
        <w:tc>
          <w:tcPr>
            <w:tcW w:w="5000" w:type="pct"/>
            <w:gridSpan w:val="6"/>
            <w:tcBorders>
              <w:top w:val="single" w:sz="4" w:space="0" w:color="auto"/>
              <w:left w:val="nil"/>
              <w:bottom w:val="nil"/>
              <w:right w:val="nil"/>
            </w:tcBorders>
            <w:vAlign w:val="center"/>
            <w:hideMark/>
          </w:tcPr>
          <w:p w14:paraId="3930A11A" w14:textId="77777777" w:rsidR="00045186" w:rsidRPr="00B11FC2" w:rsidRDefault="00045186" w:rsidP="00E30373">
            <w:pPr>
              <w:jc w:val="center"/>
              <w:rPr>
                <w:rFonts w:cs="Arial"/>
                <w:b/>
                <w:bCs/>
                <w:szCs w:val="20"/>
              </w:rPr>
            </w:pPr>
            <w:r w:rsidRPr="00B11FC2">
              <w:rPr>
                <w:rFonts w:cs="Arial"/>
                <w:b/>
                <w:bCs/>
                <w:szCs w:val="20"/>
              </w:rPr>
              <w:t>Note: ESs:</w:t>
            </w:r>
            <w:r w:rsidRPr="00B11FC2">
              <w:rPr>
                <w:rFonts w:cs="Arial"/>
                <w:szCs w:val="20"/>
              </w:rPr>
              <w:t xml:space="preserve"> Employment specialists; </w:t>
            </w:r>
            <w:r w:rsidRPr="00B11FC2">
              <w:rPr>
                <w:rFonts w:cs="Arial"/>
                <w:b/>
                <w:bCs/>
                <w:szCs w:val="20"/>
              </w:rPr>
              <w:t>IPS:</w:t>
            </w:r>
            <w:r w:rsidRPr="00B11FC2">
              <w:rPr>
                <w:rFonts w:cs="Arial"/>
                <w:szCs w:val="20"/>
              </w:rPr>
              <w:t xml:space="preserve"> Individualized Placement and Support.</w:t>
            </w:r>
          </w:p>
          <w:p w14:paraId="19A13CA9" w14:textId="77777777" w:rsidR="00045186" w:rsidRPr="00B11FC2" w:rsidRDefault="00045186" w:rsidP="00E30373">
            <w:pPr>
              <w:jc w:val="center"/>
              <w:rPr>
                <w:rFonts w:cs="Arial"/>
                <w:szCs w:val="20"/>
              </w:rPr>
            </w:pPr>
            <w:r w:rsidRPr="00B11FC2">
              <w:rPr>
                <w:rFonts w:cs="Arial"/>
                <w:szCs w:val="20"/>
              </w:rPr>
              <w:t>+ indicates that the group referenced theme; - indicates the theme was not references.</w:t>
            </w:r>
          </w:p>
        </w:tc>
      </w:tr>
    </w:tbl>
    <w:p w14:paraId="43F37D1A" w14:textId="77777777" w:rsidR="0064135E" w:rsidRDefault="0064135E" w:rsidP="009B17A1"/>
    <w:sectPr w:rsidR="0064135E" w:rsidSect="00F01EB9">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9A3B5F" w14:textId="77777777" w:rsidR="005158B3" w:rsidRDefault="005158B3" w:rsidP="00F01EB9">
      <w:pPr>
        <w:spacing w:after="0" w:line="240" w:lineRule="auto"/>
      </w:pPr>
      <w:r>
        <w:separator/>
      </w:r>
    </w:p>
  </w:endnote>
  <w:endnote w:type="continuationSeparator" w:id="0">
    <w:p w14:paraId="165AC2A9" w14:textId="77777777" w:rsidR="005158B3" w:rsidRDefault="005158B3" w:rsidP="00F01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Kefa">
    <w:panose1 w:val="02000506000000020004"/>
    <w:charset w:val="4D"/>
    <w:family w:val="auto"/>
    <w:pitch w:val="variable"/>
    <w:sig w:usb0="800000AF" w:usb1="4000204B" w:usb2="000008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C7DB8" w14:textId="77777777" w:rsidR="00EA77BA" w:rsidRDefault="00EA77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C3C01" w14:textId="77777777" w:rsidR="00F01EB9" w:rsidRPr="00F361B2" w:rsidRDefault="00000000" w:rsidP="00F01EB9">
    <w:pPr>
      <w:pStyle w:val="Footer"/>
      <w:jc w:val="center"/>
      <w:rPr>
        <w:b/>
        <w:szCs w:val="20"/>
      </w:rPr>
    </w:pPr>
    <w:sdt>
      <w:sdtPr>
        <w:rPr>
          <w:b/>
        </w:rPr>
        <w:id w:val="-1669238322"/>
        <w:docPartObj>
          <w:docPartGallery w:val="Page Numbers (Top of Page)"/>
          <w:docPartUnique/>
        </w:docPartObj>
      </w:sdtPr>
      <w:sdtContent>
        <w:r w:rsidR="00F01EB9" w:rsidRPr="00F361B2">
          <w:rPr>
            <w:b/>
            <w:szCs w:val="20"/>
          </w:rPr>
          <w:t xml:space="preserve">Page </w:t>
        </w:r>
        <w:r w:rsidR="00F01EB9" w:rsidRPr="00F361B2">
          <w:rPr>
            <w:b/>
            <w:bCs/>
          </w:rPr>
          <w:fldChar w:fldCharType="begin"/>
        </w:r>
        <w:r w:rsidR="00F01EB9" w:rsidRPr="00F361B2">
          <w:rPr>
            <w:b/>
            <w:bCs/>
          </w:rPr>
          <w:instrText xml:space="preserve"> PAGE </w:instrText>
        </w:r>
        <w:r w:rsidR="00F01EB9" w:rsidRPr="00F361B2">
          <w:rPr>
            <w:b/>
            <w:bCs/>
          </w:rPr>
          <w:fldChar w:fldCharType="separate"/>
        </w:r>
        <w:r w:rsidR="00F01EB9">
          <w:rPr>
            <w:b/>
            <w:bCs/>
          </w:rPr>
          <w:t>1</w:t>
        </w:r>
        <w:r w:rsidR="00F01EB9" w:rsidRPr="00F361B2">
          <w:rPr>
            <w:b/>
            <w:bCs/>
          </w:rPr>
          <w:fldChar w:fldCharType="end"/>
        </w:r>
        <w:r w:rsidR="00F01EB9" w:rsidRPr="00F361B2">
          <w:rPr>
            <w:b/>
            <w:szCs w:val="20"/>
          </w:rPr>
          <w:t xml:space="preserve"> of </w:t>
        </w:r>
        <w:r w:rsidR="00F01EB9" w:rsidRPr="00F361B2">
          <w:rPr>
            <w:b/>
            <w:bCs/>
          </w:rPr>
          <w:fldChar w:fldCharType="begin"/>
        </w:r>
        <w:r w:rsidR="00F01EB9" w:rsidRPr="00F361B2">
          <w:rPr>
            <w:b/>
            <w:bCs/>
          </w:rPr>
          <w:instrText xml:space="preserve"> NUMPAGES  </w:instrText>
        </w:r>
        <w:r w:rsidR="00F01EB9" w:rsidRPr="00F361B2">
          <w:rPr>
            <w:b/>
            <w:bCs/>
          </w:rPr>
          <w:fldChar w:fldCharType="separate"/>
        </w:r>
        <w:r w:rsidR="00F01EB9">
          <w:rPr>
            <w:b/>
            <w:bCs/>
          </w:rPr>
          <w:t>2</w:t>
        </w:r>
        <w:r w:rsidR="00F01EB9" w:rsidRPr="00F361B2">
          <w:rPr>
            <w:b/>
            <w:bCs/>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FFC42" w14:textId="77777777" w:rsidR="00EA77BA" w:rsidRDefault="00EA77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6DBF7" w14:textId="77777777" w:rsidR="005158B3" w:rsidRDefault="005158B3" w:rsidP="00F01EB9">
      <w:pPr>
        <w:spacing w:after="0" w:line="240" w:lineRule="auto"/>
      </w:pPr>
      <w:r>
        <w:separator/>
      </w:r>
    </w:p>
  </w:footnote>
  <w:footnote w:type="continuationSeparator" w:id="0">
    <w:p w14:paraId="5FCDE125" w14:textId="77777777" w:rsidR="005158B3" w:rsidRDefault="005158B3" w:rsidP="00F01EB9">
      <w:pPr>
        <w:spacing w:after="0" w:line="240" w:lineRule="auto"/>
      </w:pPr>
      <w:r>
        <w:continuationSeparator/>
      </w:r>
    </w:p>
  </w:footnote>
  <w:footnote w:id="1">
    <w:p w14:paraId="26A91D14" w14:textId="31425DC1" w:rsidR="0064135E" w:rsidRDefault="0064135E">
      <w:pPr>
        <w:pStyle w:val="FootnoteText"/>
      </w:pPr>
      <w:r>
        <w:rPr>
          <w:rStyle w:val="FootnoteReference"/>
        </w:rPr>
        <w:footnoteRef/>
      </w:r>
      <w:r>
        <w:t xml:space="preserve"> </w:t>
      </w:r>
      <w:r w:rsidR="003D422A">
        <w:t>University of Michigan</w:t>
      </w:r>
    </w:p>
  </w:footnote>
  <w:footnote w:id="2">
    <w:p w14:paraId="470A6345" w14:textId="20D1CF33" w:rsidR="002A64F0" w:rsidRDefault="002A64F0">
      <w:pPr>
        <w:pStyle w:val="FootnoteText"/>
      </w:pPr>
      <w:r>
        <w:rPr>
          <w:rStyle w:val="FootnoteReference"/>
        </w:rPr>
        <w:footnoteRef/>
      </w:r>
      <w:r>
        <w:t xml:space="preserve"> </w:t>
      </w:r>
      <w:r w:rsidR="003D422A">
        <w:t>San Diego State University</w:t>
      </w:r>
    </w:p>
  </w:footnote>
  <w:footnote w:id="3">
    <w:p w14:paraId="57EFE3D8" w14:textId="077BF712" w:rsidR="003D422A" w:rsidRDefault="003D422A" w:rsidP="003D422A">
      <w:pPr>
        <w:pStyle w:val="FootnoteText"/>
      </w:pPr>
      <w:r>
        <w:rPr>
          <w:rStyle w:val="FootnoteReference"/>
        </w:rPr>
        <w:footnoteRef/>
      </w:r>
      <w:r>
        <w:t xml:space="preserve"> </w:t>
      </w:r>
      <w:r>
        <w:t>University of North Carolina</w:t>
      </w:r>
    </w:p>
  </w:footnote>
  <w:footnote w:id="4">
    <w:p w14:paraId="65793BAC" w14:textId="773A6C03" w:rsidR="003D422A" w:rsidRDefault="003D422A" w:rsidP="003D422A">
      <w:pPr>
        <w:pStyle w:val="FootnoteText"/>
      </w:pPr>
      <w:r>
        <w:rPr>
          <w:rStyle w:val="FootnoteReference"/>
        </w:rPr>
        <w:footnoteRef/>
      </w:r>
      <w:r>
        <w:t xml:space="preserve"> </w:t>
      </w:r>
      <w:r w:rsidR="00D95016">
        <w:t>Michigan State University</w:t>
      </w:r>
    </w:p>
  </w:footnote>
  <w:footnote w:id="5">
    <w:p w14:paraId="42A3897B" w14:textId="39578674" w:rsidR="003D422A" w:rsidRDefault="003D422A" w:rsidP="003D422A">
      <w:pPr>
        <w:pStyle w:val="FootnoteText"/>
      </w:pPr>
      <w:r>
        <w:rPr>
          <w:rStyle w:val="FootnoteReference"/>
        </w:rPr>
        <w:footnoteRef/>
      </w:r>
      <w:r>
        <w:t xml:space="preserve"> </w:t>
      </w:r>
      <w:r w:rsidR="00D95016">
        <w:t>Boston College</w:t>
      </w:r>
    </w:p>
  </w:footnote>
  <w:footnote w:id="6">
    <w:p w14:paraId="26117439" w14:textId="6825704E" w:rsidR="00D95016" w:rsidRDefault="00D95016" w:rsidP="00D95016">
      <w:pPr>
        <w:pStyle w:val="FootnoteText"/>
      </w:pPr>
      <w:r>
        <w:rPr>
          <w:rStyle w:val="FootnoteReference"/>
        </w:rPr>
        <w:footnoteRef/>
      </w:r>
      <w:r>
        <w:t xml:space="preserve"> </w:t>
      </w:r>
      <w:r>
        <w:t>Ann Arbor Public Schools</w:t>
      </w:r>
    </w:p>
  </w:footnote>
  <w:footnote w:id="7">
    <w:p w14:paraId="22E2B055" w14:textId="1226EBB3" w:rsidR="00D95016" w:rsidRDefault="00D95016" w:rsidP="00D95016">
      <w:pPr>
        <w:pStyle w:val="FootnoteText"/>
      </w:pPr>
      <w:r>
        <w:rPr>
          <w:rStyle w:val="FootnoteReference"/>
        </w:rPr>
        <w:footnoteRef/>
      </w:r>
      <w:r>
        <w:t xml:space="preserve"> </w:t>
      </w:r>
      <w:r>
        <w:t>Autism Self-Advocate</w:t>
      </w:r>
    </w:p>
  </w:footnote>
  <w:footnote w:id="8">
    <w:p w14:paraId="494A3E05" w14:textId="0713BB85" w:rsidR="00D95016" w:rsidRDefault="00D95016" w:rsidP="00D95016">
      <w:pPr>
        <w:pStyle w:val="FootnoteText"/>
      </w:pPr>
      <w:r>
        <w:rPr>
          <w:rStyle w:val="FootnoteReference"/>
        </w:rPr>
        <w:footnoteRef/>
      </w:r>
      <w:r>
        <w:t xml:space="preserve"> </w:t>
      </w:r>
      <w:r>
        <w:t>Michigan Rehabilitation Services</w:t>
      </w:r>
    </w:p>
  </w:footnote>
  <w:footnote w:id="9">
    <w:p w14:paraId="6D77082D" w14:textId="4DECB941" w:rsidR="00D95016" w:rsidRDefault="00D95016" w:rsidP="00D95016">
      <w:pPr>
        <w:pStyle w:val="FootnoteText"/>
      </w:pPr>
      <w:r>
        <w:rPr>
          <w:rStyle w:val="FootnoteReference"/>
        </w:rPr>
        <w:footnoteRef/>
      </w:r>
      <w:r>
        <w:t xml:space="preserve"> </w:t>
      </w:r>
      <w:r>
        <w:t>Michigan Career and Technical Institute</w:t>
      </w:r>
    </w:p>
  </w:footnote>
  <w:footnote w:id="10">
    <w:p w14:paraId="36ED9758" w14:textId="4BEA47CE" w:rsidR="00D95016" w:rsidRDefault="00D95016" w:rsidP="00D95016">
      <w:pPr>
        <w:pStyle w:val="FootnoteText"/>
      </w:pPr>
      <w:r>
        <w:rPr>
          <w:rStyle w:val="FootnoteReference"/>
        </w:rPr>
        <w:footnoteRef/>
      </w:r>
      <w:r>
        <w:t xml:space="preserve"> </w:t>
      </w:r>
      <w:proofErr w:type="spellStart"/>
      <w:r>
        <w:t>Rangam</w:t>
      </w:r>
      <w:proofErr w:type="spellEnd"/>
      <w:r>
        <w:t xml:space="preserve"> </w:t>
      </w:r>
      <w:proofErr w:type="spellStart"/>
      <w:r>
        <w:t>SourceAbled</w:t>
      </w:r>
      <w:proofErr w:type="spellEnd"/>
    </w:p>
  </w:footnote>
  <w:footnote w:id="11">
    <w:p w14:paraId="0FC3C9E7" w14:textId="0A9E0FFC" w:rsidR="00D95016" w:rsidRDefault="00D95016" w:rsidP="00D95016">
      <w:pPr>
        <w:pStyle w:val="FootnoteText"/>
      </w:pPr>
      <w:r>
        <w:rPr>
          <w:rStyle w:val="FootnoteReference"/>
        </w:rPr>
        <w:footnoteRef/>
      </w:r>
      <w:r>
        <w:t xml:space="preserve"> </w:t>
      </w:r>
      <w:r>
        <w:t>Friendship Circle</w:t>
      </w:r>
    </w:p>
  </w:footnote>
  <w:footnote w:id="12">
    <w:p w14:paraId="1EEAE7EF" w14:textId="421337DA" w:rsidR="00D95016" w:rsidRDefault="00D95016" w:rsidP="00D95016">
      <w:pPr>
        <w:pStyle w:val="FootnoteText"/>
      </w:pPr>
      <w:r>
        <w:rPr>
          <w:rStyle w:val="FootnoteReference"/>
        </w:rPr>
        <w:footnoteRef/>
      </w:r>
      <w:r>
        <w:t xml:space="preserve"> </w:t>
      </w:r>
      <w:r>
        <w:t>Advanced Education Research &amp; Development Fund</w:t>
      </w:r>
    </w:p>
  </w:footnote>
  <w:footnote w:id="13">
    <w:p w14:paraId="1A875B7B" w14:textId="488AD5D6" w:rsidR="00D95016" w:rsidRDefault="00D95016" w:rsidP="00D95016">
      <w:pPr>
        <w:pStyle w:val="FootnoteText"/>
      </w:pPr>
      <w:r>
        <w:rPr>
          <w:rStyle w:val="FootnoteReference"/>
        </w:rPr>
        <w:footnoteRef/>
      </w:r>
      <w:r>
        <w:t xml:space="preserve"> </w:t>
      </w:r>
      <w:r>
        <w:t>University of Maryland</w:t>
      </w:r>
    </w:p>
  </w:footnote>
  <w:footnote w:id="14">
    <w:p w14:paraId="1954F9FB" w14:textId="77E67420" w:rsidR="00D95016" w:rsidRDefault="00D95016" w:rsidP="00D95016">
      <w:pPr>
        <w:pStyle w:val="FootnoteText"/>
      </w:pPr>
      <w:r>
        <w:rPr>
          <w:rStyle w:val="FootnoteReference"/>
        </w:rPr>
        <w:footnoteRef/>
      </w:r>
      <w:r>
        <w:t xml:space="preserve"> </w:t>
      </w:r>
      <w:r w:rsidR="00841BAA">
        <w:t>University of Texas - Austin</w:t>
      </w:r>
    </w:p>
  </w:footnote>
  <w:footnote w:id="15">
    <w:p w14:paraId="709AF472" w14:textId="4DC69749" w:rsidR="00D95016" w:rsidRDefault="00D95016" w:rsidP="00D95016">
      <w:pPr>
        <w:pStyle w:val="FootnoteText"/>
      </w:pPr>
      <w:r>
        <w:rPr>
          <w:rStyle w:val="FootnoteReference"/>
        </w:rPr>
        <w:footnoteRef/>
      </w:r>
      <w:r>
        <w:t xml:space="preserve"> </w:t>
      </w:r>
      <w:r w:rsidR="00841BAA">
        <w:t>Walled Lake Consolidated Schools</w:t>
      </w:r>
    </w:p>
  </w:footnote>
  <w:footnote w:id="16">
    <w:p w14:paraId="27CD17E3" w14:textId="582D3170" w:rsidR="00D95016" w:rsidRDefault="00D95016" w:rsidP="00D95016">
      <w:pPr>
        <w:pStyle w:val="FootnoteText"/>
      </w:pPr>
      <w:r>
        <w:rPr>
          <w:rStyle w:val="FootnoteReference"/>
        </w:rPr>
        <w:footnoteRef/>
      </w:r>
      <w:r>
        <w:t xml:space="preserve"> </w:t>
      </w:r>
      <w:r w:rsidR="00841BAA">
        <w:t>Waverly Community School District</w:t>
      </w:r>
    </w:p>
  </w:footnote>
  <w:footnote w:id="17">
    <w:p w14:paraId="753ABBF6" w14:textId="57F6A09D" w:rsidR="00D95016" w:rsidRDefault="00D95016" w:rsidP="00D95016">
      <w:pPr>
        <w:pStyle w:val="FootnoteText"/>
      </w:pPr>
      <w:r>
        <w:rPr>
          <w:rStyle w:val="FootnoteReference"/>
        </w:rPr>
        <w:footnoteRef/>
      </w:r>
      <w:r>
        <w:t xml:space="preserve"> </w:t>
      </w:r>
      <w:r w:rsidR="00841BAA">
        <w:t>University of Utah</w:t>
      </w:r>
    </w:p>
  </w:footnote>
  <w:footnote w:id="18">
    <w:p w14:paraId="2A54F0AA" w14:textId="4DB9C73F" w:rsidR="00D95016" w:rsidRDefault="00D95016" w:rsidP="00D95016">
      <w:pPr>
        <w:pStyle w:val="FootnoteText"/>
      </w:pPr>
      <w:r>
        <w:rPr>
          <w:rStyle w:val="FootnoteReference"/>
        </w:rPr>
        <w:footnoteRef/>
      </w:r>
      <w:r>
        <w:t xml:space="preserve"> </w:t>
      </w:r>
      <w:r w:rsidR="00841BAA">
        <w:t>University of North Carolina</w:t>
      </w:r>
    </w:p>
  </w:footnote>
  <w:footnote w:id="19">
    <w:p w14:paraId="49F2573C" w14:textId="7D5A0240" w:rsidR="00D95016" w:rsidRDefault="00D95016" w:rsidP="00D95016">
      <w:pPr>
        <w:pStyle w:val="FootnoteText"/>
      </w:pPr>
      <w:r>
        <w:rPr>
          <w:rStyle w:val="FootnoteReference"/>
        </w:rPr>
        <w:footnoteRef/>
      </w:r>
      <w:r>
        <w:t xml:space="preserve"> </w:t>
      </w:r>
      <w:r w:rsidR="00841BAA">
        <w:t>San Diego State University</w:t>
      </w:r>
    </w:p>
  </w:footnote>
  <w:footnote w:id="20">
    <w:p w14:paraId="2F10A3A1" w14:textId="12283A70" w:rsidR="00D95016" w:rsidRDefault="00D95016" w:rsidP="00D95016">
      <w:pPr>
        <w:pStyle w:val="FootnoteText"/>
      </w:pPr>
      <w:r>
        <w:rPr>
          <w:rStyle w:val="FootnoteReference"/>
        </w:rPr>
        <w:footnoteRef/>
      </w:r>
      <w:r>
        <w:t xml:space="preserve"> </w:t>
      </w:r>
      <w:r w:rsidR="00841BAA">
        <w:t>University of Pittsburgh</w:t>
      </w:r>
    </w:p>
  </w:footnote>
  <w:footnote w:id="21">
    <w:p w14:paraId="01A32320" w14:textId="15F44E10" w:rsidR="00D95016" w:rsidRDefault="00D95016" w:rsidP="00D95016">
      <w:pPr>
        <w:pStyle w:val="FootnoteText"/>
      </w:pPr>
      <w:r>
        <w:rPr>
          <w:rStyle w:val="FootnoteReference"/>
        </w:rPr>
        <w:footnoteRef/>
      </w:r>
      <w:r>
        <w:t xml:space="preserve"> </w:t>
      </w:r>
      <w:r w:rsidR="00841BAA">
        <w:t>University of Chicago</w:t>
      </w:r>
    </w:p>
  </w:footnote>
  <w:footnote w:id="22">
    <w:p w14:paraId="278AE7AB" w14:textId="324A68BC" w:rsidR="00D95016" w:rsidRDefault="00D95016" w:rsidP="00D95016">
      <w:pPr>
        <w:pStyle w:val="FootnoteText"/>
      </w:pPr>
      <w:r>
        <w:rPr>
          <w:rStyle w:val="FootnoteReference"/>
        </w:rPr>
        <w:footnoteRef/>
      </w:r>
      <w:r>
        <w:t xml:space="preserve"> </w:t>
      </w:r>
      <w:proofErr w:type="spellStart"/>
      <w:r w:rsidR="00841BAA">
        <w:t>SIMmersion</w:t>
      </w:r>
      <w:proofErr w:type="spellEnd"/>
      <w:r w:rsidR="00841BAA">
        <w:t>, LLC</w:t>
      </w:r>
    </w:p>
  </w:footnote>
  <w:footnote w:id="23">
    <w:p w14:paraId="05465735" w14:textId="75221E05" w:rsidR="002A64F0" w:rsidRDefault="002A64F0">
      <w:pPr>
        <w:pStyle w:val="FootnoteText"/>
      </w:pPr>
      <w:r>
        <w:rPr>
          <w:rStyle w:val="FootnoteReference"/>
        </w:rPr>
        <w:footnoteRef/>
      </w:r>
      <w:r>
        <w:t xml:space="preserve"> </w:t>
      </w:r>
      <w:r w:rsidR="002207DD">
        <w:t>Vanderbilt University</w:t>
      </w:r>
    </w:p>
  </w:footnote>
  <w:footnote w:id="24">
    <w:p w14:paraId="2D895258" w14:textId="3D4D55E8" w:rsidR="002A64F0" w:rsidRDefault="002A64F0">
      <w:pPr>
        <w:pStyle w:val="FootnoteText"/>
      </w:pPr>
      <w:r>
        <w:rPr>
          <w:rStyle w:val="FootnoteReference"/>
        </w:rPr>
        <w:footnoteRef/>
      </w:r>
      <w:r>
        <w:t xml:space="preserve"> </w:t>
      </w:r>
      <w:r w:rsidR="002207DD">
        <w:t>Baylor University</w:t>
      </w:r>
    </w:p>
  </w:footnote>
  <w:footnote w:id="25">
    <w:p w14:paraId="3A8D5824" w14:textId="08AC8E28" w:rsidR="002207DD" w:rsidRDefault="002207DD" w:rsidP="002207DD">
      <w:pPr>
        <w:pStyle w:val="FootnoteText"/>
      </w:pPr>
      <w:r>
        <w:rPr>
          <w:rStyle w:val="FootnoteReference"/>
        </w:rPr>
        <w:footnoteRef/>
      </w:r>
      <w:r>
        <w:t xml:space="preserve"> </w:t>
      </w:r>
      <w:r>
        <w:t>Vanderbilt University Medical Center</w:t>
      </w:r>
    </w:p>
  </w:footnote>
  <w:footnote w:id="26">
    <w:p w14:paraId="5F23EA42" w14:textId="408EEF2C" w:rsidR="002A64F0" w:rsidRDefault="002A64F0">
      <w:pPr>
        <w:pStyle w:val="FootnoteText"/>
      </w:pPr>
      <w:r>
        <w:rPr>
          <w:rStyle w:val="FootnoteReference"/>
        </w:rPr>
        <w:footnoteRef/>
      </w:r>
      <w:r>
        <w:t xml:space="preserve"> </w:t>
      </w:r>
      <w:r w:rsidR="00572369">
        <w:t>University of California - Davis</w:t>
      </w:r>
    </w:p>
  </w:footnote>
  <w:footnote w:id="27">
    <w:p w14:paraId="32AF44F7" w14:textId="792A1BFC" w:rsidR="002A64F0" w:rsidRDefault="002A64F0">
      <w:pPr>
        <w:pStyle w:val="FootnoteText"/>
      </w:pPr>
      <w:r>
        <w:rPr>
          <w:rStyle w:val="FootnoteReference"/>
        </w:rPr>
        <w:footnoteRef/>
      </w:r>
      <w:r>
        <w:t xml:space="preserve"> </w:t>
      </w:r>
      <w:r w:rsidR="00572369">
        <w:t>Boston University</w:t>
      </w:r>
    </w:p>
  </w:footnote>
  <w:footnote w:id="28">
    <w:p w14:paraId="1826E468" w14:textId="61458F51" w:rsidR="00934F6F" w:rsidRDefault="00934F6F" w:rsidP="00934F6F">
      <w:pPr>
        <w:pStyle w:val="FootnoteText"/>
      </w:pPr>
      <w:r>
        <w:rPr>
          <w:rStyle w:val="FootnoteReference"/>
        </w:rPr>
        <w:footnoteRef/>
      </w:r>
      <w:r>
        <w:t xml:space="preserve"> </w:t>
      </w:r>
      <w:r w:rsidR="00572369">
        <w:t>University of California</w:t>
      </w:r>
      <w:r w:rsidR="00572369">
        <w:t xml:space="preserve"> – Los Angeles</w:t>
      </w:r>
    </w:p>
  </w:footnote>
  <w:footnote w:id="29">
    <w:p w14:paraId="177FC640" w14:textId="045703EE" w:rsidR="00934F6F" w:rsidRDefault="00934F6F" w:rsidP="00934F6F">
      <w:pPr>
        <w:pStyle w:val="FootnoteText"/>
      </w:pPr>
      <w:r>
        <w:rPr>
          <w:rStyle w:val="FootnoteReference"/>
        </w:rPr>
        <w:footnoteRef/>
      </w:r>
      <w:r>
        <w:t xml:space="preserve"> </w:t>
      </w:r>
      <w:r w:rsidR="00572369">
        <w:t>University of Pittsburgh</w:t>
      </w:r>
    </w:p>
  </w:footnote>
  <w:footnote w:id="30">
    <w:p w14:paraId="5DAC6892" w14:textId="6703428B" w:rsidR="00934F6F" w:rsidRDefault="00934F6F" w:rsidP="00934F6F">
      <w:pPr>
        <w:pStyle w:val="FootnoteText"/>
      </w:pPr>
      <w:r>
        <w:rPr>
          <w:rStyle w:val="FootnoteReference"/>
        </w:rPr>
        <w:footnoteRef/>
      </w:r>
      <w:r>
        <w:t xml:space="preserve"> </w:t>
      </w:r>
      <w:r w:rsidR="00572369" w:rsidRPr="00572369">
        <w:t>California State Polytechnic University-Pomona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ABD73" w14:textId="77777777" w:rsidR="00EA77BA" w:rsidRDefault="00EA77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4FE1F" w14:textId="2B4F3B86" w:rsidR="00F01EB9" w:rsidRDefault="00EA77BA" w:rsidP="00F01EB9">
    <w:pPr>
      <w:pStyle w:val="Header"/>
    </w:pPr>
    <w:r>
      <w:rPr>
        <w:noProof/>
      </w:rPr>
      <mc:AlternateContent>
        <mc:Choice Requires="wps">
          <w:drawing>
            <wp:anchor distT="0" distB="0" distL="114300" distR="114300" simplePos="0" relativeHeight="251659264" behindDoc="0" locked="0" layoutInCell="1" allowOverlap="1" wp14:anchorId="19AB5428" wp14:editId="556952A5">
              <wp:simplePos x="0" y="0"/>
              <wp:positionH relativeFrom="column">
                <wp:posOffset>-9467</wp:posOffset>
              </wp:positionH>
              <wp:positionV relativeFrom="paragraph">
                <wp:posOffset>-188191</wp:posOffset>
              </wp:positionV>
              <wp:extent cx="5371690" cy="349448"/>
              <wp:effectExtent l="12700" t="12700" r="13335" b="19050"/>
              <wp:wrapNone/>
              <wp:docPr id="226"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1690" cy="349448"/>
                      </a:xfrm>
                      <a:prstGeom prst="rect">
                        <a:avLst/>
                      </a:prstGeom>
                      <a:noFill/>
                      <a:ln w="25400">
                        <a:solidFill>
                          <a:srgbClr val="444C6A"/>
                        </a:solidFill>
                        <a:miter lim="800000"/>
                        <a:headEnd/>
                        <a:tailEnd/>
                      </a:ln>
                    </wps:spPr>
                    <wps:txbx>
                      <w:txbxContent>
                        <w:sdt>
                          <w:sdtPr>
                            <w:rPr>
                              <w:rFonts w:ascii="Kefa" w:hAnsi="Kefa"/>
                              <w:b/>
                              <w:color w:val="444C6A"/>
                              <w:sz w:val="32"/>
                              <w:szCs w:val="32"/>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F79B6D2" w14:textId="7696FDDE" w:rsidR="00F01EB9" w:rsidRPr="00163A52" w:rsidRDefault="00EA77BA" w:rsidP="00F01EB9">
                              <w:pPr>
                                <w:pStyle w:val="Header"/>
                                <w:rPr>
                                  <w:rFonts w:ascii="Kefa" w:hAnsi="Kefa"/>
                                  <w:b/>
                                  <w:color w:val="444C6A"/>
                                  <w:sz w:val="32"/>
                                  <w:szCs w:val="32"/>
                                </w:rPr>
                              </w:pPr>
                              <w:r>
                                <w:rPr>
                                  <w:rFonts w:ascii="Kefa" w:hAnsi="Kefa"/>
                                  <w:b/>
                                  <w:color w:val="444C6A"/>
                                  <w:sz w:val="32"/>
                                  <w:szCs w:val="32"/>
                                </w:rPr>
                                <w:t>202</w:t>
                              </w:r>
                              <w:r w:rsidR="003D0C5B">
                                <w:rPr>
                                  <w:rFonts w:ascii="Kefa" w:hAnsi="Kefa"/>
                                  <w:b/>
                                  <w:color w:val="444C6A"/>
                                  <w:sz w:val="32"/>
                                  <w:szCs w:val="32"/>
                                </w:rPr>
                                <w:t>5</w:t>
                              </w:r>
                              <w:r>
                                <w:rPr>
                                  <w:rFonts w:ascii="Kefa" w:hAnsi="Kefa"/>
                                  <w:b/>
                                  <w:color w:val="444C6A"/>
                                  <w:sz w:val="32"/>
                                  <w:szCs w:val="32"/>
                                </w:rPr>
                                <w:t xml:space="preserve"> Gatlinburg Conference Symposium Submission</w:t>
                              </w:r>
                            </w:p>
                          </w:sdtContent>
                        </w:sdt>
                      </w:txbxContent>
                    </wps:txbx>
                    <wps:bodyPr rot="0" vert="horz" wrap="square" lIns="91440" tIns="45720" rIns="91440" bIns="45720" anchor="ctr" anchorCtr="0" upright="1">
                      <a:noAutofit/>
                    </wps:bodyPr>
                  </wps:wsp>
                </a:graphicData>
              </a:graphic>
            </wp:anchor>
          </w:drawing>
        </mc:Choice>
        <mc:Fallback>
          <w:pict>
            <v:rect w14:anchorId="19AB5428" id="Rectangle 197" o:spid="_x0000_s1026" style="position:absolute;margin-left:-.75pt;margin-top:-14.8pt;width:422.95pt;height: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" filled="f" strokecolor="#444c6a" strokeweight="2pt">
              <v:textbox>
                <w:txbxContent>
                  <w:sdt>
                    <w:sdtPr>
                      <w:rPr>
                        <w:rFonts w:ascii="Kefa" w:hAnsi="Kefa"/>
                        <w:b/>
                        <w:color w:val="444C6A"/>
                        <w:sz w:val="32"/>
                        <w:szCs w:val="32"/>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F79B6D2" w14:textId="7696FDDE" w:rsidR="00F01EB9" w:rsidRPr="00163A52" w:rsidRDefault="00EA77BA" w:rsidP="00F01EB9">
                        <w:pPr>
                          <w:pStyle w:val="Header"/>
                          <w:rPr>
                            <w:rFonts w:ascii="Kefa" w:hAnsi="Kefa"/>
                            <w:b/>
                            <w:color w:val="444C6A"/>
                            <w:sz w:val="32"/>
                            <w:szCs w:val="32"/>
                          </w:rPr>
                        </w:pPr>
                        <w:r>
                          <w:rPr>
                            <w:rFonts w:ascii="Kefa" w:hAnsi="Kefa"/>
                            <w:b/>
                            <w:color w:val="444C6A"/>
                            <w:sz w:val="32"/>
                            <w:szCs w:val="32"/>
                          </w:rPr>
                          <w:t>202</w:t>
                        </w:r>
                        <w:r w:rsidR="003D0C5B">
                          <w:rPr>
                            <w:rFonts w:ascii="Kefa" w:hAnsi="Kefa"/>
                            <w:b/>
                            <w:color w:val="444C6A"/>
                            <w:sz w:val="32"/>
                            <w:szCs w:val="32"/>
                          </w:rPr>
                          <w:t>5</w:t>
                        </w:r>
                        <w:r>
                          <w:rPr>
                            <w:rFonts w:ascii="Kefa" w:hAnsi="Kefa"/>
                            <w:b/>
                            <w:color w:val="444C6A"/>
                            <w:sz w:val="32"/>
                            <w:szCs w:val="32"/>
                          </w:rPr>
                          <w:t xml:space="preserve"> Gatlinburg Conference Symposium Submission</w:t>
                        </w:r>
                      </w:p>
                    </w:sdtContent>
                  </w:sdt>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F2BE1" w14:textId="77777777" w:rsidR="00EA77BA" w:rsidRDefault="00EA77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proofState w:spelling="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627"/>
    <w:rsid w:val="00045186"/>
    <w:rsid w:val="000E193A"/>
    <w:rsid w:val="00115D14"/>
    <w:rsid w:val="00163A52"/>
    <w:rsid w:val="001C6F6A"/>
    <w:rsid w:val="002207DD"/>
    <w:rsid w:val="002755F9"/>
    <w:rsid w:val="002A64F0"/>
    <w:rsid w:val="00373627"/>
    <w:rsid w:val="003D0C5B"/>
    <w:rsid w:val="003D422A"/>
    <w:rsid w:val="003E7FAC"/>
    <w:rsid w:val="003F6A33"/>
    <w:rsid w:val="00445FA4"/>
    <w:rsid w:val="00472423"/>
    <w:rsid w:val="00490948"/>
    <w:rsid w:val="005158B3"/>
    <w:rsid w:val="00572369"/>
    <w:rsid w:val="006111D6"/>
    <w:rsid w:val="0064135E"/>
    <w:rsid w:val="0064369F"/>
    <w:rsid w:val="0068166C"/>
    <w:rsid w:val="007B5928"/>
    <w:rsid w:val="00841BAA"/>
    <w:rsid w:val="00934F6F"/>
    <w:rsid w:val="00970098"/>
    <w:rsid w:val="009B17A1"/>
    <w:rsid w:val="009D4DF8"/>
    <w:rsid w:val="009E30F9"/>
    <w:rsid w:val="00A25EDD"/>
    <w:rsid w:val="00B11FC2"/>
    <w:rsid w:val="00D95016"/>
    <w:rsid w:val="00DC6869"/>
    <w:rsid w:val="00E34365"/>
    <w:rsid w:val="00E6693B"/>
    <w:rsid w:val="00EA77BA"/>
    <w:rsid w:val="00F01EB9"/>
    <w:rsid w:val="00FA3BF4"/>
    <w:rsid w:val="00FD0314"/>
    <w:rsid w:val="00FF0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12A58"/>
  <w15:chartTrackingRefBased/>
  <w15:docId w15:val="{512F01A4-99F6-4E9E-8CEE-69E1BE0D4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7A1"/>
    <w:pPr>
      <w:spacing w:after="240" w:line="360" w:lineRule="auto"/>
    </w:pPr>
    <w:rPr>
      <w:rFonts w:ascii="Arial" w:hAnsi="Arial"/>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1EB9"/>
    <w:pPr>
      <w:tabs>
        <w:tab w:val="center" w:pos="4680"/>
        <w:tab w:val="right" w:pos="9360"/>
      </w:tabs>
      <w:spacing w:line="240" w:lineRule="auto"/>
    </w:pPr>
  </w:style>
  <w:style w:type="character" w:customStyle="1" w:styleId="HeaderChar">
    <w:name w:val="Header Char"/>
    <w:basedOn w:val="DefaultParagraphFont"/>
    <w:link w:val="Header"/>
    <w:uiPriority w:val="99"/>
    <w:rsid w:val="00F01EB9"/>
    <w:rPr>
      <w:rFonts w:ascii="Arial" w:hAnsi="Arial"/>
      <w:sz w:val="20"/>
    </w:rPr>
  </w:style>
  <w:style w:type="paragraph" w:styleId="Footer">
    <w:name w:val="footer"/>
    <w:basedOn w:val="Normal"/>
    <w:link w:val="FooterChar"/>
    <w:uiPriority w:val="99"/>
    <w:unhideWhenUsed/>
    <w:rsid w:val="00F01EB9"/>
    <w:pPr>
      <w:tabs>
        <w:tab w:val="center" w:pos="4680"/>
        <w:tab w:val="right" w:pos="9360"/>
      </w:tabs>
      <w:spacing w:line="240" w:lineRule="auto"/>
    </w:pPr>
  </w:style>
  <w:style w:type="character" w:customStyle="1" w:styleId="FooterChar">
    <w:name w:val="Footer Char"/>
    <w:basedOn w:val="DefaultParagraphFont"/>
    <w:link w:val="Footer"/>
    <w:uiPriority w:val="99"/>
    <w:rsid w:val="00F01EB9"/>
    <w:rPr>
      <w:rFonts w:ascii="Arial" w:hAnsi="Arial"/>
      <w:sz w:val="20"/>
    </w:rPr>
  </w:style>
  <w:style w:type="paragraph" w:styleId="EndnoteText">
    <w:name w:val="endnote text"/>
    <w:basedOn w:val="Normal"/>
    <w:link w:val="EndnoteTextChar"/>
    <w:uiPriority w:val="99"/>
    <w:semiHidden/>
    <w:unhideWhenUsed/>
    <w:rsid w:val="009B17A1"/>
    <w:pPr>
      <w:spacing w:after="0" w:line="240" w:lineRule="auto"/>
    </w:pPr>
    <w:rPr>
      <w:szCs w:val="20"/>
    </w:rPr>
  </w:style>
  <w:style w:type="character" w:customStyle="1" w:styleId="EndnoteTextChar">
    <w:name w:val="Endnote Text Char"/>
    <w:basedOn w:val="DefaultParagraphFont"/>
    <w:link w:val="EndnoteText"/>
    <w:uiPriority w:val="99"/>
    <w:semiHidden/>
    <w:rsid w:val="009B17A1"/>
    <w:rPr>
      <w:rFonts w:ascii="Arial" w:hAnsi="Arial"/>
      <w:sz w:val="20"/>
      <w:szCs w:val="20"/>
    </w:rPr>
  </w:style>
  <w:style w:type="character" w:styleId="EndnoteReference">
    <w:name w:val="endnote reference"/>
    <w:basedOn w:val="DefaultParagraphFont"/>
    <w:uiPriority w:val="99"/>
    <w:semiHidden/>
    <w:unhideWhenUsed/>
    <w:rsid w:val="009B17A1"/>
    <w:rPr>
      <w:vertAlign w:val="superscript"/>
    </w:rPr>
  </w:style>
  <w:style w:type="paragraph" w:styleId="FootnoteText">
    <w:name w:val="footnote text"/>
    <w:basedOn w:val="Normal"/>
    <w:link w:val="FootnoteTextChar"/>
    <w:uiPriority w:val="99"/>
    <w:semiHidden/>
    <w:unhideWhenUsed/>
    <w:rsid w:val="0064135E"/>
    <w:pPr>
      <w:spacing w:after="0" w:line="240" w:lineRule="auto"/>
    </w:pPr>
    <w:rPr>
      <w:szCs w:val="20"/>
    </w:rPr>
  </w:style>
  <w:style w:type="character" w:customStyle="1" w:styleId="FootnoteTextChar">
    <w:name w:val="Footnote Text Char"/>
    <w:basedOn w:val="DefaultParagraphFont"/>
    <w:link w:val="FootnoteText"/>
    <w:uiPriority w:val="99"/>
    <w:semiHidden/>
    <w:rsid w:val="0064135E"/>
    <w:rPr>
      <w:rFonts w:ascii="Arial" w:hAnsi="Arial"/>
      <w:sz w:val="20"/>
      <w:szCs w:val="20"/>
    </w:rPr>
  </w:style>
  <w:style w:type="character" w:styleId="FootnoteReference">
    <w:name w:val="footnote reference"/>
    <w:basedOn w:val="DefaultParagraphFont"/>
    <w:uiPriority w:val="99"/>
    <w:semiHidden/>
    <w:unhideWhenUsed/>
    <w:rsid w:val="0064135E"/>
    <w:rPr>
      <w:vertAlign w:val="superscript"/>
    </w:rPr>
  </w:style>
  <w:style w:type="paragraph" w:styleId="Title">
    <w:name w:val="Title"/>
    <w:basedOn w:val="Normal"/>
    <w:next w:val="Normal"/>
    <w:link w:val="TitleChar"/>
    <w:uiPriority w:val="10"/>
    <w:qFormat/>
    <w:rsid w:val="00934F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4F6F"/>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04518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7" ma:contentTypeDescription="Create a new document." ma:contentTypeScope="" ma:versionID="819b4ee962be2bddd2474e785d1181b8">
  <xsd:schema xmlns:xsd="http://www.w3.org/2001/XMLSchema" xmlns:xs="http://www.w3.org/2001/XMLSchema" xmlns:p="http://schemas.microsoft.com/office/2006/metadata/properties" xmlns:ns2="bfec5155-cd0c-46a7-a3ba-4de02cda8ac5" xmlns:ns3="ef7c5145-e159-46d3-924d-b50a59624be6" xmlns:ns4="19a4d83b-00ce-4127-a5b3-b065af9349eb" targetNamespace="http://schemas.microsoft.com/office/2006/metadata/properties" ma:root="true" ma:fieldsID="f34546f8b4ac1cec3bd81821bd59e526" ns2:_="" ns3:_="" ns4:_="">
    <xsd:import namespace="bfec5155-cd0c-46a7-a3ba-4de02cda8ac5"/>
    <xsd:import namespace="ef7c5145-e159-46d3-924d-b50a59624be6"/>
    <xsd:import namespace="19a4d83b-00ce-4127-a5b3-b065af9349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a4d83b-00ce-4127-a5b3-b065af9349e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a1f28c6-8888-4c4a-84f6-b5cc35d41f63}" ma:internalName="TaxCatchAll" ma:showField="CatchAllData" ma:web="19a4d83b-00ce-4127-a5b3-b065af9349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ec5155-cd0c-46a7-a3ba-4de02cda8ac5">
      <Terms xmlns="http://schemas.microsoft.com/office/infopath/2007/PartnerControls"/>
    </lcf76f155ced4ddcb4097134ff3c332f>
    <TaxCatchAll xmlns="19a4d83b-00ce-4127-a5b3-b065af9349eb" xsi:nil="true"/>
  </documentManagement>
</p:properties>
</file>

<file path=customXml/itemProps1.xml><?xml version="1.0" encoding="utf-8"?>
<ds:datastoreItem xmlns:ds="http://schemas.openxmlformats.org/officeDocument/2006/customXml" ds:itemID="{3BF7A4B2-441C-45FB-8822-085009B7B96F}">
  <ds:schemaRefs>
    <ds:schemaRef ds:uri="http://schemas.openxmlformats.org/officeDocument/2006/bibliography"/>
  </ds:schemaRefs>
</ds:datastoreItem>
</file>

<file path=customXml/itemProps2.xml><?xml version="1.0" encoding="utf-8"?>
<ds:datastoreItem xmlns:ds="http://schemas.openxmlformats.org/officeDocument/2006/customXml" ds:itemID="{B2F4EB8B-8B22-4E7B-9846-C7352A7A352A}"/>
</file>

<file path=customXml/itemProps3.xml><?xml version="1.0" encoding="utf-8"?>
<ds:datastoreItem xmlns:ds="http://schemas.openxmlformats.org/officeDocument/2006/customXml" ds:itemID="{79B5046B-A219-458E-9A6C-7D3B791ACF3D}"/>
</file>

<file path=customXml/itemProps4.xml><?xml version="1.0" encoding="utf-8"?>
<ds:datastoreItem xmlns:ds="http://schemas.openxmlformats.org/officeDocument/2006/customXml" ds:itemID="{CBA4C0DE-C1C6-4498-AF99-E5376CD9FE6D}"/>
</file>

<file path=docProps/app.xml><?xml version="1.0" encoding="utf-8"?>
<Properties xmlns="http://schemas.openxmlformats.org/officeDocument/2006/extended-properties" xmlns:vt="http://schemas.openxmlformats.org/officeDocument/2006/docPropsVTypes">
  <Template>.~WRD0000</Template>
  <TotalTime>46</TotalTime>
  <Pages>10</Pages>
  <Words>3345</Words>
  <Characters>19067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2025 Gatlinburg Conference Symposium Submission</vt:lpstr>
    </vt:vector>
  </TitlesOfParts>
  <Company>University of Kansas</Company>
  <LinksUpToDate>false</LinksUpToDate>
  <CharactersWithSpaces>22368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Gatlinburg Conference Symposium Submission</dc:title>
  <dc:subject/>
  <dc:creator>Hallberg, Lisa K.</dc:creator>
  <cp:keywords/>
  <dc:description/>
  <cp:lastModifiedBy>Smith, Matthew</cp:lastModifiedBy>
  <cp:revision>8</cp:revision>
  <dcterms:created xsi:type="dcterms:W3CDTF">2024-11-04T15:11:00Z</dcterms:created>
  <dcterms:modified xsi:type="dcterms:W3CDTF">2024-11-04T16:50:00Z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ies>
</file>