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3301D543" w:rsidR="00F01EB9" w:rsidRPr="007566B0" w:rsidRDefault="00163A52" w:rsidP="0086310E">
      <w:r w:rsidRPr="007566B0">
        <w:rPr>
          <w:b/>
          <w:bCs/>
        </w:rPr>
        <w:t xml:space="preserve">Symposium </w:t>
      </w:r>
      <w:r w:rsidR="009B17A1" w:rsidRPr="007566B0">
        <w:rPr>
          <w:b/>
          <w:bCs/>
        </w:rPr>
        <w:t>Title</w:t>
      </w:r>
      <w:r w:rsidR="009B17A1" w:rsidRPr="007566B0">
        <w:t xml:space="preserve">: </w:t>
      </w:r>
      <w:r w:rsidR="00633D0B">
        <w:t xml:space="preserve">Self-injurious behaviour: </w:t>
      </w:r>
      <w:r w:rsidR="00D77AE6">
        <w:t>early characterisation, development and intervention</w:t>
      </w:r>
    </w:p>
    <w:p w14:paraId="7AF660EF" w14:textId="6058E702" w:rsidR="00163A52" w:rsidRPr="007566B0" w:rsidRDefault="00163A52" w:rsidP="0086310E">
      <w:r w:rsidRPr="007566B0">
        <w:rPr>
          <w:b/>
          <w:bCs/>
        </w:rPr>
        <w:t>Chair</w:t>
      </w:r>
      <w:r w:rsidR="009B17A1" w:rsidRPr="007566B0">
        <w:t xml:space="preserve">: </w:t>
      </w:r>
      <w:r w:rsidR="00633D0B">
        <w:t>Professor Caroline Richards</w:t>
      </w:r>
      <w:r w:rsidR="0064135E" w:rsidRPr="007566B0">
        <w:rPr>
          <w:rStyle w:val="FootnoteReference"/>
        </w:rPr>
        <w:footnoteReference w:id="1"/>
      </w:r>
    </w:p>
    <w:p w14:paraId="623354BE" w14:textId="224347AB" w:rsidR="009B17A1" w:rsidRPr="007566B0" w:rsidRDefault="00163A52" w:rsidP="0086310E">
      <w:r w:rsidRPr="007566B0">
        <w:rPr>
          <w:b/>
          <w:bCs/>
        </w:rPr>
        <w:t>Discussant</w:t>
      </w:r>
      <w:r w:rsidRPr="007566B0">
        <w:t xml:space="preserve">: </w:t>
      </w:r>
      <w:r w:rsidR="00633D0B">
        <w:t>Professor Frank Symons</w:t>
      </w:r>
      <w:r w:rsidR="00F5755C">
        <w:rPr>
          <w:rStyle w:val="FootnoteReference"/>
        </w:rPr>
        <w:footnoteReference w:id="2"/>
      </w:r>
    </w:p>
    <w:p w14:paraId="22FE818A" w14:textId="62CAEF50" w:rsidR="009B17A1" w:rsidRDefault="00163A52" w:rsidP="0086310E">
      <w:r w:rsidRPr="007566B0">
        <w:rPr>
          <w:b/>
          <w:bCs/>
        </w:rPr>
        <w:t>Overview</w:t>
      </w:r>
      <w:r w:rsidR="009B17A1" w:rsidRPr="007566B0">
        <w:t xml:space="preserve">: </w:t>
      </w:r>
      <w:r w:rsidR="00786377">
        <w:t xml:space="preserve">Our understanding of self-injurious behaviour (SIB) has advanced significantly over the last 50 years. However, despite theoretical and methodological breakthroughs, there remain </w:t>
      </w:r>
      <w:proofErr w:type="gramStart"/>
      <w:r w:rsidR="00786377">
        <w:t>a number of</w:t>
      </w:r>
      <w:proofErr w:type="gramEnd"/>
      <w:r w:rsidR="00786377">
        <w:t xml:space="preserve"> fundamental questions that require empirical answers in order to improve SIB outcomes for children and adults with intellectual and developmental disabilities (IDD). Specifically, there is a need to generate robust data on the early aetiology and precursors of SIB,</w:t>
      </w:r>
      <w:r w:rsidR="00316CB6">
        <w:t xml:space="preserve"> to identify developmental correlates and risk factors that drive the frequency and severity of SIB and to translate these data into real-world clinical interventions that can be delivered early in children’s developmental trajectories.</w:t>
      </w:r>
      <w:r w:rsidR="00786377">
        <w:t xml:space="preserve"> </w:t>
      </w:r>
      <w:r w:rsidR="006075F8">
        <w:t xml:space="preserve">Our </w:t>
      </w:r>
      <w:r w:rsidR="00316CB6">
        <w:t xml:space="preserve">symposium presents four papers that target these questions, with a clear focus on </w:t>
      </w:r>
      <w:r w:rsidR="00316CB6" w:rsidRPr="00316CB6">
        <w:rPr>
          <w:i/>
          <w:iCs/>
        </w:rPr>
        <w:t>early</w:t>
      </w:r>
      <w:r w:rsidR="00316CB6">
        <w:t xml:space="preserve"> characterisation, development and intervention, </w:t>
      </w:r>
      <w:proofErr w:type="gramStart"/>
      <w:r w:rsidR="00316CB6">
        <w:t>in an effort to</w:t>
      </w:r>
      <w:proofErr w:type="gramEnd"/>
      <w:r w:rsidR="00316CB6">
        <w:t xml:space="preserve"> further collaborative approaches to reduce the prevalence and impact of SIB for children with neurodevelopmental conditions. </w:t>
      </w:r>
    </w:p>
    <w:p w14:paraId="77D6E411" w14:textId="30622BD1" w:rsidR="004B0FC6" w:rsidRDefault="004B0FC6" w:rsidP="0086310E">
      <w:pPr>
        <w:jc w:val="center"/>
        <w:rPr>
          <w:b/>
          <w:bCs/>
        </w:rPr>
      </w:pPr>
      <w:r>
        <w:rPr>
          <w:b/>
          <w:bCs/>
        </w:rPr>
        <w:t>Paper 1 of 4</w:t>
      </w:r>
    </w:p>
    <w:p w14:paraId="6A55355B" w14:textId="77777777" w:rsidR="0086310E" w:rsidRDefault="0086310E" w:rsidP="0086310E">
      <w:pPr>
        <w:spacing w:after="120"/>
      </w:pPr>
      <w:r w:rsidRPr="002A64F0">
        <w:rPr>
          <w:b/>
          <w:bCs/>
        </w:rPr>
        <w:t>Paper Title</w:t>
      </w:r>
      <w:r>
        <w:t xml:space="preserve">: Proto self-injurious </w:t>
      </w:r>
      <w:proofErr w:type="spellStart"/>
      <w:r>
        <w:t>behavior</w:t>
      </w:r>
      <w:proofErr w:type="spellEnd"/>
      <w:r>
        <w:t xml:space="preserve"> in young children with and without Down syndrome</w:t>
      </w:r>
    </w:p>
    <w:p w14:paraId="61ECDB7E" w14:textId="74F5D616" w:rsidR="0086310E" w:rsidRDefault="0086310E" w:rsidP="0086310E">
      <w:pPr>
        <w:spacing w:after="120"/>
        <w:rPr>
          <w:szCs w:val="20"/>
        </w:rPr>
      </w:pPr>
      <w:r w:rsidRPr="002A64F0">
        <w:rPr>
          <w:b/>
          <w:bCs/>
        </w:rPr>
        <w:t>Authors</w:t>
      </w:r>
      <w:r>
        <w:t xml:space="preserve">: </w:t>
      </w:r>
      <w:r>
        <w:rPr>
          <w:szCs w:val="20"/>
        </w:rPr>
        <w:t>Emma R. Worthley</w:t>
      </w:r>
      <w:r>
        <w:rPr>
          <w:rStyle w:val="FootnoteReference"/>
          <w:szCs w:val="20"/>
        </w:rPr>
        <w:footnoteReference w:id="3"/>
      </w:r>
      <w:r>
        <w:rPr>
          <w:szCs w:val="20"/>
        </w:rPr>
        <w:t>, Phuong Tran</w:t>
      </w:r>
      <w:r>
        <w:rPr>
          <w:szCs w:val="20"/>
          <w:vertAlign w:val="superscript"/>
        </w:rPr>
        <w:t>3</w:t>
      </w:r>
      <w:r>
        <w:rPr>
          <w:szCs w:val="20"/>
        </w:rPr>
        <w:t>, Kelly N. Botteron</w:t>
      </w:r>
      <w:r>
        <w:rPr>
          <w:rStyle w:val="FootnoteReference"/>
          <w:szCs w:val="20"/>
        </w:rPr>
        <w:footnoteReference w:id="4"/>
      </w:r>
      <w:r>
        <w:rPr>
          <w:szCs w:val="20"/>
        </w:rPr>
        <w:t>, Stephen R. Dager</w:t>
      </w:r>
      <w:r>
        <w:rPr>
          <w:rStyle w:val="FootnoteReference"/>
          <w:szCs w:val="20"/>
        </w:rPr>
        <w:footnoteReference w:id="5"/>
      </w:r>
      <w:r>
        <w:rPr>
          <w:szCs w:val="20"/>
        </w:rPr>
        <w:t>, Jed T. Elison</w:t>
      </w:r>
      <w:r>
        <w:rPr>
          <w:szCs w:val="20"/>
          <w:vertAlign w:val="superscript"/>
        </w:rPr>
        <w:t>3</w:t>
      </w:r>
      <w:r>
        <w:rPr>
          <w:szCs w:val="20"/>
        </w:rPr>
        <w:t>, Annette M. Estes</w:t>
      </w:r>
      <w:r>
        <w:rPr>
          <w:szCs w:val="20"/>
          <w:vertAlign w:val="superscript"/>
        </w:rPr>
        <w:t>5</w:t>
      </w:r>
      <w:r>
        <w:rPr>
          <w:szCs w:val="20"/>
        </w:rPr>
        <w:t xml:space="preserve">, </w:t>
      </w:r>
      <w:bookmarkStart w:id="0" w:name="OLE_LINK1"/>
      <w:r>
        <w:rPr>
          <w:szCs w:val="20"/>
        </w:rPr>
        <w:t xml:space="preserve">Rebecca </w:t>
      </w:r>
      <w:proofErr w:type="spellStart"/>
      <w:r w:rsidRPr="006E7BF6">
        <w:rPr>
          <w:szCs w:val="20"/>
        </w:rPr>
        <w:t>Grzadzinski</w:t>
      </w:r>
      <w:bookmarkEnd w:id="0"/>
      <w:proofErr w:type="spellEnd"/>
      <w:r>
        <w:rPr>
          <w:rStyle w:val="FootnoteReference"/>
          <w:szCs w:val="20"/>
        </w:rPr>
        <w:footnoteReference w:id="6"/>
      </w:r>
      <w:r>
        <w:rPr>
          <w:szCs w:val="20"/>
        </w:rPr>
        <w:t xml:space="preserve">, </w:t>
      </w:r>
      <w:r w:rsidRPr="006E7BF6">
        <w:rPr>
          <w:szCs w:val="20"/>
        </w:rPr>
        <w:t>Heather</w:t>
      </w:r>
      <w:r>
        <w:rPr>
          <w:szCs w:val="20"/>
        </w:rPr>
        <w:t xml:space="preserve"> C. Hazlett</w:t>
      </w:r>
      <w:r>
        <w:rPr>
          <w:szCs w:val="20"/>
          <w:vertAlign w:val="superscript"/>
        </w:rPr>
        <w:t>6</w:t>
      </w:r>
      <w:r>
        <w:rPr>
          <w:szCs w:val="20"/>
        </w:rPr>
        <w:t>, Robert T. Schulz</w:t>
      </w:r>
      <w:r>
        <w:rPr>
          <w:rStyle w:val="FootnoteReference"/>
          <w:szCs w:val="20"/>
        </w:rPr>
        <w:footnoteReference w:id="7"/>
      </w:r>
      <w:r>
        <w:rPr>
          <w:szCs w:val="20"/>
        </w:rPr>
        <w:t xml:space="preserve">, Lonnie </w:t>
      </w:r>
      <w:proofErr w:type="spellStart"/>
      <w:r>
        <w:rPr>
          <w:szCs w:val="20"/>
        </w:rPr>
        <w:t>Zwaigenbaum</w:t>
      </w:r>
      <w:proofErr w:type="spellEnd"/>
      <w:r>
        <w:rPr>
          <w:rStyle w:val="FootnoteReference"/>
          <w:szCs w:val="20"/>
        </w:rPr>
        <w:footnoteReference w:id="8"/>
      </w:r>
      <w:r>
        <w:rPr>
          <w:szCs w:val="20"/>
        </w:rPr>
        <w:t>, Natasha N. Marrus</w:t>
      </w:r>
      <w:r>
        <w:rPr>
          <w:szCs w:val="20"/>
          <w:vertAlign w:val="superscript"/>
        </w:rPr>
        <w:t>4</w:t>
      </w:r>
      <w:r>
        <w:rPr>
          <w:szCs w:val="20"/>
        </w:rPr>
        <w:t>, Joseph Piven</w:t>
      </w:r>
      <w:r>
        <w:rPr>
          <w:szCs w:val="20"/>
          <w:vertAlign w:val="superscript"/>
        </w:rPr>
        <w:t>6</w:t>
      </w:r>
      <w:r>
        <w:rPr>
          <w:szCs w:val="20"/>
        </w:rPr>
        <w:t>, John R. Pruett Jr.</w:t>
      </w:r>
      <w:r>
        <w:rPr>
          <w:szCs w:val="20"/>
          <w:vertAlign w:val="superscript"/>
        </w:rPr>
        <w:t>4</w:t>
      </w:r>
      <w:r>
        <w:rPr>
          <w:szCs w:val="20"/>
        </w:rPr>
        <w:t>, Jason J. Wolff</w:t>
      </w:r>
      <w:r>
        <w:rPr>
          <w:szCs w:val="20"/>
          <w:vertAlign w:val="superscript"/>
        </w:rPr>
        <w:t>3</w:t>
      </w:r>
      <w:r>
        <w:rPr>
          <w:szCs w:val="20"/>
        </w:rPr>
        <w:t xml:space="preserve"> &amp; IBIS Network</w:t>
      </w:r>
    </w:p>
    <w:p w14:paraId="5427D745" w14:textId="77777777" w:rsidR="0086310E" w:rsidRDefault="0086310E" w:rsidP="0086310E">
      <w:pPr>
        <w:spacing w:after="120"/>
      </w:pPr>
      <w:r w:rsidRPr="002A64F0">
        <w:rPr>
          <w:b/>
          <w:bCs/>
        </w:rPr>
        <w:t>Introduction</w:t>
      </w:r>
      <w:r>
        <w:t xml:space="preserve">: Self-injurious </w:t>
      </w:r>
      <w:proofErr w:type="spellStart"/>
      <w:r>
        <w:t>behavior</w:t>
      </w:r>
      <w:proofErr w:type="spellEnd"/>
      <w:r>
        <w:t xml:space="preserve"> (SIB), a category of restricted and repetitive </w:t>
      </w:r>
      <w:proofErr w:type="spellStart"/>
      <w:r>
        <w:t>behavior</w:t>
      </w:r>
      <w:proofErr w:type="spellEnd"/>
      <w:r>
        <w:t xml:space="preserve"> (RRB), is repetitive self-directed action that can result in tissue damage and is associated with intellectual disability (ID). Proto-SIB are self-directed actions that mirror the form of SIB but are not yet of sufficient intensity or frequency to result in tissue damage; nonetheless, these may presage the development of SIB. The prevalence of SIB in Down syndrome (DS), a common cause of ID, has been estimated to be 18.4% (Richards et al., 2012) and includes topographies involving eyes, ears, and head hitting (Buono et al., 2010). The prevalence and topographies of proto-SIB in the early development of children with DS have yet to be well-characterized. The present study aims to describe overall proto-SIB and its topographies across 12- and 24-month-old age in toddlers with and without DS.</w:t>
      </w:r>
    </w:p>
    <w:p w14:paraId="177A6130" w14:textId="77777777" w:rsidR="0086310E" w:rsidRDefault="0086310E" w:rsidP="0086310E">
      <w:pPr>
        <w:spacing w:after="120"/>
      </w:pPr>
      <w:r w:rsidRPr="007B5928">
        <w:rPr>
          <w:b/>
          <w:bCs/>
        </w:rPr>
        <w:t>Method</w:t>
      </w:r>
      <w:r>
        <w:t>:  In a sample of 124 young children with and without DS, data were collected during a 12-month visit (</w:t>
      </w:r>
      <w:r w:rsidRPr="00845EE8">
        <w:rPr>
          <w:i/>
          <w:iCs/>
        </w:rPr>
        <w:t>n</w:t>
      </w:r>
      <w:r>
        <w:t xml:space="preserve"> = 107, 64% DS; 50% female; </w:t>
      </w:r>
      <w:r w:rsidRPr="00845EE8">
        <w:rPr>
          <w:i/>
          <w:iCs/>
        </w:rPr>
        <w:t>M</w:t>
      </w:r>
      <w:r w:rsidRPr="00845EE8">
        <w:rPr>
          <w:i/>
          <w:iCs/>
          <w:vertAlign w:val="subscript"/>
        </w:rPr>
        <w:t>age</w:t>
      </w:r>
      <w:r>
        <w:t xml:space="preserve"> = 13 months; </w:t>
      </w:r>
      <w:proofErr w:type="spellStart"/>
      <w:r w:rsidRPr="00845EE8">
        <w:rPr>
          <w:i/>
          <w:iCs/>
        </w:rPr>
        <w:t>SD</w:t>
      </w:r>
      <w:r w:rsidRPr="00845EE8">
        <w:rPr>
          <w:i/>
          <w:iCs/>
          <w:vertAlign w:val="subscript"/>
        </w:rPr>
        <w:t>age</w:t>
      </w:r>
      <w:proofErr w:type="spellEnd"/>
      <w:r w:rsidRPr="00845EE8">
        <w:rPr>
          <w:i/>
          <w:iCs/>
        </w:rPr>
        <w:t xml:space="preserve"> </w:t>
      </w:r>
      <w:r>
        <w:t>= 1.62 months) and 24-month visit (</w:t>
      </w:r>
      <w:r w:rsidRPr="00845EE8">
        <w:rPr>
          <w:i/>
          <w:iCs/>
        </w:rPr>
        <w:t>n</w:t>
      </w:r>
      <w:r>
        <w:t xml:space="preserve"> = 73; 60% DS; 52% female; </w:t>
      </w:r>
      <w:r w:rsidRPr="00845EE8">
        <w:rPr>
          <w:i/>
          <w:iCs/>
        </w:rPr>
        <w:t>M</w:t>
      </w:r>
      <w:r w:rsidRPr="00845EE8">
        <w:rPr>
          <w:i/>
          <w:iCs/>
          <w:vertAlign w:val="subscript"/>
        </w:rPr>
        <w:t>age</w:t>
      </w:r>
      <w:r>
        <w:t xml:space="preserve"> </w:t>
      </w:r>
      <w:r>
        <w:lastRenderedPageBreak/>
        <w:t xml:space="preserve">= 25 months; </w:t>
      </w:r>
      <w:proofErr w:type="spellStart"/>
      <w:r w:rsidRPr="00845EE8">
        <w:rPr>
          <w:i/>
          <w:iCs/>
        </w:rPr>
        <w:t>SD</w:t>
      </w:r>
      <w:r w:rsidRPr="00845EE8">
        <w:rPr>
          <w:i/>
          <w:iCs/>
          <w:vertAlign w:val="subscript"/>
        </w:rPr>
        <w:t>age</w:t>
      </w:r>
      <w:proofErr w:type="spellEnd"/>
      <w:r>
        <w:t xml:space="preserve"> = 1.71 months) in an observational, longitudinal study. The self-directed </w:t>
      </w:r>
      <w:proofErr w:type="spellStart"/>
      <w:r>
        <w:t>behavior</w:t>
      </w:r>
      <w:proofErr w:type="spellEnd"/>
      <w:r>
        <w:t xml:space="preserve"> subscale of the Repetitive </w:t>
      </w:r>
      <w:proofErr w:type="spellStart"/>
      <w:r>
        <w:t>Behavior</w:t>
      </w:r>
      <w:proofErr w:type="spellEnd"/>
      <w:r>
        <w:t xml:space="preserve"> Scales for Early Childhood (RBS-EC; </w:t>
      </w:r>
      <w:r>
        <w:fldChar w:fldCharType="begin"/>
      </w:r>
      <w:r>
        <w:instrText xml:space="preserve"> ADDIN ZOTERO_ITEM CSL_CITATION {"citationID":"tyN0hsNK","properties":{"formattedCitation":"(Wolff et al., 2016)","plainCitation":"(Wolff et al., 2016)","noteIndex":0},"citationItems":[{"id":2592,"uris":["http://zotero.org/users/local/Nxj1qYoU/items/27CSYN8B"],"itemData":{"id":2592,"type":"article-journal","abstract":"Restricted and repetitive behaviors are characteristic phenotypic features of many neurodevelopmental, psychiatric, and neurological conditions. During early childhood, such behaviors are considered normative. More research is needed to delineate the dimensions of restricted and repetitive behavior across typical and atypical development during this period. We developed the 34-item parent-rated Repetitive Behavior Scale for Early Childhood (RBS-EC) to capture quantitative, dimensional features across a broad range of behaviors contributing to this domain. We evaluated its psychometric properties and factor structure in a community sample of 914 toddlers. The RBS-EC showed excellent overall internal consistency (α = 0.90), strong test-retest reliability (ICC = 0.87 for topographies and 0.90 for frequency) and evidence of convergent and discriminative validity. Using a split-half approach to factor analysis, we identified that a three- or four-factor structure best fit the data and confirmatory factor analysis indicated acceptable fit for both models. The empirically derived four-factor model was consistent with our conceptual model and included repetitive motor, restricted interests and behavior, ritual and routine, and self-directed behavior. This initial study indicates that the RBS-EC is a reliable and valid instrument for characterizing quantitative, dimensional aspects of restricted and repetitive behaviors in young children.","container-title":"Journal of Neurodevelopmental Disorders","DOI":"10.1186/s11689-016-9161-x","ISSN":"1866-1955","issue":"1","journalAbbreviation":"J Neurodevelop Disord","language":"en","license":"2016 The Author(s).","note":"number: 1\npublisher: BioMed Central","page":"1-10","source":"jneurodevdisorders-biomedcentral-com.ezp2.lib.umn.edu","title":"A quantitative measure of restricted and repetitive behaviors for early childhood","volume":"8","author":[{"family":"Wolff","given":"Jason J."},{"family":"Boyd","given":"Brian A."},{"family":"Elison","given":"Jed T."}],"issued":{"date-parts":[["2016",12]]}}}],"schema":"https://github.com/citation-style-language/schema/raw/master/csl-citation.json"} </w:instrText>
      </w:r>
      <w:r>
        <w:fldChar w:fldCharType="separate"/>
      </w:r>
      <w:r>
        <w:rPr>
          <w:noProof/>
        </w:rPr>
        <w:t>Wolff et al., 2016)</w:t>
      </w:r>
      <w:r>
        <w:fldChar w:fldCharType="end"/>
      </w:r>
      <w:r>
        <w:t xml:space="preserve"> was used to measure proto-SIB. The percentages of each group (infants with or without DS) with endorsed proto-SIB topographies (scoring 1 or more on the self-directed subscale) were calculated cross-sectionally for each time point and assessed for group differences using chi-squared tests. A generalized linear mixed-effects model (GLMM) was used to longitudinally investigate how proto-SIB changes from 12- to 24 months of age for infants with and without Down syndrome.</w:t>
      </w:r>
    </w:p>
    <w:p w14:paraId="4CEF3039" w14:textId="77777777" w:rsidR="0086310E" w:rsidRPr="00C8492C" w:rsidRDefault="0086310E" w:rsidP="0086310E">
      <w:pPr>
        <w:spacing w:after="120"/>
      </w:pPr>
      <w:r w:rsidRPr="007B5928">
        <w:rPr>
          <w:b/>
          <w:bCs/>
        </w:rPr>
        <w:t>Results</w:t>
      </w:r>
      <w:r>
        <w:t>:</w:t>
      </w:r>
      <w:r w:rsidRPr="009B17A1">
        <w:t xml:space="preserve"> </w:t>
      </w:r>
      <w:r>
        <w:t>Proto-SIB was reported by caregivers of infants with and without DS for 49% and 39%, respectively, at the 12-month visit and 61% and 48%, respectively, at the 24-month visit. Chi-squared tests did not provide evidence of differences in proto-SIB topographies between the groups of infants with and without Down syndrome at the 12-month or the 24-month visit (Figure 1). The GLMM did not provide evidence that proto-SIB changed from the 12-month to 24-month visit for infants with and without DS (</w:t>
      </w:r>
      <w:proofErr w:type="spellStart"/>
      <w:r>
        <w:rPr>
          <w:i/>
          <w:iCs/>
        </w:rPr>
        <w:t>B</w:t>
      </w:r>
      <w:r>
        <w:rPr>
          <w:i/>
          <w:iCs/>
          <w:vertAlign w:val="subscript"/>
        </w:rPr>
        <w:t>visit</w:t>
      </w:r>
      <w:proofErr w:type="spellEnd"/>
      <w:r>
        <w:t xml:space="preserve"> = 0.05, </w:t>
      </w:r>
      <w:r w:rsidRPr="00A16B6A">
        <w:rPr>
          <w:i/>
          <w:iCs/>
        </w:rPr>
        <w:t>SE</w:t>
      </w:r>
      <w:r w:rsidRPr="00C8492C">
        <w:rPr>
          <w:i/>
          <w:iCs/>
          <w:vertAlign w:val="subscript"/>
        </w:rPr>
        <w:t>B</w:t>
      </w:r>
      <w:r>
        <w:t xml:space="preserve"> = 0,13,</w:t>
      </w:r>
      <w:r w:rsidRPr="00A16B6A">
        <w:rPr>
          <w:i/>
          <w:iCs/>
        </w:rPr>
        <w:t xml:space="preserve"> p</w:t>
      </w:r>
      <w:r>
        <w:t xml:space="preserve"> = .717; see Figure 2). </w:t>
      </w:r>
    </w:p>
    <w:p w14:paraId="0F19E6FB" w14:textId="77777777" w:rsidR="0086310E" w:rsidRDefault="0086310E" w:rsidP="0086310E">
      <w:pPr>
        <w:spacing w:after="120"/>
      </w:pPr>
      <w:r w:rsidRPr="007B5928">
        <w:rPr>
          <w:b/>
          <w:bCs/>
        </w:rPr>
        <w:t>Discussion</w:t>
      </w:r>
      <w:r>
        <w:t xml:space="preserve">: Some extent of RRB, including self-directed </w:t>
      </w:r>
      <w:proofErr w:type="spellStart"/>
      <w:r>
        <w:t>behavior</w:t>
      </w:r>
      <w:proofErr w:type="spellEnd"/>
      <w:r>
        <w:t xml:space="preserve">, is expected in early development. When self-directed </w:t>
      </w:r>
      <w:proofErr w:type="spellStart"/>
      <w:r>
        <w:t>behavior</w:t>
      </w:r>
      <w:proofErr w:type="spellEnd"/>
      <w:r>
        <w:t xml:space="preserve"> crosses from typical to atypical development is not clear. The results provide evidence that some level of self-directed repetitive </w:t>
      </w:r>
      <w:proofErr w:type="spellStart"/>
      <w:r>
        <w:t>behaviors</w:t>
      </w:r>
      <w:proofErr w:type="spellEnd"/>
      <w:r>
        <w:t xml:space="preserve"> occurs with a similar prevalence rate across topographies in infants with and without Down syndrome at both 12 and 24 months of age, which is stable over time across the second year of life. Future work should continue to track the development of proto-SIB in individuals with DS across childhood to identify and predict the onset of SIB. Another important avenue for research is to investigate the use of the RBS-EC to identify a “cut-off” score and normative range of self-directed </w:t>
      </w:r>
      <w:proofErr w:type="spellStart"/>
      <w:r>
        <w:t>behaviors</w:t>
      </w:r>
      <w:proofErr w:type="spellEnd"/>
      <w:r>
        <w:t xml:space="preserve">, thus helping identify when self-directed </w:t>
      </w:r>
      <w:proofErr w:type="spellStart"/>
      <w:r>
        <w:t>behaviors</w:t>
      </w:r>
      <w:proofErr w:type="spellEnd"/>
      <w:r>
        <w:t xml:space="preserve"> cross from typical to atypical. </w:t>
      </w:r>
    </w:p>
    <w:p w14:paraId="6FBEF0B7" w14:textId="77777777" w:rsidR="0086310E" w:rsidRDefault="0086310E" w:rsidP="0086310E">
      <w:r w:rsidRPr="007B5928">
        <w:rPr>
          <w:b/>
          <w:bCs/>
        </w:rPr>
        <w:t>References</w:t>
      </w:r>
    </w:p>
    <w:p w14:paraId="0B258BE7" w14:textId="77777777" w:rsidR="0086310E" w:rsidRDefault="0086310E" w:rsidP="0086310E">
      <w:pPr>
        <w:ind w:left="720" w:hanging="720"/>
      </w:pPr>
      <w:r>
        <w:t xml:space="preserve">Buono, S., Scannella, F., &amp; </w:t>
      </w:r>
      <w:proofErr w:type="spellStart"/>
      <w:r>
        <w:t>Palmigiano</w:t>
      </w:r>
      <w:proofErr w:type="spellEnd"/>
      <w:r>
        <w:t xml:space="preserve">, M. B. (2010). Self-injurious </w:t>
      </w:r>
      <w:proofErr w:type="spellStart"/>
      <w:r>
        <w:t>behavior</w:t>
      </w:r>
      <w:proofErr w:type="spellEnd"/>
      <w:r>
        <w:t xml:space="preserve">: A comparison between Prader-Willi syndrome, Down syndrome and Autism. </w:t>
      </w:r>
      <w:r w:rsidRPr="002F36A5">
        <w:rPr>
          <w:i/>
          <w:iCs/>
        </w:rPr>
        <w:t>Life Span and Disability,</w:t>
      </w:r>
      <w:r w:rsidRPr="002F36A5">
        <w:t> </w:t>
      </w:r>
      <w:r w:rsidRPr="002F36A5">
        <w:rPr>
          <w:i/>
          <w:iCs/>
        </w:rPr>
        <w:t>2</w:t>
      </w:r>
      <w:r w:rsidRPr="002F36A5">
        <w:t>, 187–201.</w:t>
      </w:r>
    </w:p>
    <w:p w14:paraId="3A74D44A" w14:textId="77777777" w:rsidR="0086310E" w:rsidRDefault="0086310E" w:rsidP="0086310E">
      <w:pPr>
        <w:ind w:left="720" w:hanging="720"/>
      </w:pPr>
      <w:r>
        <w:t xml:space="preserve">Richards, C., Oliver, C., Nelson, L., &amp; Moss, J. (2012). Self-injurious behaviour in individuals with autism spectrum disorder and intellectual disability. </w:t>
      </w:r>
      <w:r w:rsidRPr="00D04520">
        <w:rPr>
          <w:i/>
          <w:iCs/>
        </w:rPr>
        <w:t>Journal of Intellectual Disability Research, 56</w:t>
      </w:r>
      <w:r>
        <w:t>(5), 476–489. https://doi.org/10.1111/j.1365-2788.2012.01537.x</w:t>
      </w:r>
    </w:p>
    <w:p w14:paraId="2F00FDA4" w14:textId="77777777" w:rsidR="0086310E" w:rsidRDefault="0086310E" w:rsidP="0086310E">
      <w:pPr>
        <w:ind w:left="720" w:hanging="720"/>
      </w:pPr>
      <w:r>
        <w:t xml:space="preserve">Wolff, J. J., Boyd, B. A., &amp; Elison, J. T. (2016). A quantitative measure of restricted and repetitive </w:t>
      </w:r>
      <w:proofErr w:type="spellStart"/>
      <w:r>
        <w:t>behaviors</w:t>
      </w:r>
      <w:proofErr w:type="spellEnd"/>
      <w:r>
        <w:t xml:space="preserve"> for early childhood. </w:t>
      </w:r>
      <w:r w:rsidRPr="00D04520">
        <w:rPr>
          <w:i/>
          <w:iCs/>
        </w:rPr>
        <w:t>Journal of Neurodevelopmental Disorders, 8</w:t>
      </w:r>
      <w:r>
        <w:t xml:space="preserve">(1), </w:t>
      </w:r>
      <w:hyperlink r:id="rId7" w:history="1">
        <w:r w:rsidRPr="00C21582">
          <w:rPr>
            <w:rStyle w:val="Hyperlink"/>
            <w:color w:val="000000" w:themeColor="text1"/>
          </w:rPr>
          <w:t>https://doi.org/10.1186/s11689-016-9161-x</w:t>
        </w:r>
      </w:hyperlink>
    </w:p>
    <w:p w14:paraId="540F3F7D" w14:textId="77777777" w:rsidR="0086310E" w:rsidRDefault="0086310E" w:rsidP="0086310E">
      <w:pPr>
        <w:ind w:left="720" w:hanging="720"/>
      </w:pPr>
    </w:p>
    <w:p w14:paraId="0DB57782" w14:textId="77777777" w:rsidR="0086310E" w:rsidRDefault="0086310E" w:rsidP="0086310E">
      <w:pPr>
        <w:ind w:left="720" w:hanging="720"/>
      </w:pPr>
    </w:p>
    <w:p w14:paraId="404D03B8" w14:textId="77777777" w:rsidR="0086310E" w:rsidRDefault="0086310E" w:rsidP="0086310E">
      <w:pPr>
        <w:ind w:left="720" w:hanging="720"/>
      </w:pPr>
    </w:p>
    <w:p w14:paraId="0F5E4D4C" w14:textId="77777777" w:rsidR="0086310E" w:rsidRDefault="0086310E" w:rsidP="0086310E">
      <w:pPr>
        <w:ind w:left="720" w:hanging="720"/>
      </w:pPr>
    </w:p>
    <w:p w14:paraId="2C7C46DE" w14:textId="77777777" w:rsidR="0086310E" w:rsidRDefault="0086310E" w:rsidP="0086310E">
      <w:pPr>
        <w:ind w:left="720" w:hanging="720"/>
      </w:pPr>
    </w:p>
    <w:p w14:paraId="3936B8DC" w14:textId="77777777" w:rsidR="0086310E" w:rsidRDefault="0086310E" w:rsidP="0086310E">
      <w:pPr>
        <w:ind w:left="720" w:hanging="720"/>
      </w:pPr>
    </w:p>
    <w:p w14:paraId="6803801D" w14:textId="77777777" w:rsidR="0086310E" w:rsidRDefault="0086310E" w:rsidP="0086310E">
      <w:pPr>
        <w:rPr>
          <w:b/>
          <w:bCs/>
        </w:rPr>
      </w:pPr>
      <w:r>
        <w:rPr>
          <w:b/>
          <w:bCs/>
        </w:rPr>
        <w:t>Figure 1</w:t>
      </w:r>
    </w:p>
    <w:p w14:paraId="6956D357" w14:textId="77777777" w:rsidR="0086310E" w:rsidRPr="00BE1363" w:rsidRDefault="0086310E" w:rsidP="0086310E">
      <w:pPr>
        <w:rPr>
          <w:i/>
          <w:iCs/>
        </w:rPr>
      </w:pPr>
      <w:r>
        <w:rPr>
          <w:i/>
          <w:iCs/>
        </w:rPr>
        <w:t>Violin</w:t>
      </w:r>
      <w:r w:rsidRPr="00BE1363">
        <w:rPr>
          <w:i/>
          <w:iCs/>
        </w:rPr>
        <w:t xml:space="preserve"> Plot of </w:t>
      </w:r>
      <w:r>
        <w:rPr>
          <w:i/>
          <w:iCs/>
        </w:rPr>
        <w:t xml:space="preserve">Distributions of Self-Directed </w:t>
      </w:r>
      <w:proofErr w:type="spellStart"/>
      <w:r>
        <w:rPr>
          <w:i/>
          <w:iCs/>
        </w:rPr>
        <w:t>Behavior</w:t>
      </w:r>
      <w:proofErr w:type="spellEnd"/>
      <w:r>
        <w:rPr>
          <w:i/>
          <w:iCs/>
        </w:rPr>
        <w:t xml:space="preserve"> Item Scores for Infants with and without Down Syndrome (DS) at 12- and 24-Months of Age</w:t>
      </w:r>
      <w:r w:rsidRPr="00BE1363">
        <w:rPr>
          <w:i/>
          <w:iCs/>
        </w:rPr>
        <w:t xml:space="preserve"> </w:t>
      </w:r>
    </w:p>
    <w:p w14:paraId="42F6A5A5" w14:textId="77777777" w:rsidR="0086310E" w:rsidRDefault="0086310E" w:rsidP="0086310E">
      <w:r w:rsidRPr="00302052">
        <w:rPr>
          <w:noProof/>
        </w:rPr>
        <w:drawing>
          <wp:inline distT="0" distB="0" distL="0" distR="0" wp14:anchorId="1DC2B796" wp14:editId="6DBC6D05">
            <wp:extent cx="6029937" cy="3721100"/>
            <wp:effectExtent l="0" t="0" r="9525" b="0"/>
            <wp:docPr id="1811078080" name="Picture 1" descr="A diagram of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78080" name="Picture 1" descr="A diagram of different types of objects&#10;&#10;Description automatically generated"/>
                    <pic:cNvPicPr/>
                  </pic:nvPicPr>
                  <pic:blipFill>
                    <a:blip r:embed="rId8"/>
                    <a:stretch>
                      <a:fillRect/>
                    </a:stretch>
                  </pic:blipFill>
                  <pic:spPr>
                    <a:xfrm>
                      <a:off x="0" y="0"/>
                      <a:ext cx="6031999" cy="3722373"/>
                    </a:xfrm>
                    <a:prstGeom prst="rect">
                      <a:avLst/>
                    </a:prstGeom>
                  </pic:spPr>
                </pic:pic>
              </a:graphicData>
            </a:graphic>
          </wp:inline>
        </w:drawing>
      </w:r>
    </w:p>
    <w:p w14:paraId="0B3D7A25" w14:textId="77777777" w:rsidR="0086310E" w:rsidRDefault="0086310E" w:rsidP="0086310E">
      <w:r w:rsidRPr="00B6566A">
        <w:rPr>
          <w:i/>
          <w:iCs/>
        </w:rPr>
        <w:t>Note.</w:t>
      </w:r>
      <w:r>
        <w:t xml:space="preserve"> Horizontal lines in the violins indicate the 25</w:t>
      </w:r>
      <w:r w:rsidRPr="00B6566A">
        <w:rPr>
          <w:vertAlign w:val="superscript"/>
        </w:rPr>
        <w:t>th</w:t>
      </w:r>
      <w:r>
        <w:t>, 50</w:t>
      </w:r>
      <w:r w:rsidRPr="00B6566A">
        <w:rPr>
          <w:vertAlign w:val="superscript"/>
        </w:rPr>
        <w:t>th</w:t>
      </w:r>
      <w:r>
        <w:t>, and 75</w:t>
      </w:r>
      <w:r w:rsidRPr="00B6566A">
        <w:rPr>
          <w:vertAlign w:val="superscript"/>
        </w:rPr>
        <w:t>th</w:t>
      </w:r>
      <w:r>
        <w:t xml:space="preserve"> quartiles. </w:t>
      </w:r>
    </w:p>
    <w:p w14:paraId="508390B1" w14:textId="77777777" w:rsidR="0086310E" w:rsidRDefault="0086310E" w:rsidP="0086310E">
      <w:pPr>
        <w:sectPr w:rsidR="0086310E" w:rsidSect="0086310E">
          <w:headerReference w:type="default" r:id="rId9"/>
          <w:footerReference w:type="default" r:id="rId10"/>
          <w:endnotePr>
            <w:numFmt w:val="decimal"/>
          </w:endnotePr>
          <w:pgSz w:w="12240" w:h="15840"/>
          <w:pgMar w:top="1440" w:right="864" w:bottom="1440" w:left="864" w:header="720" w:footer="720" w:gutter="0"/>
          <w:cols w:space="720"/>
          <w:docGrid w:linePitch="360"/>
        </w:sectPr>
      </w:pPr>
    </w:p>
    <w:p w14:paraId="6252B96E" w14:textId="77777777" w:rsidR="0086310E" w:rsidRDefault="0086310E" w:rsidP="0086310E">
      <w:pPr>
        <w:spacing w:after="160"/>
        <w:rPr>
          <w:b/>
          <w:bCs/>
        </w:rPr>
      </w:pPr>
      <w:r>
        <w:rPr>
          <w:b/>
          <w:bCs/>
        </w:rPr>
        <w:lastRenderedPageBreak/>
        <w:t>Figure 2</w:t>
      </w:r>
    </w:p>
    <w:p w14:paraId="1AA096B7" w14:textId="77777777" w:rsidR="0086310E" w:rsidRPr="00302052" w:rsidRDefault="0086310E" w:rsidP="0086310E">
      <w:pPr>
        <w:spacing w:after="160"/>
        <w:rPr>
          <w:i/>
          <w:iCs/>
        </w:rPr>
      </w:pPr>
      <w:r>
        <w:rPr>
          <w:i/>
          <w:iCs/>
        </w:rPr>
        <w:t xml:space="preserve">Spaghetti Plot of Individual and Group Mean RBS-EC Self-Directed </w:t>
      </w:r>
      <w:proofErr w:type="spellStart"/>
      <w:r>
        <w:rPr>
          <w:i/>
          <w:iCs/>
        </w:rPr>
        <w:t>Behavior</w:t>
      </w:r>
      <w:proofErr w:type="spellEnd"/>
      <w:r>
        <w:rPr>
          <w:i/>
          <w:iCs/>
        </w:rPr>
        <w:t xml:space="preserve"> Domain Scores at 12-Months and 24-Months of Age for Infants with and without Down Syndrome</w:t>
      </w:r>
      <w:r w:rsidRPr="00302052">
        <w:rPr>
          <w:noProof/>
        </w:rPr>
        <w:drawing>
          <wp:inline distT="0" distB="0" distL="0" distR="0" wp14:anchorId="571CE9D8" wp14:editId="0B43DEBC">
            <wp:extent cx="6675120" cy="4119245"/>
            <wp:effectExtent l="0" t="0" r="5080" b="0"/>
            <wp:docPr id="572639306" name="Picture 1" descr="A graph of a graph of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39306" name="Picture 1" descr="A graph of a graph of a line&#10;&#10;Description automatically generated with medium confidence"/>
                    <pic:cNvPicPr/>
                  </pic:nvPicPr>
                  <pic:blipFill>
                    <a:blip r:embed="rId11"/>
                    <a:stretch>
                      <a:fillRect/>
                    </a:stretch>
                  </pic:blipFill>
                  <pic:spPr>
                    <a:xfrm>
                      <a:off x="0" y="0"/>
                      <a:ext cx="6675120" cy="4119245"/>
                    </a:xfrm>
                    <a:prstGeom prst="rect">
                      <a:avLst/>
                    </a:prstGeom>
                  </pic:spPr>
                </pic:pic>
              </a:graphicData>
            </a:graphic>
          </wp:inline>
        </w:drawing>
      </w:r>
      <w:r w:rsidRPr="00B97BF2">
        <w:rPr>
          <w:i/>
          <w:iCs/>
        </w:rPr>
        <w:t>Note.</w:t>
      </w:r>
      <w:r>
        <w:t xml:space="preserve"> DS = Down syndrome; RBS-EC = Repetitive </w:t>
      </w:r>
      <w:proofErr w:type="spellStart"/>
      <w:r>
        <w:t>Behavior</w:t>
      </w:r>
      <w:proofErr w:type="spellEnd"/>
      <w:r>
        <w:t xml:space="preserve"> Scale for Early Childhood (Wolff et al., 2016); Orange, dashed lines with triangles indicate infants with DS. Purple, solid lines with circles indicate infants without DS. Bold lines indicate the change in group means. Standard error bars are included for group means at each time point. Faint lines indicate the change in scores for individual participants. </w:t>
      </w:r>
    </w:p>
    <w:p w14:paraId="41AEB5DA" w14:textId="5FD4303F" w:rsidR="004B0FC6" w:rsidRPr="004B0FC6" w:rsidRDefault="004B0FC6" w:rsidP="0086310E"/>
    <w:p w14:paraId="49CC3B2A" w14:textId="72D43769" w:rsidR="00633D0B" w:rsidRPr="00633D0B" w:rsidRDefault="00633D0B" w:rsidP="0086310E">
      <w:pPr>
        <w:jc w:val="center"/>
        <w:rPr>
          <w:b/>
          <w:bCs/>
        </w:rPr>
      </w:pPr>
      <w:r w:rsidRPr="007566B0">
        <w:rPr>
          <w:b/>
          <w:bCs/>
        </w:rPr>
        <w:t xml:space="preserve">Paper </w:t>
      </w:r>
      <w:r w:rsidR="004B0FC6">
        <w:rPr>
          <w:b/>
          <w:bCs/>
        </w:rPr>
        <w:t>2</w:t>
      </w:r>
      <w:r w:rsidRPr="007566B0">
        <w:rPr>
          <w:b/>
          <w:bCs/>
        </w:rPr>
        <w:t xml:space="preserve"> of 4</w:t>
      </w:r>
    </w:p>
    <w:p w14:paraId="2BED7693" w14:textId="77777777" w:rsidR="00633D0B" w:rsidRPr="00633D0B" w:rsidRDefault="00633D0B" w:rsidP="0086310E">
      <w:pPr>
        <w:rPr>
          <w:rFonts w:eastAsia="Aptos" w:cs="Times New Roman"/>
          <w:lang w:val="en-US"/>
        </w:rPr>
      </w:pPr>
      <w:r w:rsidRPr="00633D0B">
        <w:rPr>
          <w:rFonts w:eastAsia="Aptos" w:cs="Times New Roman"/>
          <w:b/>
          <w:bCs/>
          <w:lang w:val="en-US"/>
        </w:rPr>
        <w:t>Paper Title</w:t>
      </w:r>
      <w:r w:rsidRPr="00633D0B">
        <w:rPr>
          <w:rFonts w:eastAsia="Aptos" w:cs="Times New Roman"/>
          <w:lang w:val="en-US"/>
        </w:rPr>
        <w:t xml:space="preserve">: Self-Injury and developmental profiles in a sample of children with neurodevelopmental disabilities. </w:t>
      </w:r>
    </w:p>
    <w:p w14:paraId="4FEAB533" w14:textId="216661C4" w:rsidR="00633D0B" w:rsidRPr="00633D0B" w:rsidRDefault="00633D0B" w:rsidP="0086310E">
      <w:pPr>
        <w:rPr>
          <w:rFonts w:eastAsia="Aptos" w:cs="Times New Roman"/>
          <w:lang w:val="en-US"/>
        </w:rPr>
      </w:pPr>
      <w:r w:rsidRPr="00633D0B">
        <w:rPr>
          <w:rFonts w:eastAsia="Aptos" w:cs="Times New Roman"/>
          <w:b/>
          <w:bCs/>
          <w:lang w:val="en-US"/>
        </w:rPr>
        <w:t>Authors</w:t>
      </w:r>
      <w:r w:rsidRPr="00633D0B">
        <w:rPr>
          <w:rFonts w:eastAsia="Aptos" w:cs="Times New Roman"/>
          <w:lang w:val="en-US"/>
        </w:rPr>
        <w:t>: Jaclyn Gunderson</w:t>
      </w:r>
      <w:r w:rsidRPr="00633D0B">
        <w:rPr>
          <w:rFonts w:eastAsia="Aptos" w:cs="Times New Roman"/>
          <w:vertAlign w:val="superscript"/>
          <w:lang w:val="en-US"/>
        </w:rPr>
        <w:footnoteReference w:id="9"/>
      </w:r>
      <w:r w:rsidRPr="00633D0B">
        <w:rPr>
          <w:rFonts w:eastAsia="Aptos" w:cs="Times New Roman"/>
          <w:lang w:val="en-US"/>
        </w:rPr>
        <w:t xml:space="preserve">, </w:t>
      </w:r>
      <w:r w:rsidRPr="009C42B8">
        <w:rPr>
          <w:rFonts w:eastAsia="Aptos" w:cs="Times New Roman"/>
          <w:lang w:val="en-US"/>
        </w:rPr>
        <w:t>Breanne Byiers</w:t>
      </w:r>
      <w:r w:rsidR="00F5755C" w:rsidRPr="009C42B8">
        <w:rPr>
          <w:rFonts w:eastAsia="Aptos" w:cs="Times New Roman"/>
          <w:vertAlign w:val="superscript"/>
          <w:lang w:val="en-US"/>
        </w:rPr>
        <w:t>2</w:t>
      </w:r>
      <w:r w:rsidRPr="009C42B8">
        <w:rPr>
          <w:rFonts w:eastAsia="Aptos" w:cs="Times New Roman"/>
          <w:lang w:val="en-US"/>
        </w:rPr>
        <w:t>, Andrea</w:t>
      </w:r>
      <w:r w:rsidRPr="00633D0B">
        <w:rPr>
          <w:rFonts w:eastAsia="Aptos" w:cs="Times New Roman"/>
          <w:lang w:val="en-US"/>
        </w:rPr>
        <w:t xml:space="preserve"> Huebner</w:t>
      </w:r>
      <w:r w:rsidR="009C42B8">
        <w:rPr>
          <w:rFonts w:eastAsia="Aptos" w:cs="Times New Roman"/>
          <w:vertAlign w:val="superscript"/>
          <w:lang w:val="en-US"/>
        </w:rPr>
        <w:t>9</w:t>
      </w:r>
      <w:r w:rsidRPr="00633D0B">
        <w:rPr>
          <w:rFonts w:eastAsia="Aptos" w:cs="Times New Roman"/>
          <w:lang w:val="en-US"/>
        </w:rPr>
        <w:t>, Frank Symons</w:t>
      </w:r>
      <w:r w:rsidRPr="00633D0B">
        <w:rPr>
          <w:rFonts w:eastAsia="Aptos" w:cs="Times New Roman"/>
          <w:vertAlign w:val="superscript"/>
          <w:lang w:val="en-US"/>
        </w:rPr>
        <w:t>2</w:t>
      </w:r>
    </w:p>
    <w:p w14:paraId="10BC0D35" w14:textId="77777777" w:rsidR="00633D0B" w:rsidRPr="00633D0B" w:rsidRDefault="00633D0B" w:rsidP="0086310E">
      <w:pPr>
        <w:rPr>
          <w:rFonts w:eastAsia="Aptos" w:cs="Times New Roman"/>
          <w:lang w:val="en-US"/>
        </w:rPr>
      </w:pPr>
      <w:r w:rsidRPr="00633D0B">
        <w:rPr>
          <w:rFonts w:eastAsia="Aptos" w:cs="Times New Roman"/>
          <w:b/>
          <w:bCs/>
          <w:lang w:val="en-US"/>
        </w:rPr>
        <w:t>Introduction</w:t>
      </w:r>
      <w:r w:rsidRPr="00633D0B">
        <w:rPr>
          <w:rFonts w:eastAsia="Aptos" w:cs="Times New Roman"/>
          <w:lang w:val="en-US"/>
        </w:rPr>
        <w:t xml:space="preserve">: Self-injurious behavior (SIB) is a clinically challenging problem in neurodevelopmental disorders (Dimian et al., 2022) with increased prevalence noted in both autism spectrum disorder (ASD) and intellectual disability (ID) </w:t>
      </w:r>
      <w:r w:rsidRPr="00633D0B">
        <w:rPr>
          <w:rFonts w:eastAsia="Aptos" w:cs="Times New Roman"/>
          <w:lang w:val="en-US"/>
        </w:rPr>
        <w:lastRenderedPageBreak/>
        <w:t xml:space="preserve">(Cervantes, et al., 2023). Less is known, however, about how developmental abilities associate with SIB. The current study examined SIB across neurodevelopmental conditions including autism spectrum disorder (ASD, n=33), intellectual disability (ID, n=21), and autism with intellectual disability (ASD+ID, n=43) and the relation to developmental characteristics such as physical, adaptive, social emotional, cognitive and communication abilities. </w:t>
      </w:r>
    </w:p>
    <w:p w14:paraId="19536CB8" w14:textId="77777777" w:rsidR="00633D0B" w:rsidRPr="00633D0B" w:rsidRDefault="00633D0B" w:rsidP="0086310E">
      <w:pPr>
        <w:rPr>
          <w:rFonts w:eastAsia="Aptos" w:cs="Times New Roman"/>
          <w:lang w:val="en-US"/>
        </w:rPr>
      </w:pPr>
      <w:r w:rsidRPr="00633D0B">
        <w:rPr>
          <w:rFonts w:eastAsia="Aptos" w:cs="Times New Roman"/>
          <w:b/>
          <w:bCs/>
          <w:lang w:val="en-US"/>
        </w:rPr>
        <w:t>Method</w:t>
      </w:r>
      <w:r w:rsidRPr="00633D0B">
        <w:rPr>
          <w:rFonts w:eastAsia="Aptos" w:cs="Times New Roman"/>
          <w:lang w:val="en-US"/>
        </w:rPr>
        <w:t>: Data were derived from a larger study of early sensory and self-injurious behavior in children with neurodevelopmental disabilities between the ages of 2-12 (M=73 months, SD=33 months, 67% Male). Caregiver report of SIB was measured the Repetitive Behavior Scale Early Childhood (RBS-EC) to determine the frequency of endorsement for behaviors and topographies of self-injury. The Developmental Profile 4</w:t>
      </w:r>
      <w:r w:rsidRPr="00633D0B">
        <w:rPr>
          <w:rFonts w:eastAsia="Aptos" w:cs="Times New Roman"/>
          <w:vertAlign w:val="superscript"/>
          <w:lang w:val="en-US"/>
        </w:rPr>
        <w:t>th</w:t>
      </w:r>
      <w:r w:rsidRPr="00633D0B">
        <w:rPr>
          <w:rFonts w:eastAsia="Aptos" w:cs="Times New Roman"/>
          <w:lang w:val="en-US"/>
        </w:rPr>
        <w:t xml:space="preserve"> edition was used to measure standard scores in physical, adaptive, social emotional, cognitive and communication behavior. Correlation analyses and linear regression were used to identify variables that are associated with SIB. </w:t>
      </w:r>
    </w:p>
    <w:p w14:paraId="307E86BE" w14:textId="77777777" w:rsidR="00633D0B" w:rsidRPr="00633D0B" w:rsidRDefault="00633D0B" w:rsidP="0086310E">
      <w:pPr>
        <w:rPr>
          <w:rFonts w:eastAsia="Aptos" w:cs="Times New Roman"/>
          <w:lang w:val="en-US"/>
        </w:rPr>
      </w:pPr>
      <w:r w:rsidRPr="00633D0B">
        <w:rPr>
          <w:rFonts w:eastAsia="Aptos" w:cs="Times New Roman"/>
          <w:b/>
          <w:bCs/>
          <w:lang w:val="en-US"/>
        </w:rPr>
        <w:t>Results</w:t>
      </w:r>
      <w:r w:rsidRPr="00633D0B">
        <w:rPr>
          <w:rFonts w:eastAsia="Aptos" w:cs="Times New Roman"/>
          <w:lang w:val="en-US"/>
        </w:rPr>
        <w:t xml:space="preserve">: SIB was endorsed in 78.4% of the total sample. The prevalence of SIB was 67.6% in the ASD only group, 77.8% in the ID only group, and 88.7% in the ASD+ID group. Using linear regression sex, or age did not account for a significant amount of variance in SIB total scores or SIB interference scores. The presence of ID, with or without ASD was associated with higher SIB interference scores, but did not help explain total SIB scores. SIB total scores were negatively correlated with social emotional abilities (-.31, p =.009), while SIB interference scores negatively associated with physical (-.26, p=.037), social emotional (-.37, p=.001), cognitive (-.24, p=.04) and communication (-.28, p=.03) behaviors. Social emotional abilities significantly explained variance in both SIB total scores (10%) and SIB interference scores (15%) above and beyond diagnosis. Further, increased frequency of biting self and hitting self against surfaces were associated with the diagnosis of ID, while other specific topographies of SIB did not vary significantly by diagnostic group, sex, or age. </w:t>
      </w:r>
    </w:p>
    <w:p w14:paraId="0EC7D0CF" w14:textId="3D8FEE80" w:rsidR="00633D0B" w:rsidRDefault="00633D0B" w:rsidP="0086310E">
      <w:pPr>
        <w:rPr>
          <w:rFonts w:eastAsia="Aptos" w:cs="Times New Roman"/>
          <w:lang w:val="en-US"/>
        </w:rPr>
      </w:pPr>
      <w:r w:rsidRPr="00633D0B">
        <w:rPr>
          <w:rFonts w:eastAsia="Aptos" w:cs="Times New Roman"/>
          <w:b/>
          <w:bCs/>
          <w:lang w:val="en-US"/>
        </w:rPr>
        <w:t>Discussion</w:t>
      </w:r>
      <w:r w:rsidRPr="00633D0B">
        <w:rPr>
          <w:rFonts w:eastAsia="Aptos" w:cs="Times New Roman"/>
          <w:lang w:val="en-US"/>
        </w:rPr>
        <w:t>: Findings revealed that in the current sample, SIB is generally occurring frequently across ASD, ID, and ASD+ ID, however, SIB is estimated to interfere more with daily living and relationships in children with ID with or without ASD. Based on our results, variance in SIB frequency and interference were best estimated by differences in social emotional skills. Our results suggest that social emotional abilities (e.g., expression of emotion, moderating behavior in different environments, and understanding feelings) may be important treatment considerations.  Future research should seek to further explore associations with the severity and functional purposes of self-injurious behavior.</w:t>
      </w:r>
    </w:p>
    <w:p w14:paraId="15360F48" w14:textId="30E17770" w:rsidR="00F5755C" w:rsidRPr="00633D0B" w:rsidRDefault="00F5755C" w:rsidP="0086310E">
      <w:pPr>
        <w:rPr>
          <w:rFonts w:eastAsia="Aptos" w:cs="Times New Roman"/>
          <w:lang w:val="en-US"/>
        </w:rPr>
      </w:pPr>
      <w:r w:rsidRPr="00F5755C">
        <w:rPr>
          <w:rFonts w:eastAsia="Aptos" w:cs="Times New Roman"/>
          <w:lang w:val="en-US"/>
        </w:rPr>
        <w:t>This work was supported, in part, by Eunice Kennedy Shriver NICHD Grant No 44763</w:t>
      </w:r>
    </w:p>
    <w:p w14:paraId="22A2532B" w14:textId="77777777" w:rsidR="00633D0B" w:rsidRPr="00633D0B" w:rsidRDefault="00633D0B" w:rsidP="0086310E">
      <w:pPr>
        <w:rPr>
          <w:rFonts w:eastAsia="Aptos" w:cs="Times New Roman"/>
          <w:lang w:val="en-US"/>
        </w:rPr>
      </w:pPr>
      <w:r w:rsidRPr="00633D0B">
        <w:rPr>
          <w:rFonts w:eastAsia="Aptos" w:cs="Times New Roman"/>
          <w:b/>
          <w:bCs/>
          <w:lang w:val="en-US"/>
        </w:rPr>
        <w:t>References</w:t>
      </w:r>
    </w:p>
    <w:p w14:paraId="485D5FEA" w14:textId="77777777" w:rsidR="00633D0B" w:rsidRPr="00633D0B" w:rsidRDefault="00633D0B" w:rsidP="0086310E">
      <w:pPr>
        <w:rPr>
          <w:rFonts w:eastAsia="Aptos" w:cs="Times New Roman"/>
          <w:lang w:val="en-US"/>
        </w:rPr>
      </w:pPr>
      <w:r w:rsidRPr="00633D0B">
        <w:rPr>
          <w:rFonts w:eastAsia="Aptos" w:cs="Times New Roman"/>
          <w:lang w:val="en-US"/>
        </w:rPr>
        <w:t>Dimian, A. F., &amp; Symons, F. J. (2022). A systematic review of risk for the development and persistence of self-injurious behavior in intellectual and developmental disabilities. Clinical psychology review, 94, 102158.</w:t>
      </w:r>
    </w:p>
    <w:p w14:paraId="41357A8C" w14:textId="77777777" w:rsidR="00633D0B" w:rsidRPr="00633D0B" w:rsidRDefault="00633D0B" w:rsidP="0086310E">
      <w:pPr>
        <w:rPr>
          <w:rFonts w:eastAsia="Arial" w:cs="Arial"/>
          <w:szCs w:val="20"/>
          <w:lang w:val="en-US"/>
        </w:rPr>
      </w:pPr>
      <w:r w:rsidRPr="00633D0B">
        <w:rPr>
          <w:rFonts w:eastAsia="Arial" w:cs="Arial"/>
          <w:szCs w:val="20"/>
          <w:lang w:val="en-US"/>
        </w:rPr>
        <w:lastRenderedPageBreak/>
        <w:t>Cervantes, P. E., Brown, D. S., &amp; Horwitz, S. M. (2023). Suicidal ideation and intentional self-inflicted injury in autism spectrum disorder and intellectual disability: An examination of trends in youth emergency department visits in the United States from 2006 to 2014. </w:t>
      </w:r>
      <w:r w:rsidRPr="00633D0B">
        <w:rPr>
          <w:rFonts w:eastAsia="Arial" w:cs="Arial"/>
          <w:i/>
          <w:iCs/>
          <w:szCs w:val="20"/>
          <w:lang w:val="en-US"/>
        </w:rPr>
        <w:t>Autism</w:t>
      </w:r>
      <w:r w:rsidRPr="00633D0B">
        <w:rPr>
          <w:rFonts w:eastAsia="Arial" w:cs="Arial"/>
          <w:szCs w:val="20"/>
          <w:lang w:val="en-US"/>
        </w:rPr>
        <w:t>, </w:t>
      </w:r>
      <w:r w:rsidRPr="00633D0B">
        <w:rPr>
          <w:rFonts w:eastAsia="Arial" w:cs="Arial"/>
          <w:i/>
          <w:iCs/>
          <w:szCs w:val="20"/>
          <w:lang w:val="en-US"/>
        </w:rPr>
        <w:t>27</w:t>
      </w:r>
      <w:r w:rsidRPr="00633D0B">
        <w:rPr>
          <w:rFonts w:eastAsia="Arial" w:cs="Arial"/>
          <w:szCs w:val="20"/>
          <w:lang w:val="en-US"/>
        </w:rPr>
        <w:t>(1), 226-243.</w:t>
      </w:r>
    </w:p>
    <w:p w14:paraId="66669719" w14:textId="13204BF3" w:rsidR="00633D0B" w:rsidRDefault="004B0FC6" w:rsidP="0086310E">
      <w:pPr>
        <w:jc w:val="center"/>
        <w:rPr>
          <w:b/>
          <w:bCs/>
        </w:rPr>
      </w:pPr>
      <w:r>
        <w:rPr>
          <w:b/>
          <w:bCs/>
        </w:rPr>
        <w:t>Paper 3 of 4</w:t>
      </w:r>
    </w:p>
    <w:p w14:paraId="31E80EF5" w14:textId="77777777" w:rsidR="004B0FC6" w:rsidRDefault="004B0FC6" w:rsidP="0086310E">
      <w:pPr>
        <w:spacing w:after="0"/>
        <w:rPr>
          <w:rFonts w:eastAsia="Calibri" w:cs="Arial"/>
          <w:szCs w:val="20"/>
          <w:lang w:val="en-US"/>
        </w:rPr>
      </w:pPr>
      <w:r w:rsidRPr="004B0FC6">
        <w:rPr>
          <w:rFonts w:eastAsia="Calibri" w:cs="Arial"/>
          <w:b/>
          <w:szCs w:val="20"/>
          <w:lang w:val="en-US"/>
        </w:rPr>
        <w:t>Title</w:t>
      </w:r>
      <w:r w:rsidRPr="004B0FC6">
        <w:rPr>
          <w:rFonts w:eastAsia="Calibri" w:cs="Arial"/>
          <w:szCs w:val="20"/>
          <w:lang w:val="en-US"/>
        </w:rPr>
        <w:t>: Prospective characterization of age-related changes in self-injurious behavior in a sample of children with global developmental delay</w:t>
      </w:r>
    </w:p>
    <w:p w14:paraId="4B9309FA" w14:textId="77777777" w:rsidR="005916CF" w:rsidRPr="004B0FC6" w:rsidRDefault="005916CF" w:rsidP="0086310E">
      <w:pPr>
        <w:spacing w:after="0"/>
        <w:rPr>
          <w:rFonts w:eastAsia="Calibri" w:cs="Arial"/>
          <w:szCs w:val="20"/>
          <w:lang w:val="en-US"/>
        </w:rPr>
      </w:pPr>
    </w:p>
    <w:p w14:paraId="2E929DC7" w14:textId="35CE87F9" w:rsidR="004B0FC6" w:rsidRPr="004B0FC6" w:rsidRDefault="004B0FC6" w:rsidP="0086310E">
      <w:pPr>
        <w:spacing w:after="200"/>
        <w:rPr>
          <w:rFonts w:eastAsia="Calibri" w:cs="Arial"/>
          <w:szCs w:val="20"/>
          <w:vertAlign w:val="superscript"/>
          <w:lang w:val="en-US"/>
        </w:rPr>
      </w:pPr>
      <w:r w:rsidRPr="004B0FC6">
        <w:rPr>
          <w:rFonts w:eastAsia="Calibri" w:cs="Arial"/>
          <w:b/>
          <w:szCs w:val="20"/>
          <w:lang w:val="en-US"/>
        </w:rPr>
        <w:t>Authors</w:t>
      </w:r>
      <w:r w:rsidRPr="004B0FC6">
        <w:rPr>
          <w:rFonts w:eastAsia="Calibri" w:cs="Arial"/>
          <w:szCs w:val="20"/>
          <w:lang w:val="en-US"/>
        </w:rPr>
        <w:t>: Breanne Byiers</w:t>
      </w:r>
      <w:r w:rsidR="00F5755C" w:rsidRPr="00F5755C">
        <w:rPr>
          <w:rFonts w:eastAsia="Calibri" w:cs="Arial"/>
          <w:szCs w:val="20"/>
          <w:vertAlign w:val="superscript"/>
          <w:lang w:val="en-US"/>
        </w:rPr>
        <w:t>2</w:t>
      </w:r>
      <w:r w:rsidRPr="004B0FC6">
        <w:rPr>
          <w:rFonts w:eastAsia="Calibri" w:cs="Arial"/>
          <w:szCs w:val="20"/>
          <w:lang w:val="en-US"/>
        </w:rPr>
        <w:t>, Jaclyn Gunderson</w:t>
      </w:r>
      <w:r w:rsidR="009C42B8">
        <w:rPr>
          <w:rFonts w:eastAsia="Calibri" w:cs="Arial"/>
          <w:szCs w:val="20"/>
          <w:vertAlign w:val="superscript"/>
          <w:lang w:val="en-US"/>
        </w:rPr>
        <w:t>9</w:t>
      </w:r>
      <w:r w:rsidRPr="004B0FC6">
        <w:rPr>
          <w:rFonts w:eastAsia="Calibri" w:cs="Arial"/>
          <w:szCs w:val="20"/>
          <w:lang w:val="en-US"/>
        </w:rPr>
        <w:t>, Andrea Huebner</w:t>
      </w:r>
      <w:r w:rsidR="009C42B8">
        <w:rPr>
          <w:rFonts w:eastAsia="Calibri" w:cs="Arial"/>
          <w:szCs w:val="20"/>
          <w:vertAlign w:val="superscript"/>
          <w:lang w:val="en-US"/>
        </w:rPr>
        <w:t>9</w:t>
      </w:r>
      <w:r w:rsidRPr="004B0FC6">
        <w:rPr>
          <w:rFonts w:eastAsia="Calibri" w:cs="Arial"/>
          <w:szCs w:val="20"/>
          <w:lang w:val="en-US"/>
        </w:rPr>
        <w:t>, and Frank J. Symons</w:t>
      </w:r>
      <w:r w:rsidR="00F5755C">
        <w:rPr>
          <w:rFonts w:eastAsia="Calibri" w:cs="Arial"/>
          <w:szCs w:val="20"/>
          <w:vertAlign w:val="superscript"/>
          <w:lang w:val="en-US"/>
        </w:rPr>
        <w:t>2</w:t>
      </w:r>
    </w:p>
    <w:p w14:paraId="49BBADCA" w14:textId="77777777" w:rsidR="004B0FC6" w:rsidRPr="004B0FC6" w:rsidRDefault="004B0FC6" w:rsidP="0086310E">
      <w:pPr>
        <w:spacing w:after="200"/>
        <w:rPr>
          <w:rFonts w:eastAsia="Calibri" w:cs="Arial"/>
          <w:szCs w:val="20"/>
          <w:lang w:val="en-US"/>
        </w:rPr>
      </w:pPr>
      <w:r w:rsidRPr="004B0FC6">
        <w:rPr>
          <w:rFonts w:eastAsia="Calibri" w:cs="Arial"/>
          <w:b/>
          <w:szCs w:val="20"/>
          <w:lang w:val="en-US"/>
        </w:rPr>
        <w:t>Introduction</w:t>
      </w:r>
      <w:r w:rsidRPr="004B0FC6">
        <w:rPr>
          <w:rFonts w:eastAsia="Calibri" w:cs="Arial"/>
          <w:szCs w:val="20"/>
          <w:lang w:val="en-US"/>
        </w:rPr>
        <w:t>: Self-injurious behavior (SIB) is a common problem among individuals with intellectual and developmental disabilities (IDD) with significant impact on quality of life. Although some evidence suggests that SIB may increase with age, perhaps in a curvilinear pattern, this is primarily based on cross-sectional studies. Therefore, the purpose of the current study was to conduct a prospective, longitudinal analysis of age-related changes in a high-risk cohort of children with developmental disabilities/delays.</w:t>
      </w:r>
    </w:p>
    <w:p w14:paraId="4006F7B3" w14:textId="77777777" w:rsidR="004B0FC6" w:rsidRPr="004B0FC6" w:rsidRDefault="004B0FC6" w:rsidP="0086310E">
      <w:pPr>
        <w:spacing w:after="200"/>
        <w:rPr>
          <w:rFonts w:eastAsia="Calibri" w:cs="Arial"/>
          <w:color w:val="000000"/>
          <w:szCs w:val="20"/>
        </w:rPr>
      </w:pPr>
      <w:r w:rsidRPr="004B0FC6">
        <w:rPr>
          <w:rFonts w:eastAsia="Calibri" w:cs="Arial"/>
          <w:b/>
          <w:color w:val="000000"/>
          <w:szCs w:val="20"/>
        </w:rPr>
        <w:t>Method</w:t>
      </w:r>
      <w:r w:rsidRPr="004B0FC6">
        <w:rPr>
          <w:rFonts w:eastAsia="Calibri" w:cs="Arial"/>
          <w:color w:val="000000"/>
          <w:szCs w:val="20"/>
        </w:rPr>
        <w:t xml:space="preserve">: </w:t>
      </w:r>
      <w:r w:rsidRPr="004B0FC6">
        <w:rPr>
          <w:rFonts w:eastAsia="Calibri" w:cs="Arial"/>
          <w:szCs w:val="20"/>
          <w:lang w:val="en-US"/>
        </w:rPr>
        <w:t>A total of 110 participants, between 2 and 12 years of age at enrolment, were followed for between 2 and 4 years. Caregivers completed the RBS-EC SIB subscale annually, for a total of 317 assessments. The SIB total score, SIB interference ratings, and endorsement of specific SIB topographies were selected as dependent measures. Generalized linear models evaluating linear, quadratic, and cubic age-related changes, and differences by ID status (no/mild ID vs. moderate to profound ID) were created for each outcome</w:t>
      </w:r>
    </w:p>
    <w:p w14:paraId="66595548" w14:textId="77777777" w:rsidR="004B0FC6" w:rsidRPr="004B0FC6" w:rsidRDefault="004B0FC6" w:rsidP="0086310E">
      <w:pPr>
        <w:spacing w:after="200"/>
        <w:rPr>
          <w:rFonts w:eastAsia="Calibri" w:cs="Arial"/>
          <w:iCs/>
          <w:color w:val="000000"/>
          <w:szCs w:val="20"/>
        </w:rPr>
      </w:pPr>
      <w:r w:rsidRPr="004B0FC6">
        <w:rPr>
          <w:rFonts w:eastAsia="Calibri" w:cs="Arial"/>
          <w:b/>
          <w:color w:val="000000"/>
          <w:szCs w:val="20"/>
        </w:rPr>
        <w:t>Results</w:t>
      </w:r>
      <w:r w:rsidRPr="004B0FC6">
        <w:rPr>
          <w:rFonts w:eastAsia="Calibri" w:cs="Arial"/>
          <w:color w:val="000000"/>
          <w:szCs w:val="20"/>
        </w:rPr>
        <w:t xml:space="preserve">: </w:t>
      </w:r>
      <w:r w:rsidRPr="004B0FC6">
        <w:rPr>
          <w:rFonts w:eastAsia="Calibri" w:cs="Arial"/>
          <w:szCs w:val="20"/>
          <w:lang w:val="en-US"/>
        </w:rPr>
        <w:t xml:space="preserve">For SIB total scores, the model suggested complex developmental patterns that varied by degree of ID. For SIB interference ratings, the model suggested that individuals with moderate to profound ID showed relatively high and stable levels of SIB interference across ages, whereas individuals with no or mild ID showed an increasing trend with age. Patterns varied across the specific SIB </w:t>
      </w:r>
      <w:proofErr w:type="gramStart"/>
      <w:r w:rsidRPr="004B0FC6">
        <w:rPr>
          <w:rFonts w:eastAsia="Calibri" w:cs="Arial"/>
          <w:szCs w:val="20"/>
          <w:lang w:val="en-US"/>
        </w:rPr>
        <w:t>topographies</w:t>
      </w:r>
      <w:proofErr w:type="gramEnd"/>
      <w:r w:rsidRPr="004B0FC6">
        <w:rPr>
          <w:rFonts w:eastAsia="Calibri" w:cs="Arial"/>
          <w:szCs w:val="20"/>
          <w:lang w:val="en-US"/>
        </w:rPr>
        <w:t>.</w:t>
      </w:r>
    </w:p>
    <w:p w14:paraId="0C29A166" w14:textId="77777777" w:rsidR="004B0FC6" w:rsidRPr="004B0FC6" w:rsidRDefault="004B0FC6" w:rsidP="0086310E">
      <w:pPr>
        <w:spacing w:after="200"/>
        <w:rPr>
          <w:rFonts w:eastAsia="Calibri" w:cs="Arial"/>
          <w:color w:val="000000"/>
          <w:szCs w:val="20"/>
        </w:rPr>
      </w:pPr>
      <w:r w:rsidRPr="004B0FC6">
        <w:rPr>
          <w:rFonts w:eastAsia="Calibri" w:cs="Arial"/>
          <w:b/>
          <w:iCs/>
          <w:color w:val="000000"/>
          <w:szCs w:val="20"/>
        </w:rPr>
        <w:t xml:space="preserve">Discussion: </w:t>
      </w:r>
      <w:r w:rsidRPr="004B0FC6">
        <w:rPr>
          <w:rFonts w:eastAsia="Calibri" w:cs="Arial"/>
          <w:szCs w:val="20"/>
          <w:lang w:val="en-US"/>
        </w:rPr>
        <w:t>The results suggest that age-related changes in SIB are complex and may vary across topographies. Overall, the results are concerning in that they indicate a potentially increasing trend in frequency of SIB and its impact on daily activities as individuals approach adolescence, indicating the need for further longitudinal work across the lifespan.</w:t>
      </w:r>
    </w:p>
    <w:p w14:paraId="25A6F15D" w14:textId="77777777" w:rsidR="00F5755C" w:rsidRPr="004B0FC6" w:rsidRDefault="00F5755C" w:rsidP="0086310E">
      <w:pPr>
        <w:spacing w:after="200"/>
        <w:rPr>
          <w:rFonts w:eastAsia="Calibri" w:cs="Arial"/>
          <w:bCs/>
          <w:color w:val="000000"/>
          <w:szCs w:val="20"/>
          <w:lang w:val="en-US"/>
        </w:rPr>
      </w:pPr>
      <w:r w:rsidRPr="004B0FC6">
        <w:rPr>
          <w:rFonts w:eastAsia="Calibri" w:cs="Arial"/>
          <w:bCs/>
          <w:color w:val="000000"/>
          <w:szCs w:val="20"/>
          <w:lang w:val="en-US"/>
        </w:rPr>
        <w:t>Supported, in part, by Eunice Kennedy Shriver NICHD Grant No 44763</w:t>
      </w:r>
    </w:p>
    <w:p w14:paraId="34216B4C" w14:textId="77777777" w:rsidR="004B0FC6" w:rsidRPr="004B0FC6" w:rsidRDefault="004B0FC6" w:rsidP="0086310E">
      <w:pPr>
        <w:spacing w:after="200"/>
        <w:rPr>
          <w:rFonts w:eastAsia="Calibri" w:cs="Arial"/>
          <w:b/>
          <w:color w:val="000000"/>
          <w:szCs w:val="20"/>
        </w:rPr>
      </w:pPr>
      <w:r w:rsidRPr="004B0FC6">
        <w:rPr>
          <w:rFonts w:eastAsia="Calibri" w:cs="Arial"/>
          <w:b/>
          <w:color w:val="000000"/>
          <w:szCs w:val="20"/>
        </w:rPr>
        <w:t xml:space="preserve">References: </w:t>
      </w:r>
    </w:p>
    <w:p w14:paraId="011E00A7" w14:textId="77777777" w:rsidR="004B0FC6" w:rsidRPr="004B0FC6" w:rsidRDefault="004B0FC6" w:rsidP="0086310E">
      <w:pPr>
        <w:spacing w:after="0"/>
        <w:rPr>
          <w:rFonts w:eastAsia="Calibri" w:cs="Arial"/>
          <w:szCs w:val="20"/>
          <w:lang w:val="en-US"/>
        </w:rPr>
      </w:pPr>
      <w:r w:rsidRPr="004B0FC6">
        <w:rPr>
          <w:rFonts w:eastAsia="Calibri" w:cs="Arial"/>
          <w:color w:val="222222"/>
          <w:szCs w:val="20"/>
          <w:shd w:val="clear" w:color="auto" w:fill="FFFFFF"/>
          <w:lang w:val="en-US"/>
        </w:rPr>
        <w:t>Davies, L., &amp; Oliver, C. (2013). The age-related prevalence of aggression and self-injury in persons with an intellectual disability: A review. </w:t>
      </w:r>
      <w:r w:rsidRPr="004B0FC6">
        <w:rPr>
          <w:rFonts w:eastAsia="Calibri" w:cs="Arial"/>
          <w:i/>
          <w:iCs/>
          <w:color w:val="222222"/>
          <w:szCs w:val="20"/>
          <w:shd w:val="clear" w:color="auto" w:fill="FFFFFF"/>
          <w:lang w:val="en-US"/>
        </w:rPr>
        <w:t>Research in Developmental Disabilities</w:t>
      </w:r>
      <w:r w:rsidRPr="004B0FC6">
        <w:rPr>
          <w:rFonts w:eastAsia="Calibri" w:cs="Arial"/>
          <w:color w:val="222222"/>
          <w:szCs w:val="20"/>
          <w:shd w:val="clear" w:color="auto" w:fill="FFFFFF"/>
          <w:lang w:val="en-US"/>
        </w:rPr>
        <w:t>, </w:t>
      </w:r>
      <w:r w:rsidRPr="004B0FC6">
        <w:rPr>
          <w:rFonts w:eastAsia="Calibri" w:cs="Arial"/>
          <w:i/>
          <w:iCs/>
          <w:color w:val="222222"/>
          <w:szCs w:val="20"/>
          <w:shd w:val="clear" w:color="auto" w:fill="FFFFFF"/>
          <w:lang w:val="en-US"/>
        </w:rPr>
        <w:t>34</w:t>
      </w:r>
      <w:r w:rsidRPr="004B0FC6">
        <w:rPr>
          <w:rFonts w:eastAsia="Calibri" w:cs="Arial"/>
          <w:color w:val="222222"/>
          <w:szCs w:val="20"/>
          <w:shd w:val="clear" w:color="auto" w:fill="FFFFFF"/>
          <w:lang w:val="en-US"/>
        </w:rPr>
        <w:t>(2), 764-775. https://doi.org/10.1016/j.ridd.2012.10.004</w:t>
      </w:r>
    </w:p>
    <w:p w14:paraId="47E033B5" w14:textId="77777777" w:rsidR="00316CB6" w:rsidRDefault="00316CB6" w:rsidP="0086310E">
      <w:pPr>
        <w:spacing w:after="0"/>
        <w:rPr>
          <w:rFonts w:eastAsia="Calibri" w:cs="Arial"/>
          <w:szCs w:val="20"/>
          <w:lang w:val="en-US"/>
        </w:rPr>
      </w:pPr>
    </w:p>
    <w:p w14:paraId="770BC96D" w14:textId="53DC5CC7" w:rsidR="004B0FC6" w:rsidRPr="004B0FC6" w:rsidRDefault="004B0FC6" w:rsidP="0086310E">
      <w:pPr>
        <w:spacing w:after="0"/>
        <w:rPr>
          <w:rFonts w:eastAsia="Calibri" w:cs="Arial"/>
          <w:szCs w:val="20"/>
          <w:lang w:val="en-US"/>
        </w:rPr>
      </w:pPr>
      <w:r w:rsidRPr="004B0FC6">
        <w:rPr>
          <w:rFonts w:eastAsia="Calibri" w:cs="Arial"/>
          <w:szCs w:val="20"/>
          <w:lang w:val="en-US"/>
        </w:rPr>
        <w:lastRenderedPageBreak/>
        <w:t xml:space="preserve">Davies, L. E., &amp; Oliver, C. (2016). Self-injury, aggression and destruction in children with severe intellectual disability: Incidence, persistence and novel, predictive </w:t>
      </w:r>
      <w:proofErr w:type="spellStart"/>
      <w:r w:rsidRPr="004B0FC6">
        <w:rPr>
          <w:rFonts w:eastAsia="Calibri" w:cs="Arial"/>
          <w:szCs w:val="20"/>
          <w:lang w:val="en-US"/>
        </w:rPr>
        <w:t>behavioural</w:t>
      </w:r>
      <w:proofErr w:type="spellEnd"/>
      <w:r w:rsidRPr="004B0FC6">
        <w:rPr>
          <w:rFonts w:eastAsia="Calibri" w:cs="Arial"/>
          <w:szCs w:val="20"/>
          <w:lang w:val="en-US"/>
        </w:rPr>
        <w:t xml:space="preserve"> risk markers. </w:t>
      </w:r>
      <w:r w:rsidRPr="004B0FC6">
        <w:rPr>
          <w:rFonts w:eastAsia="Calibri" w:cs="Arial"/>
          <w:i/>
          <w:iCs/>
          <w:szCs w:val="20"/>
          <w:lang w:val="en-US"/>
        </w:rPr>
        <w:t xml:space="preserve">Research in Developmental Disabilities, 49, </w:t>
      </w:r>
      <w:r w:rsidRPr="004B0FC6">
        <w:rPr>
          <w:rFonts w:eastAsia="Calibri" w:cs="Arial"/>
          <w:szCs w:val="20"/>
          <w:lang w:val="en-US"/>
        </w:rPr>
        <w:t>291-301. https://doi.org/10.1016/j.ridd.2015.12.003</w:t>
      </w:r>
    </w:p>
    <w:p w14:paraId="672ED155" w14:textId="77777777" w:rsidR="00316CB6" w:rsidRDefault="00316CB6" w:rsidP="0086310E">
      <w:pPr>
        <w:spacing w:after="0"/>
        <w:rPr>
          <w:rFonts w:eastAsia="Calibri" w:cs="Arial"/>
          <w:szCs w:val="20"/>
          <w:lang w:val="en-US"/>
        </w:rPr>
      </w:pPr>
    </w:p>
    <w:p w14:paraId="1A3B54BC" w14:textId="7F2C726E" w:rsidR="004B0FC6" w:rsidRPr="004B0FC6" w:rsidRDefault="004B0FC6" w:rsidP="0086310E">
      <w:pPr>
        <w:spacing w:after="0"/>
        <w:rPr>
          <w:rFonts w:eastAsia="Calibri" w:cs="Arial"/>
          <w:szCs w:val="20"/>
          <w:lang w:val="en-US"/>
        </w:rPr>
      </w:pPr>
      <w:r w:rsidRPr="004B0FC6">
        <w:rPr>
          <w:rFonts w:eastAsia="Calibri" w:cs="Arial"/>
          <w:szCs w:val="20"/>
          <w:lang w:val="en-US"/>
        </w:rPr>
        <w:t xml:space="preserve">Dimian, A. F., &amp; Symons, F. J. (2022). A systematic review of risk for the development and persistence of self-injurious </w:t>
      </w:r>
      <w:proofErr w:type="spellStart"/>
      <w:r w:rsidRPr="004B0FC6">
        <w:rPr>
          <w:rFonts w:eastAsia="Calibri" w:cs="Arial"/>
          <w:szCs w:val="20"/>
          <w:lang w:val="en-US"/>
        </w:rPr>
        <w:t>behaviourin</w:t>
      </w:r>
      <w:proofErr w:type="spellEnd"/>
      <w:r w:rsidRPr="004B0FC6">
        <w:rPr>
          <w:rFonts w:eastAsia="Calibri" w:cs="Arial"/>
          <w:szCs w:val="20"/>
          <w:lang w:val="en-US"/>
        </w:rPr>
        <w:t xml:space="preserve"> intellectual and developmental disabilities. </w:t>
      </w:r>
      <w:r w:rsidRPr="004B0FC6">
        <w:rPr>
          <w:rFonts w:eastAsia="Calibri" w:cs="Arial"/>
          <w:i/>
          <w:iCs/>
          <w:szCs w:val="20"/>
          <w:lang w:val="en-US"/>
        </w:rPr>
        <w:t>Clinical Psychology Review, 94,</w:t>
      </w:r>
      <w:r w:rsidRPr="004B0FC6">
        <w:rPr>
          <w:rFonts w:eastAsia="Calibri" w:cs="Arial"/>
          <w:szCs w:val="20"/>
          <w:lang w:val="en-US"/>
        </w:rPr>
        <w:t xml:space="preserve"> 102-158. </w:t>
      </w:r>
      <w:hyperlink r:id="rId12" w:history="1">
        <w:r w:rsidRPr="004B0FC6">
          <w:rPr>
            <w:rFonts w:eastAsia="Calibri" w:cs="Arial"/>
            <w:color w:val="0000FF"/>
            <w:szCs w:val="20"/>
            <w:u w:val="single"/>
            <w:lang w:val="en-US"/>
          </w:rPr>
          <w:t>https://doi.org/10.1016/j.cpr.2022.102158</w:t>
        </w:r>
      </w:hyperlink>
      <w:r w:rsidRPr="004B0FC6">
        <w:rPr>
          <w:rFonts w:eastAsia="Calibri" w:cs="Arial"/>
          <w:szCs w:val="20"/>
          <w:lang w:val="en-US"/>
        </w:rPr>
        <w:t>.</w:t>
      </w:r>
    </w:p>
    <w:p w14:paraId="4476281E" w14:textId="77777777" w:rsidR="00316CB6" w:rsidRDefault="00316CB6" w:rsidP="0086310E">
      <w:pPr>
        <w:spacing w:after="0"/>
        <w:rPr>
          <w:rFonts w:eastAsia="Calibri" w:cs="Arial"/>
          <w:szCs w:val="20"/>
          <w:lang w:val="en-US"/>
        </w:rPr>
      </w:pPr>
    </w:p>
    <w:p w14:paraId="712E7228" w14:textId="0A218EF6" w:rsidR="004B0FC6" w:rsidRPr="004B0FC6" w:rsidRDefault="004B0FC6" w:rsidP="0086310E">
      <w:pPr>
        <w:spacing w:after="0"/>
        <w:rPr>
          <w:rFonts w:eastAsia="Calibri" w:cs="Arial"/>
          <w:szCs w:val="20"/>
          <w:lang w:val="en-US"/>
        </w:rPr>
      </w:pPr>
      <w:r w:rsidRPr="004B0FC6">
        <w:rPr>
          <w:rFonts w:eastAsia="Calibri" w:cs="Arial"/>
          <w:szCs w:val="20"/>
          <w:lang w:val="en-US"/>
        </w:rPr>
        <w:t xml:space="preserve">Laverty, C., Oliver, C., Moss, J., Nelson, L., &amp; Richards, C. (2020). Persistence and predictors of self-injurious </w:t>
      </w:r>
      <w:proofErr w:type="spellStart"/>
      <w:r w:rsidRPr="004B0FC6">
        <w:rPr>
          <w:rFonts w:eastAsia="Calibri" w:cs="Arial"/>
          <w:szCs w:val="20"/>
          <w:lang w:val="en-US"/>
        </w:rPr>
        <w:t>behaviour</w:t>
      </w:r>
      <w:proofErr w:type="spellEnd"/>
      <w:r w:rsidRPr="004B0FC6">
        <w:rPr>
          <w:rFonts w:eastAsia="Calibri" w:cs="Arial"/>
          <w:szCs w:val="20"/>
          <w:lang w:val="en-US"/>
        </w:rPr>
        <w:t xml:space="preserve"> in autism: a ten-year prospective cohort study. </w:t>
      </w:r>
      <w:r w:rsidRPr="004B0FC6">
        <w:rPr>
          <w:rFonts w:eastAsia="Calibri" w:cs="Arial"/>
          <w:i/>
          <w:iCs/>
          <w:szCs w:val="20"/>
          <w:lang w:val="en-US"/>
        </w:rPr>
        <w:t>Molecular Autism, 11,</w:t>
      </w:r>
      <w:r w:rsidRPr="004B0FC6">
        <w:rPr>
          <w:rFonts w:eastAsia="Calibri" w:cs="Arial"/>
          <w:szCs w:val="20"/>
          <w:lang w:val="en-US"/>
        </w:rPr>
        <w:t xml:space="preserve"> 1-17. https://doi.org/10.1186/s13229-019-0307-z</w:t>
      </w:r>
    </w:p>
    <w:p w14:paraId="35EB5E18" w14:textId="77777777" w:rsidR="00633D0B" w:rsidRDefault="00633D0B" w:rsidP="0086310E">
      <w:pPr>
        <w:rPr>
          <w:b/>
          <w:bCs/>
        </w:rPr>
      </w:pPr>
    </w:p>
    <w:p w14:paraId="1AB18FF1" w14:textId="62B5B4FD" w:rsidR="00163A52" w:rsidRPr="007566B0" w:rsidRDefault="00163A52" w:rsidP="0086310E">
      <w:pPr>
        <w:jc w:val="center"/>
        <w:rPr>
          <w:b/>
          <w:bCs/>
        </w:rPr>
      </w:pPr>
      <w:r w:rsidRPr="007566B0">
        <w:rPr>
          <w:b/>
          <w:bCs/>
        </w:rPr>
        <w:t xml:space="preserve">Paper </w:t>
      </w:r>
      <w:r w:rsidR="00633D0B">
        <w:rPr>
          <w:b/>
          <w:bCs/>
        </w:rPr>
        <w:t>4</w:t>
      </w:r>
      <w:r w:rsidRPr="007566B0">
        <w:rPr>
          <w:b/>
          <w:bCs/>
        </w:rPr>
        <w:t xml:space="preserve"> of </w:t>
      </w:r>
      <w:r w:rsidR="0064135E" w:rsidRPr="007566B0">
        <w:rPr>
          <w:b/>
          <w:bCs/>
        </w:rPr>
        <w:t>4</w:t>
      </w:r>
    </w:p>
    <w:p w14:paraId="097D879F" w14:textId="77777777" w:rsidR="00B13214" w:rsidRPr="007566B0" w:rsidRDefault="00B13214" w:rsidP="00B13214">
      <w:r w:rsidRPr="007566B0">
        <w:rPr>
          <w:b/>
          <w:bCs/>
        </w:rPr>
        <w:t>Paper Title</w:t>
      </w:r>
      <w:r w:rsidRPr="007566B0">
        <w:t xml:space="preserve">: Assessing the feasibility of the </w:t>
      </w:r>
      <w:proofErr w:type="spellStart"/>
      <w:r w:rsidRPr="007566B0">
        <w:t>i</w:t>
      </w:r>
      <w:proofErr w:type="spellEnd"/>
      <w:r w:rsidRPr="007566B0">
        <w:t xml:space="preserve">-KNOW (identifying and knowing about behaviour) preventive intervention programme for individuals at </w:t>
      </w:r>
      <w:r>
        <w:t>high</w:t>
      </w:r>
      <w:r w:rsidRPr="007566B0">
        <w:t xml:space="preserve"> </w:t>
      </w:r>
      <w:r>
        <w:t>r</w:t>
      </w:r>
      <w:r w:rsidRPr="007566B0">
        <w:t xml:space="preserve">isk for </w:t>
      </w:r>
      <w:r>
        <w:t>b</w:t>
      </w:r>
      <w:r w:rsidRPr="007566B0">
        <w:t xml:space="preserve">ehaviours that </w:t>
      </w:r>
      <w:r>
        <w:t>c</w:t>
      </w:r>
      <w:r w:rsidRPr="007566B0">
        <w:t>hallenge</w:t>
      </w:r>
    </w:p>
    <w:p w14:paraId="2FC8868D" w14:textId="4B1FE253" w:rsidR="00B13214" w:rsidRDefault="00B13214" w:rsidP="00B13214">
      <w:r w:rsidRPr="007566B0">
        <w:rPr>
          <w:b/>
          <w:bCs/>
        </w:rPr>
        <w:t>Authors</w:t>
      </w:r>
      <w:r w:rsidRPr="007566B0">
        <w:t>: Walters, L. R</w:t>
      </w:r>
      <w:r>
        <w:rPr>
          <w:vertAlign w:val="superscript"/>
        </w:rPr>
        <w:t>1</w:t>
      </w:r>
      <w:r w:rsidRPr="007566B0">
        <w:t>.,</w:t>
      </w:r>
      <w:r>
        <w:t xml:space="preserve"> Williams, C. A</w:t>
      </w:r>
      <w:r>
        <w:rPr>
          <w:vertAlign w:val="superscript"/>
        </w:rPr>
        <w:t>1,</w:t>
      </w:r>
      <w:r>
        <w:rPr>
          <w:rStyle w:val="FootnoteReference"/>
        </w:rPr>
        <w:footnoteReference w:id="10"/>
      </w:r>
      <w:r>
        <w:t>.,</w:t>
      </w:r>
      <w:r w:rsidRPr="007566B0">
        <w:t xml:space="preserve"> Groves, L</w:t>
      </w:r>
      <w:r>
        <w:rPr>
          <w:rStyle w:val="FootnoteReference"/>
        </w:rPr>
        <w:footnoteReference w:id="11"/>
      </w:r>
      <w:r w:rsidRPr="007566B0">
        <w:t>., Allen, D</w:t>
      </w:r>
      <w:r>
        <w:rPr>
          <w:rStyle w:val="FootnoteReference"/>
        </w:rPr>
        <w:footnoteReference w:id="12"/>
      </w:r>
      <w:r w:rsidRPr="007566B0">
        <w:t>., Bain, D</w:t>
      </w:r>
      <w:r>
        <w:rPr>
          <w:rStyle w:val="FootnoteReference"/>
        </w:rPr>
        <w:footnoteReference w:id="13"/>
      </w:r>
      <w:r w:rsidRPr="007566B0">
        <w:t>., Cooper, V</w:t>
      </w:r>
      <w:r>
        <w:rPr>
          <w:rStyle w:val="FootnoteReference"/>
        </w:rPr>
        <w:footnoteReference w:id="14"/>
      </w:r>
      <w:r w:rsidRPr="007566B0">
        <w:t>., Daniel, L</w:t>
      </w:r>
      <w:r w:rsidR="005916CF">
        <w:rPr>
          <w:rStyle w:val="FootnoteReference"/>
        </w:rPr>
        <w:footnoteReference w:id="15"/>
      </w:r>
      <w:r w:rsidRPr="007566B0">
        <w:t xml:space="preserve">., Garstang, </w:t>
      </w:r>
      <w:r w:rsidRPr="00B13214">
        <w:t>J</w:t>
      </w:r>
      <w:r w:rsidRPr="00B13214">
        <w:rPr>
          <w:vertAlign w:val="superscript"/>
        </w:rPr>
        <w:t>13</w:t>
      </w:r>
      <w:r w:rsidRPr="00B13214">
        <w:t>.,</w:t>
      </w:r>
      <w:r w:rsidRPr="007566B0">
        <w:t xml:space="preserve"> Jones, C.</w:t>
      </w:r>
      <w:r>
        <w:rPr>
          <w:vertAlign w:val="superscript"/>
        </w:rPr>
        <w:t>1</w:t>
      </w:r>
      <w:r w:rsidRPr="007566B0">
        <w:t>, Kaur, K</w:t>
      </w:r>
      <w:r>
        <w:rPr>
          <w:vertAlign w:val="superscript"/>
        </w:rPr>
        <w:t>1</w:t>
      </w:r>
      <w:r w:rsidRPr="007566B0">
        <w:t>., Khan, A</w:t>
      </w:r>
      <w:r>
        <w:rPr>
          <w:vertAlign w:val="superscript"/>
        </w:rPr>
        <w:t>1</w:t>
      </w:r>
      <w:r w:rsidRPr="007566B0">
        <w:t>., Liew, A</w:t>
      </w:r>
      <w:r>
        <w:rPr>
          <w:rStyle w:val="FootnoteReference"/>
        </w:rPr>
        <w:footnoteReference w:id="16"/>
      </w:r>
      <w:r w:rsidRPr="007566B0">
        <w:t>., McCleery, J</w:t>
      </w:r>
      <w:r w:rsidR="009874D3">
        <w:rPr>
          <w:rStyle w:val="FootnoteReference"/>
        </w:rPr>
        <w:footnoteReference w:id="17"/>
      </w:r>
      <w:r w:rsidRPr="007566B0">
        <w:t>., Oliver, C</w:t>
      </w:r>
      <w:r>
        <w:rPr>
          <w:vertAlign w:val="superscript"/>
        </w:rPr>
        <w:t>1</w:t>
      </w:r>
      <w:r w:rsidRPr="007566B0">
        <w:t>., Rose, J</w:t>
      </w:r>
      <w:r>
        <w:rPr>
          <w:vertAlign w:val="superscript"/>
        </w:rPr>
        <w:t>1</w:t>
      </w:r>
      <w:r w:rsidRPr="007566B0">
        <w:t>., Simkiss, D</w:t>
      </w:r>
      <w:r>
        <w:rPr>
          <w:vertAlign w:val="superscript"/>
        </w:rPr>
        <w:t>13</w:t>
      </w:r>
      <w:r w:rsidRPr="007566B0">
        <w:t>., Richards, C</w:t>
      </w:r>
      <w:r>
        <w:rPr>
          <w:vertAlign w:val="superscript"/>
        </w:rPr>
        <w:t>1</w:t>
      </w:r>
      <w:r w:rsidRPr="007566B0">
        <w:t>.,</w:t>
      </w:r>
    </w:p>
    <w:p w14:paraId="3ADE9402" w14:textId="77777777" w:rsidR="00B13214" w:rsidRDefault="00B13214" w:rsidP="00B13214">
      <w:r w:rsidRPr="007566B0">
        <w:rPr>
          <w:b/>
          <w:bCs/>
        </w:rPr>
        <w:t>Introduction</w:t>
      </w:r>
      <w:r w:rsidRPr="007566B0">
        <w:t>: Behaviours that challenge (</w:t>
      </w:r>
      <w:proofErr w:type="spellStart"/>
      <w:r w:rsidRPr="007566B0">
        <w:t>BtC</w:t>
      </w:r>
      <w:proofErr w:type="spellEnd"/>
      <w:r w:rsidRPr="007566B0">
        <w:t>)</w:t>
      </w:r>
      <w:r>
        <w:t>, such as self-injury and aggression,</w:t>
      </w:r>
      <w:r w:rsidRPr="007566B0">
        <w:t xml:space="preserve"> are common in individuals with intellectual disability</w:t>
      </w:r>
      <w:r>
        <w:t xml:space="preserve"> (ID)</w:t>
      </w:r>
      <w:r w:rsidRPr="007566B0">
        <w:t xml:space="preserve">, with </w:t>
      </w:r>
      <w:r>
        <w:t xml:space="preserve">both </w:t>
      </w:r>
      <w:r w:rsidRPr="007566B0">
        <w:t>prevalence and severity increasing with age</w:t>
      </w:r>
      <w:r>
        <w:t xml:space="preserve"> (</w:t>
      </w:r>
      <w:r w:rsidRPr="007566B0">
        <w:t>Emerson et al., 2014</w:t>
      </w:r>
      <w:r>
        <w:t>)</w:t>
      </w:r>
      <w:r w:rsidRPr="007566B0">
        <w:t xml:space="preserve">. The presence of </w:t>
      </w:r>
      <w:proofErr w:type="spellStart"/>
      <w:r w:rsidRPr="007566B0">
        <w:t>BtC</w:t>
      </w:r>
      <w:proofErr w:type="spellEnd"/>
      <w:r w:rsidRPr="007566B0">
        <w:t xml:space="preserve"> </w:t>
      </w:r>
      <w:r>
        <w:t>significantly</w:t>
      </w:r>
      <w:r w:rsidRPr="007566B0">
        <w:t xml:space="preserve"> impacts the quality of life of children with ID, </w:t>
      </w:r>
      <w:r>
        <w:t>contributing to higher rates</w:t>
      </w:r>
      <w:r w:rsidRPr="007566B0">
        <w:t xml:space="preserve"> of social exclusion, hospitalisation, and </w:t>
      </w:r>
      <w:r>
        <w:t xml:space="preserve">the </w:t>
      </w:r>
      <w:r w:rsidRPr="007566B0">
        <w:t>use of intrusive reactive strategies (Beadle-Brown et al., 2009; Mandell, 2008)</w:t>
      </w:r>
      <w:r>
        <w:t xml:space="preserve">. </w:t>
      </w:r>
      <w:proofErr w:type="spellStart"/>
      <w:r>
        <w:t>BtC</w:t>
      </w:r>
      <w:proofErr w:type="spellEnd"/>
      <w:r>
        <w:t xml:space="preserve"> also contribute to physical and emotional risks for</w:t>
      </w:r>
      <w:r w:rsidRPr="007566B0">
        <w:t xml:space="preserve"> </w:t>
      </w:r>
      <w:r>
        <w:t>caregivers</w:t>
      </w:r>
      <w:r w:rsidRPr="007566B0">
        <w:t xml:space="preserve"> (Emerson &amp; Enfield 2011; McIntyre et al., 2002).</w:t>
      </w:r>
      <w:r>
        <w:t xml:space="preserve"> </w:t>
      </w:r>
      <w:r w:rsidRPr="007566B0">
        <w:t xml:space="preserve">Despite the </w:t>
      </w:r>
      <w:r>
        <w:t>substantial</w:t>
      </w:r>
      <w:r w:rsidRPr="007566B0">
        <w:t xml:space="preserve"> financial and human costs</w:t>
      </w:r>
      <w:r>
        <w:t xml:space="preserve"> associated with </w:t>
      </w:r>
      <w:proofErr w:type="spellStart"/>
      <w:r>
        <w:t>BtC</w:t>
      </w:r>
      <w:proofErr w:type="spellEnd"/>
      <w:r w:rsidRPr="007566B0">
        <w:t xml:space="preserve">, interventions are </w:t>
      </w:r>
      <w:r>
        <w:t xml:space="preserve">typically implemented after behaviours emerge, rather than </w:t>
      </w:r>
      <w:r w:rsidRPr="007566B0">
        <w:t>proactively</w:t>
      </w:r>
      <w:r>
        <w:t xml:space="preserve"> </w:t>
      </w:r>
      <w:r w:rsidRPr="007566B0">
        <w:t>(Groves et al., 2023).</w:t>
      </w:r>
      <w:r>
        <w:t xml:space="preserve"> Therefore</w:t>
      </w:r>
      <w:r w:rsidRPr="007566B0">
        <w:t xml:space="preserve">, early identification of individuals at risk of </w:t>
      </w:r>
      <w:r>
        <w:t xml:space="preserve">developing </w:t>
      </w:r>
      <w:proofErr w:type="spellStart"/>
      <w:r w:rsidRPr="007566B0">
        <w:t>BtC</w:t>
      </w:r>
      <w:proofErr w:type="spellEnd"/>
      <w:r>
        <w:t xml:space="preserve"> </w:t>
      </w:r>
      <w:r w:rsidRPr="007566B0">
        <w:t>and delivery of preventative interventions are crucial.</w:t>
      </w:r>
    </w:p>
    <w:p w14:paraId="07E0E0D4" w14:textId="506DCBD6" w:rsidR="00B13214" w:rsidRDefault="00B13214" w:rsidP="00B13214">
      <w:r w:rsidRPr="007566B0">
        <w:rPr>
          <w:b/>
          <w:bCs/>
        </w:rPr>
        <w:t>Method</w:t>
      </w:r>
      <w:r w:rsidRPr="007566B0">
        <w:t xml:space="preserve">: </w:t>
      </w:r>
      <w:r>
        <w:t>This study employed a</w:t>
      </w:r>
      <w:r w:rsidRPr="007566B0">
        <w:t xml:space="preserve"> repeated measures design (pre- and post-intervention). Family caregivers of children aged </w:t>
      </w:r>
      <w:r>
        <w:t xml:space="preserve">one to eight </w:t>
      </w:r>
      <w:r w:rsidRPr="007566B0">
        <w:t xml:space="preserve">years with confirmed or suspected developmental difficulties were </w:t>
      </w:r>
      <w:r>
        <w:t>screened</w:t>
      </w:r>
      <w:r w:rsidRPr="007566B0">
        <w:t xml:space="preserve"> for eligibility using a risk algorithm (</w:t>
      </w:r>
      <w:proofErr w:type="spellStart"/>
      <w:r w:rsidRPr="007566B0">
        <w:t>i</w:t>
      </w:r>
      <w:proofErr w:type="spellEnd"/>
      <w:r w:rsidRPr="007566B0">
        <w:t>-RISC</w:t>
      </w:r>
      <w:r>
        <w:t>; Groves et al., in prep</w:t>
      </w:r>
      <w:r w:rsidRPr="007566B0">
        <w:t>)</w:t>
      </w:r>
      <w:r>
        <w:t xml:space="preserve">. Participants were stratified into two groups: the </w:t>
      </w:r>
      <w:proofErr w:type="spellStart"/>
      <w:r>
        <w:t>i</w:t>
      </w:r>
      <w:proofErr w:type="spellEnd"/>
      <w:r w:rsidRPr="007566B0">
        <w:t xml:space="preserve">-KNOW intervention </w:t>
      </w:r>
      <w:r w:rsidRPr="007566B0">
        <w:lastRenderedPageBreak/>
        <w:t xml:space="preserve">workshops </w:t>
      </w:r>
      <w:r>
        <w:t xml:space="preserve">for those at high </w:t>
      </w:r>
      <w:r w:rsidRPr="007566B0">
        <w:t xml:space="preserve">risk of </w:t>
      </w:r>
      <w:r>
        <w:t>developing</w:t>
      </w:r>
      <w:r w:rsidRPr="007566B0">
        <w:t xml:space="preserve"> </w:t>
      </w:r>
      <w:proofErr w:type="spellStart"/>
      <w:r w:rsidRPr="007566B0">
        <w:t>BtC</w:t>
      </w:r>
      <w:proofErr w:type="spellEnd"/>
      <w:r>
        <w:t xml:space="preserve"> (</w:t>
      </w:r>
      <w:r w:rsidRPr="007566B0">
        <w:rPr>
          <w:i/>
          <w:iCs/>
        </w:rPr>
        <w:t>n</w:t>
      </w:r>
      <w:r w:rsidRPr="007566B0">
        <w:t xml:space="preserve">=50) </w:t>
      </w:r>
      <w:r>
        <w:t xml:space="preserve">and </w:t>
      </w:r>
      <w:r w:rsidRPr="007566B0">
        <w:t xml:space="preserve">remote learning </w:t>
      </w:r>
      <w:r>
        <w:t xml:space="preserve">for those at moderate </w:t>
      </w:r>
      <w:r w:rsidRPr="007566B0">
        <w:t xml:space="preserve">risk </w:t>
      </w:r>
      <w:r>
        <w:t>(</w:t>
      </w:r>
      <w:r w:rsidRPr="007566B0">
        <w:rPr>
          <w:i/>
          <w:iCs/>
        </w:rPr>
        <w:t>n</w:t>
      </w:r>
      <w:r w:rsidRPr="007566B0">
        <w:t xml:space="preserve">=13). Pre and post intervention questionnaires and semi-structured interviews were </w:t>
      </w:r>
      <w:r>
        <w:t>used</w:t>
      </w:r>
      <w:r w:rsidRPr="007566B0">
        <w:t xml:space="preserve"> to evaluate the feasibility and acceptability of the </w:t>
      </w:r>
      <w:proofErr w:type="spellStart"/>
      <w:r w:rsidRPr="007566B0">
        <w:t>i</w:t>
      </w:r>
      <w:proofErr w:type="spellEnd"/>
      <w:r w:rsidRPr="007566B0">
        <w:t xml:space="preserve">-RISC algorithm and </w:t>
      </w:r>
      <w:proofErr w:type="spellStart"/>
      <w:r w:rsidRPr="007566B0">
        <w:t>i</w:t>
      </w:r>
      <w:proofErr w:type="spellEnd"/>
      <w:r w:rsidRPr="007566B0">
        <w:t xml:space="preserve">-KNOW intervention in a National Health Service </w:t>
      </w:r>
      <w:r>
        <w:t xml:space="preserve">(NHS) </w:t>
      </w:r>
      <w:r w:rsidRPr="007566B0">
        <w:t>clinical setting</w:t>
      </w:r>
      <w:r>
        <w:t xml:space="preserve"> in the UK</w:t>
      </w:r>
      <w:r w:rsidRPr="007566B0">
        <w:t xml:space="preserve">. </w:t>
      </w:r>
      <w:r w:rsidRPr="00C2105C">
        <w:t>This research informed a second feasibility study targeting parents and caregivers of children aged three and under in collaboration with the NHS</w:t>
      </w:r>
      <w:r>
        <w:t xml:space="preserve"> in the UK</w:t>
      </w:r>
      <w:r w:rsidRPr="00C2105C">
        <w:t xml:space="preserve">. Six </w:t>
      </w:r>
      <w:proofErr w:type="spellStart"/>
      <w:r w:rsidRPr="00C2105C">
        <w:t>i</w:t>
      </w:r>
      <w:proofErr w:type="spellEnd"/>
      <w:r w:rsidRPr="00C2105C">
        <w:t>-KNOW intervention workshops were implemented in this second trial, involving 36 parents and caregivers.</w:t>
      </w:r>
    </w:p>
    <w:p w14:paraId="591DDF29" w14:textId="77777777" w:rsidR="00B13214" w:rsidRDefault="00B13214" w:rsidP="00B13214">
      <w:r w:rsidRPr="007566B0">
        <w:rPr>
          <w:b/>
          <w:bCs/>
        </w:rPr>
        <w:t>Results</w:t>
      </w:r>
      <w:r w:rsidRPr="007566B0">
        <w:t xml:space="preserve">: Of the 845 carers sent recruitment information, 165 expressed interest and were screened, </w:t>
      </w:r>
      <w:r>
        <w:t>resulting in</w:t>
      </w:r>
      <w:r w:rsidRPr="007566B0">
        <w:t xml:space="preserve"> a 20% recruitment rate. </w:t>
      </w:r>
      <w:r>
        <w:t>Approximately</w:t>
      </w:r>
      <w:r w:rsidRPr="007566B0">
        <w:t xml:space="preserve"> 40% of participants who consented completed </w:t>
      </w:r>
      <w:r>
        <w:t xml:space="preserve">all six weeks of the </w:t>
      </w:r>
      <w:proofErr w:type="spellStart"/>
      <w:r>
        <w:t>i</w:t>
      </w:r>
      <w:proofErr w:type="spellEnd"/>
      <w:r>
        <w:t>-KNOW</w:t>
      </w:r>
      <w:r w:rsidRPr="007566B0">
        <w:t xml:space="preserve"> intervention. There were no significant differences in caregiver efficacy or child behaviour pre and post intervention </w:t>
      </w:r>
      <w:r>
        <w:t>for</w:t>
      </w:r>
      <w:r w:rsidRPr="007566B0">
        <w:t xml:space="preserve"> the moderate risk group. However, in the high-risk </w:t>
      </w:r>
      <w:r>
        <w:t xml:space="preserve">group, </w:t>
      </w:r>
      <w:r w:rsidRPr="0035432F">
        <w:t xml:space="preserve">caregivers reported significant improvements in their perception of behaviour, though no changes were noted in the frequency or severity of </w:t>
      </w:r>
      <w:proofErr w:type="spellStart"/>
      <w:r w:rsidRPr="0035432F">
        <w:t>BtC</w:t>
      </w:r>
      <w:proofErr w:type="spellEnd"/>
      <w:r w:rsidRPr="0035432F">
        <w:t>.</w:t>
      </w:r>
      <w:r w:rsidRPr="00C2105C">
        <w:t xml:space="preserve"> Additionally, caregivers in the high-risk group noted significant improvements in their child’s verbal and non-verbal communication following the intervention. </w:t>
      </w:r>
      <w:r>
        <w:t xml:space="preserve">Provisional results from the </w:t>
      </w:r>
      <w:r w:rsidRPr="00C2105C">
        <w:t>second feasibility study</w:t>
      </w:r>
      <w:r>
        <w:t xml:space="preserve"> targeting suggest the </w:t>
      </w:r>
      <w:proofErr w:type="spellStart"/>
      <w:r>
        <w:t>i</w:t>
      </w:r>
      <w:proofErr w:type="spellEnd"/>
      <w:r>
        <w:t xml:space="preserve">-KNOW intervention is acceptable and feasible for parents and caregivers of children aged three and under.  </w:t>
      </w:r>
    </w:p>
    <w:p w14:paraId="6A06FFEF" w14:textId="77777777" w:rsidR="00B13214" w:rsidRDefault="00B13214" w:rsidP="00B13214">
      <w:r w:rsidRPr="007566B0">
        <w:rPr>
          <w:b/>
          <w:bCs/>
        </w:rPr>
        <w:t>Discussion</w:t>
      </w:r>
      <w:r w:rsidRPr="007566B0">
        <w:t xml:space="preserve">: </w:t>
      </w:r>
      <w:r w:rsidRPr="00C2105C">
        <w:t xml:space="preserve">These findings suggest that the </w:t>
      </w:r>
      <w:proofErr w:type="spellStart"/>
      <w:r w:rsidRPr="00C2105C">
        <w:t>i</w:t>
      </w:r>
      <w:proofErr w:type="spellEnd"/>
      <w:r w:rsidRPr="00C2105C">
        <w:t>-KNOW intervention is feasible but requires refinement to improve retention across the intervention pathway. While significant changes in caregiver perception and child communication were observed in the high-risk group, early recruitment of younger children is essential to fully reali</w:t>
      </w:r>
      <w:r>
        <w:t>s</w:t>
      </w:r>
      <w:r w:rsidRPr="00C2105C">
        <w:t xml:space="preserve">e the preventative potential of the program. </w:t>
      </w:r>
    </w:p>
    <w:p w14:paraId="29955E13" w14:textId="77777777" w:rsidR="00B13214" w:rsidRDefault="00B13214" w:rsidP="00B13214">
      <w:r w:rsidRPr="007566B0">
        <w:rPr>
          <w:b/>
          <w:bCs/>
        </w:rPr>
        <w:t>References</w:t>
      </w:r>
      <w:r w:rsidRPr="007566B0">
        <w:t xml:space="preserve"> </w:t>
      </w:r>
    </w:p>
    <w:p w14:paraId="6246C81B" w14:textId="77777777" w:rsidR="00B13214" w:rsidRDefault="00B13214" w:rsidP="00B13214">
      <w:r w:rsidRPr="001D3F51">
        <w:t>Beadle-Brown, J., Mansell, J., Whelton, B., &amp; Hutchinson, A. (2009). People with learning disabilities in ‘out-of-area’</w:t>
      </w:r>
      <w:r>
        <w:t xml:space="preserve"> </w:t>
      </w:r>
      <w:r w:rsidRPr="001D3F51">
        <w:t xml:space="preserve">residential placements: views of families, managers and specialists. </w:t>
      </w:r>
      <w:r w:rsidRPr="001D3F51">
        <w:rPr>
          <w:i/>
          <w:iCs/>
        </w:rPr>
        <w:t>The British Journal of Development Disabilities, 55</w:t>
      </w:r>
      <w:r w:rsidRPr="001D3F51">
        <w:t>(108), 15-31.</w:t>
      </w:r>
    </w:p>
    <w:p w14:paraId="50779F68" w14:textId="77777777" w:rsidR="00B13214" w:rsidRDefault="00B13214" w:rsidP="00B13214">
      <w:r w:rsidRPr="001D3F51">
        <w:t xml:space="preserve">Emerson, E., Blacher, J., </w:t>
      </w:r>
      <w:proofErr w:type="spellStart"/>
      <w:r w:rsidRPr="001D3F51">
        <w:t>Einfeld</w:t>
      </w:r>
      <w:proofErr w:type="spellEnd"/>
      <w:r w:rsidRPr="001D3F51">
        <w:t xml:space="preserve">, S., Hatton, C., Robertson, J., &amp; Stancliffe, R. J. (2014). Environmental risk factors associated with the persistence of conduct difficulties in children with intellectual disabilities and autistic spectrum disorders. </w:t>
      </w:r>
      <w:r w:rsidRPr="001D3F51">
        <w:rPr>
          <w:i/>
          <w:iCs/>
        </w:rPr>
        <w:t>Research in Developmental Disabilities, 35</w:t>
      </w:r>
      <w:r w:rsidRPr="001D3F51">
        <w:t>(12), 3508-3517.</w:t>
      </w:r>
    </w:p>
    <w:p w14:paraId="182B2C54" w14:textId="77777777" w:rsidR="00B13214" w:rsidRDefault="00B13214" w:rsidP="00B13214">
      <w:r w:rsidRPr="001D3F51">
        <w:t>Emerson, E.</w:t>
      </w:r>
      <w:r>
        <w:t xml:space="preserve">, &amp; </w:t>
      </w:r>
      <w:proofErr w:type="spellStart"/>
      <w:r>
        <w:t>Einfeld</w:t>
      </w:r>
      <w:proofErr w:type="spellEnd"/>
      <w:r>
        <w:t>, S. L.</w:t>
      </w:r>
      <w:r w:rsidRPr="001D3F51">
        <w:t xml:space="preserve"> (2011). </w:t>
      </w:r>
      <w:r w:rsidRPr="001D3F51">
        <w:rPr>
          <w:i/>
          <w:iCs/>
        </w:rPr>
        <w:t>Challenging behaviour</w:t>
      </w:r>
      <w:r w:rsidRPr="001D3F51">
        <w:t>. Cambridge University Press.</w:t>
      </w:r>
    </w:p>
    <w:p w14:paraId="4B505A4C" w14:textId="77777777" w:rsidR="00B13214" w:rsidRDefault="00B13214" w:rsidP="00B13214">
      <w:r w:rsidRPr="001D3F51">
        <w:t xml:space="preserve">Groves, L. (2023). </w:t>
      </w:r>
      <w:r w:rsidRPr="001D3F51">
        <w:rPr>
          <w:i/>
          <w:iCs/>
        </w:rPr>
        <w:t>Behaviours that challenge in people with intellectual disability</w:t>
      </w:r>
      <w:r w:rsidRPr="001D3F51">
        <w:t xml:space="preserve"> (Doctoral dissertation, University of Leicester).</w:t>
      </w:r>
    </w:p>
    <w:p w14:paraId="5A510F65" w14:textId="18F434CB" w:rsidR="00B02765" w:rsidRDefault="00B02765" w:rsidP="00B13214">
      <w:r>
        <w:t>Groves, L.,</w:t>
      </w:r>
      <w:r w:rsidR="00DF311E" w:rsidRPr="00DF311E">
        <w:t xml:space="preserve"> Davies</w:t>
      </w:r>
      <w:r w:rsidR="00DF311E">
        <w:t>, G</w:t>
      </w:r>
      <w:r w:rsidR="00DF311E" w:rsidRPr="00DF311E">
        <w:t>, Oliver</w:t>
      </w:r>
      <w:r w:rsidR="00DF311E">
        <w:t>, C.</w:t>
      </w:r>
      <w:r w:rsidR="00DF311E" w:rsidRPr="00DF311E">
        <w:t>, Allen</w:t>
      </w:r>
      <w:r w:rsidR="00DF311E">
        <w:t>, D</w:t>
      </w:r>
      <w:r w:rsidR="00DF311E" w:rsidRPr="00DF311E">
        <w:t>, Bamford</w:t>
      </w:r>
      <w:r w:rsidR="00DF311E">
        <w:t>, C. et al.</w:t>
      </w:r>
      <w:r>
        <w:t xml:space="preserve"> </w:t>
      </w:r>
      <w:r w:rsidR="00DF311E">
        <w:t xml:space="preserve">(In prep). </w:t>
      </w:r>
      <w:r w:rsidR="00DF311E" w:rsidRPr="00DF311E">
        <w:t>The development and validation of models of risk for behaviours of concern in children with developmental disabilities: a novel machine learning approach</w:t>
      </w:r>
    </w:p>
    <w:p w14:paraId="64A4EFE5" w14:textId="77777777" w:rsidR="00B13214" w:rsidRDefault="00B13214" w:rsidP="00B13214">
      <w:r w:rsidRPr="001D3F51">
        <w:lastRenderedPageBreak/>
        <w:t xml:space="preserve">Mandell, D. S. (2008). Psychiatric hospitalization among children with autism spectrum disorders. </w:t>
      </w:r>
      <w:r w:rsidRPr="001D3F51">
        <w:rPr>
          <w:i/>
          <w:iCs/>
        </w:rPr>
        <w:t xml:space="preserve">Journal of </w:t>
      </w:r>
      <w:r>
        <w:rPr>
          <w:i/>
          <w:iCs/>
        </w:rPr>
        <w:t>A</w:t>
      </w:r>
      <w:r w:rsidRPr="001D3F51">
        <w:rPr>
          <w:i/>
          <w:iCs/>
        </w:rPr>
        <w:t xml:space="preserve">utism and </w:t>
      </w:r>
      <w:r>
        <w:rPr>
          <w:i/>
          <w:iCs/>
        </w:rPr>
        <w:t>D</w:t>
      </w:r>
      <w:r w:rsidRPr="001D3F51">
        <w:rPr>
          <w:i/>
          <w:iCs/>
        </w:rPr>
        <w:t xml:space="preserve">evelopmental </w:t>
      </w:r>
      <w:r>
        <w:rPr>
          <w:i/>
          <w:iCs/>
        </w:rPr>
        <w:t>D</w:t>
      </w:r>
      <w:r w:rsidRPr="001D3F51">
        <w:rPr>
          <w:i/>
          <w:iCs/>
        </w:rPr>
        <w:t>isorders, 38</w:t>
      </w:r>
      <w:r w:rsidRPr="001D3F51">
        <w:t>, 1059-1065.</w:t>
      </w:r>
    </w:p>
    <w:p w14:paraId="26941FAD" w14:textId="77777777" w:rsidR="00B13214" w:rsidRDefault="00B13214" w:rsidP="00B13214">
      <w:r w:rsidRPr="001D3F51">
        <w:t xml:space="preserve">McIntyre, L. L., Blacher, J., &amp; Baker, B. L. (2002). Behaviour/mental health problems in young adults with intellectual disability: The impact on families. </w:t>
      </w:r>
      <w:r w:rsidRPr="001D3F51">
        <w:rPr>
          <w:i/>
          <w:iCs/>
        </w:rPr>
        <w:t>Journal of Intellectual Disability Research, 46</w:t>
      </w:r>
      <w:r w:rsidRPr="001D3F51">
        <w:t>(3), 239-249.</w:t>
      </w:r>
    </w:p>
    <w:p w14:paraId="43F37D1A" w14:textId="7DBAFCB4" w:rsidR="0064135E" w:rsidRDefault="0064135E" w:rsidP="00B13214"/>
    <w:sectPr w:rsidR="0064135E" w:rsidSect="00F01EB9">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4A9A2" w14:textId="77777777" w:rsidR="00A77A2D" w:rsidRPr="007566B0" w:rsidRDefault="00A77A2D" w:rsidP="00F01EB9">
      <w:pPr>
        <w:spacing w:after="0" w:line="240" w:lineRule="auto"/>
      </w:pPr>
      <w:r w:rsidRPr="007566B0">
        <w:separator/>
      </w:r>
    </w:p>
  </w:endnote>
  <w:endnote w:type="continuationSeparator" w:id="0">
    <w:p w14:paraId="25CF19F9" w14:textId="77777777" w:rsidR="00A77A2D" w:rsidRPr="007566B0" w:rsidRDefault="00A77A2D" w:rsidP="00F01EB9">
      <w:pPr>
        <w:spacing w:after="0" w:line="240" w:lineRule="auto"/>
      </w:pPr>
      <w:r w:rsidRPr="007566B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efa">
    <w:altName w:val="Nyala"/>
    <w:charset w:val="00"/>
    <w:family w:val="auto"/>
    <w:pitch w:val="variable"/>
    <w:sig w:usb0="00000003" w:usb1="4000204B" w:usb2="000008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EDBC0" w14:textId="77777777" w:rsidR="0086310E" w:rsidRPr="00F361B2" w:rsidRDefault="009377BD" w:rsidP="00F01EB9">
    <w:pPr>
      <w:pStyle w:val="Footer"/>
      <w:jc w:val="center"/>
      <w:rPr>
        <w:b/>
        <w:szCs w:val="20"/>
      </w:rPr>
    </w:pPr>
    <w:sdt>
      <w:sdtPr>
        <w:rPr>
          <w:b/>
        </w:rPr>
        <w:id w:val="-1954004650"/>
        <w:docPartObj>
          <w:docPartGallery w:val="Page Numbers (Top of Page)"/>
          <w:docPartUnique/>
        </w:docPartObj>
      </w:sdtPr>
      <w:sdtEndPr/>
      <w:sdtContent>
        <w:r w:rsidR="0086310E" w:rsidRPr="00F361B2">
          <w:rPr>
            <w:b/>
            <w:szCs w:val="20"/>
          </w:rPr>
          <w:t xml:space="preserve">Page </w:t>
        </w:r>
        <w:r w:rsidR="0086310E" w:rsidRPr="00F361B2">
          <w:rPr>
            <w:b/>
            <w:bCs/>
          </w:rPr>
          <w:fldChar w:fldCharType="begin"/>
        </w:r>
        <w:r w:rsidR="0086310E" w:rsidRPr="00F361B2">
          <w:rPr>
            <w:b/>
            <w:bCs/>
          </w:rPr>
          <w:instrText xml:space="preserve"> PAGE </w:instrText>
        </w:r>
        <w:r w:rsidR="0086310E" w:rsidRPr="00F361B2">
          <w:rPr>
            <w:b/>
            <w:bCs/>
          </w:rPr>
          <w:fldChar w:fldCharType="separate"/>
        </w:r>
        <w:r w:rsidR="0086310E">
          <w:rPr>
            <w:b/>
            <w:bCs/>
          </w:rPr>
          <w:t>1</w:t>
        </w:r>
        <w:r w:rsidR="0086310E" w:rsidRPr="00F361B2">
          <w:rPr>
            <w:b/>
            <w:bCs/>
          </w:rPr>
          <w:fldChar w:fldCharType="end"/>
        </w:r>
        <w:r w:rsidR="0086310E" w:rsidRPr="00F361B2">
          <w:rPr>
            <w:b/>
            <w:szCs w:val="20"/>
          </w:rPr>
          <w:t xml:space="preserve"> of </w:t>
        </w:r>
        <w:r w:rsidR="0086310E" w:rsidRPr="00F361B2">
          <w:rPr>
            <w:b/>
            <w:bCs/>
          </w:rPr>
          <w:fldChar w:fldCharType="begin"/>
        </w:r>
        <w:r w:rsidR="0086310E" w:rsidRPr="00F361B2">
          <w:rPr>
            <w:b/>
            <w:bCs/>
          </w:rPr>
          <w:instrText xml:space="preserve"> NUMPAGES  </w:instrText>
        </w:r>
        <w:r w:rsidR="0086310E" w:rsidRPr="00F361B2">
          <w:rPr>
            <w:b/>
            <w:bCs/>
          </w:rPr>
          <w:fldChar w:fldCharType="separate"/>
        </w:r>
        <w:r w:rsidR="0086310E">
          <w:rPr>
            <w:b/>
            <w:bCs/>
          </w:rPr>
          <w:t>2</w:t>
        </w:r>
        <w:r w:rsidR="0086310E" w:rsidRPr="00F361B2">
          <w:rPr>
            <w:b/>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Pr="007566B0" w:rsidRDefault="00EA7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7566B0" w:rsidRDefault="009377BD" w:rsidP="00F01EB9">
    <w:pPr>
      <w:pStyle w:val="Footer"/>
      <w:jc w:val="center"/>
      <w:rPr>
        <w:b/>
        <w:szCs w:val="20"/>
      </w:rPr>
    </w:pPr>
    <w:sdt>
      <w:sdtPr>
        <w:rPr>
          <w:b/>
        </w:rPr>
        <w:id w:val="-1669238322"/>
        <w:docPartObj>
          <w:docPartGallery w:val="Page Numbers (Top of Page)"/>
          <w:docPartUnique/>
        </w:docPartObj>
      </w:sdtPr>
      <w:sdtEndPr/>
      <w:sdtContent>
        <w:r w:rsidR="00F01EB9" w:rsidRPr="007566B0">
          <w:rPr>
            <w:b/>
            <w:szCs w:val="20"/>
          </w:rPr>
          <w:t xml:space="preserve">Page </w:t>
        </w:r>
        <w:r w:rsidR="00F01EB9" w:rsidRPr="007566B0">
          <w:rPr>
            <w:b/>
            <w:bCs/>
          </w:rPr>
          <w:fldChar w:fldCharType="begin"/>
        </w:r>
        <w:r w:rsidR="00F01EB9" w:rsidRPr="007566B0">
          <w:rPr>
            <w:b/>
            <w:bCs/>
          </w:rPr>
          <w:instrText xml:space="preserve"> PAGE </w:instrText>
        </w:r>
        <w:r w:rsidR="00F01EB9" w:rsidRPr="007566B0">
          <w:rPr>
            <w:b/>
            <w:bCs/>
          </w:rPr>
          <w:fldChar w:fldCharType="separate"/>
        </w:r>
        <w:r w:rsidR="00F01EB9" w:rsidRPr="007566B0">
          <w:rPr>
            <w:b/>
            <w:bCs/>
          </w:rPr>
          <w:t>1</w:t>
        </w:r>
        <w:r w:rsidR="00F01EB9" w:rsidRPr="007566B0">
          <w:rPr>
            <w:b/>
            <w:bCs/>
          </w:rPr>
          <w:fldChar w:fldCharType="end"/>
        </w:r>
        <w:r w:rsidR="00F01EB9" w:rsidRPr="007566B0">
          <w:rPr>
            <w:b/>
            <w:szCs w:val="20"/>
          </w:rPr>
          <w:t xml:space="preserve"> of </w:t>
        </w:r>
        <w:r w:rsidR="00F01EB9" w:rsidRPr="007566B0">
          <w:rPr>
            <w:b/>
            <w:bCs/>
          </w:rPr>
          <w:fldChar w:fldCharType="begin"/>
        </w:r>
        <w:r w:rsidR="00F01EB9" w:rsidRPr="007566B0">
          <w:rPr>
            <w:b/>
            <w:bCs/>
          </w:rPr>
          <w:instrText xml:space="preserve"> NUMPAGES  </w:instrText>
        </w:r>
        <w:r w:rsidR="00F01EB9" w:rsidRPr="007566B0">
          <w:rPr>
            <w:b/>
            <w:bCs/>
          </w:rPr>
          <w:fldChar w:fldCharType="separate"/>
        </w:r>
        <w:r w:rsidR="00F01EB9" w:rsidRPr="007566B0">
          <w:rPr>
            <w:b/>
            <w:bCs/>
          </w:rPr>
          <w:t>2</w:t>
        </w:r>
        <w:r w:rsidR="00F01EB9" w:rsidRPr="007566B0">
          <w:rPr>
            <w:b/>
            <w:bCs/>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Pr="007566B0"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C79FA" w14:textId="77777777" w:rsidR="00A77A2D" w:rsidRPr="007566B0" w:rsidRDefault="00A77A2D" w:rsidP="00F01EB9">
      <w:pPr>
        <w:spacing w:after="0" w:line="240" w:lineRule="auto"/>
      </w:pPr>
      <w:r w:rsidRPr="007566B0">
        <w:separator/>
      </w:r>
    </w:p>
  </w:footnote>
  <w:footnote w:type="continuationSeparator" w:id="0">
    <w:p w14:paraId="66072FDB" w14:textId="77777777" w:rsidR="00A77A2D" w:rsidRPr="007566B0" w:rsidRDefault="00A77A2D" w:rsidP="00F01EB9">
      <w:pPr>
        <w:spacing w:after="0" w:line="240" w:lineRule="auto"/>
      </w:pPr>
      <w:r w:rsidRPr="007566B0">
        <w:continuationSeparator/>
      </w:r>
    </w:p>
  </w:footnote>
  <w:footnote w:id="1">
    <w:p w14:paraId="26A91D14" w14:textId="73C41E66" w:rsidR="0064135E" w:rsidRPr="007566B0" w:rsidRDefault="0064135E">
      <w:pPr>
        <w:pStyle w:val="FootnoteText"/>
      </w:pPr>
      <w:r w:rsidRPr="007566B0">
        <w:rPr>
          <w:rStyle w:val="FootnoteReference"/>
        </w:rPr>
        <w:footnoteRef/>
      </w:r>
      <w:r w:rsidRPr="007566B0">
        <w:t xml:space="preserve"> </w:t>
      </w:r>
      <w:r w:rsidR="00C06C23" w:rsidRPr="00C06C23">
        <w:t>School of Psychology</w:t>
      </w:r>
      <w:r w:rsidR="00C06C23">
        <w:t>, University of Birmingham, Birmingham, UK</w:t>
      </w:r>
    </w:p>
  </w:footnote>
  <w:footnote w:id="2">
    <w:p w14:paraId="0A2132FB" w14:textId="7540A20A" w:rsidR="00F5755C" w:rsidRDefault="00F5755C">
      <w:pPr>
        <w:pStyle w:val="FootnoteText"/>
      </w:pPr>
      <w:r>
        <w:rPr>
          <w:rStyle w:val="FootnoteReference"/>
        </w:rPr>
        <w:footnoteRef/>
      </w:r>
      <w:r>
        <w:t xml:space="preserve"> University of Minnesota, Department of Educational Psychology, Minneapolis, MN</w:t>
      </w:r>
    </w:p>
  </w:footnote>
  <w:footnote w:id="3">
    <w:p w14:paraId="08A8849E" w14:textId="389A44CA" w:rsidR="0086310E" w:rsidRDefault="0086310E">
      <w:pPr>
        <w:pStyle w:val="FootnoteText"/>
      </w:pPr>
      <w:r>
        <w:rPr>
          <w:rStyle w:val="FootnoteReference"/>
        </w:rPr>
        <w:footnoteRef/>
      </w:r>
      <w:r>
        <w:t xml:space="preserve"> </w:t>
      </w:r>
      <w:r w:rsidRPr="0086310E">
        <w:t>University of Minnesota</w:t>
      </w:r>
    </w:p>
  </w:footnote>
  <w:footnote w:id="4">
    <w:p w14:paraId="41AF8340" w14:textId="45826DBD" w:rsidR="0086310E" w:rsidRDefault="0086310E">
      <w:pPr>
        <w:pStyle w:val="FootnoteText"/>
      </w:pPr>
      <w:r>
        <w:rPr>
          <w:rStyle w:val="FootnoteReference"/>
        </w:rPr>
        <w:footnoteRef/>
      </w:r>
      <w:r>
        <w:t xml:space="preserve"> </w:t>
      </w:r>
      <w:r w:rsidRPr="0086310E">
        <w:t>Washington University in St. Louis</w:t>
      </w:r>
    </w:p>
  </w:footnote>
  <w:footnote w:id="5">
    <w:p w14:paraId="1D5A74BC" w14:textId="5BC67F3E" w:rsidR="0086310E" w:rsidRDefault="0086310E">
      <w:pPr>
        <w:pStyle w:val="FootnoteText"/>
      </w:pPr>
      <w:r>
        <w:rPr>
          <w:rStyle w:val="FootnoteReference"/>
        </w:rPr>
        <w:footnoteRef/>
      </w:r>
      <w:r>
        <w:t xml:space="preserve"> University of Washington</w:t>
      </w:r>
    </w:p>
  </w:footnote>
  <w:footnote w:id="6">
    <w:p w14:paraId="464B4037" w14:textId="02592F48" w:rsidR="0086310E" w:rsidRDefault="0086310E">
      <w:pPr>
        <w:pStyle w:val="FootnoteText"/>
      </w:pPr>
      <w:r>
        <w:rPr>
          <w:rStyle w:val="FootnoteReference"/>
        </w:rPr>
        <w:footnoteRef/>
      </w:r>
      <w:r>
        <w:t xml:space="preserve"> University of North Carolina at Chapel Hill</w:t>
      </w:r>
    </w:p>
  </w:footnote>
  <w:footnote w:id="7">
    <w:p w14:paraId="5E8DB2B3" w14:textId="3CA7B5A6" w:rsidR="0086310E" w:rsidRDefault="0086310E">
      <w:pPr>
        <w:pStyle w:val="FootnoteText"/>
      </w:pPr>
      <w:r>
        <w:rPr>
          <w:rStyle w:val="FootnoteReference"/>
        </w:rPr>
        <w:footnoteRef/>
      </w:r>
      <w:r>
        <w:t xml:space="preserve"> Children’s Hospital of Philadelphia</w:t>
      </w:r>
    </w:p>
  </w:footnote>
  <w:footnote w:id="8">
    <w:p w14:paraId="7FA1B022" w14:textId="0F57C6D3" w:rsidR="0086310E" w:rsidRDefault="0086310E">
      <w:pPr>
        <w:pStyle w:val="FootnoteText"/>
      </w:pPr>
      <w:r>
        <w:rPr>
          <w:rStyle w:val="FootnoteReference"/>
        </w:rPr>
        <w:footnoteRef/>
      </w:r>
      <w:r>
        <w:t xml:space="preserve"> University of Alberta</w:t>
      </w:r>
    </w:p>
  </w:footnote>
  <w:footnote w:id="9">
    <w:p w14:paraId="3BAB299F" w14:textId="77777777" w:rsidR="00633D0B" w:rsidRDefault="00633D0B" w:rsidP="00633D0B">
      <w:pPr>
        <w:pStyle w:val="FootnoteText"/>
      </w:pPr>
      <w:r>
        <w:rPr>
          <w:rStyle w:val="FootnoteReference"/>
        </w:rPr>
        <w:footnoteRef/>
      </w:r>
      <w:r>
        <w:t xml:space="preserve"> Mayo Clinic, Department of </w:t>
      </w:r>
      <w:proofErr w:type="spellStart"/>
      <w:r>
        <w:t>Pediatric</w:t>
      </w:r>
      <w:proofErr w:type="spellEnd"/>
      <w:r>
        <w:t xml:space="preserve"> and Adolescent Medicine, Rochester MN</w:t>
      </w:r>
    </w:p>
  </w:footnote>
  <w:footnote w:id="10">
    <w:p w14:paraId="7C0AA20F" w14:textId="77777777" w:rsidR="00B13214" w:rsidRDefault="00B13214" w:rsidP="00B13214">
      <w:pPr>
        <w:pStyle w:val="FootnoteText"/>
      </w:pPr>
      <w:r>
        <w:rPr>
          <w:rStyle w:val="FootnoteReference"/>
        </w:rPr>
        <w:footnoteRef/>
      </w:r>
      <w:r>
        <w:t xml:space="preserve"> Division of Psychiatry, University College London, London, UK</w:t>
      </w:r>
    </w:p>
  </w:footnote>
  <w:footnote w:id="11">
    <w:p w14:paraId="3EF81CCD" w14:textId="77777777" w:rsidR="00B13214" w:rsidRDefault="00B13214" w:rsidP="00B13214">
      <w:pPr>
        <w:pStyle w:val="FootnoteText"/>
      </w:pPr>
      <w:r>
        <w:rPr>
          <w:rStyle w:val="FootnoteReference"/>
        </w:rPr>
        <w:footnoteRef/>
      </w:r>
      <w:r>
        <w:t xml:space="preserve"> Birmingham and Solihull Mental Health NHS Foundation Trust, Birmingham, UK</w:t>
      </w:r>
    </w:p>
  </w:footnote>
  <w:footnote w:id="12">
    <w:p w14:paraId="71E2433E" w14:textId="72758F9A" w:rsidR="00B13214" w:rsidRDefault="00B13214">
      <w:pPr>
        <w:pStyle w:val="FootnoteText"/>
      </w:pPr>
      <w:r>
        <w:rPr>
          <w:rStyle w:val="FootnoteReference"/>
        </w:rPr>
        <w:footnoteRef/>
      </w:r>
      <w:r>
        <w:t xml:space="preserve"> University of Wolverhampton</w:t>
      </w:r>
    </w:p>
  </w:footnote>
  <w:footnote w:id="13">
    <w:p w14:paraId="2374F577" w14:textId="70215A46" w:rsidR="00B13214" w:rsidRDefault="00B13214">
      <w:pPr>
        <w:pStyle w:val="FootnoteText"/>
      </w:pPr>
      <w:r>
        <w:rPr>
          <w:rStyle w:val="FootnoteReference"/>
        </w:rPr>
        <w:footnoteRef/>
      </w:r>
      <w:r>
        <w:t xml:space="preserve"> Birmingham Community Foundation Healthcare Trust, Birmingham, UK</w:t>
      </w:r>
    </w:p>
  </w:footnote>
  <w:footnote w:id="14">
    <w:p w14:paraId="4F75A7FC" w14:textId="77777777" w:rsidR="00B13214" w:rsidRDefault="00B13214" w:rsidP="00B13214">
      <w:pPr>
        <w:pStyle w:val="FootnoteText"/>
      </w:pPr>
      <w:r>
        <w:rPr>
          <w:rStyle w:val="FootnoteReference"/>
        </w:rPr>
        <w:footnoteRef/>
      </w:r>
      <w:r>
        <w:t xml:space="preserve"> </w:t>
      </w:r>
      <w:r w:rsidRPr="00B27EFA">
        <w:t>The Challenging Behaviour Foundation</w:t>
      </w:r>
      <w:r>
        <w:t>, Kent, UK</w:t>
      </w:r>
    </w:p>
  </w:footnote>
  <w:footnote w:id="15">
    <w:p w14:paraId="213A6C29" w14:textId="236F4E9C" w:rsidR="005916CF" w:rsidRDefault="005916CF">
      <w:pPr>
        <w:pStyle w:val="FootnoteText"/>
      </w:pPr>
      <w:r>
        <w:rPr>
          <w:rStyle w:val="FootnoteReference"/>
        </w:rPr>
        <w:footnoteRef/>
      </w:r>
      <w:r>
        <w:t xml:space="preserve"> Forward Thinking Birmingham, Birmingham UK</w:t>
      </w:r>
    </w:p>
  </w:footnote>
  <w:footnote w:id="16">
    <w:p w14:paraId="6FBA3B45" w14:textId="77777777" w:rsidR="00B13214" w:rsidRDefault="00B13214" w:rsidP="00B13214">
      <w:pPr>
        <w:pStyle w:val="FootnoteText"/>
      </w:pPr>
      <w:r>
        <w:rPr>
          <w:rStyle w:val="FootnoteReference"/>
        </w:rPr>
        <w:footnoteRef/>
      </w:r>
      <w:r>
        <w:t xml:space="preserve"> </w:t>
      </w:r>
      <w:r w:rsidRPr="00B27EFA">
        <w:t>South London and Maudsley NHS Foundation Trust</w:t>
      </w:r>
      <w:r>
        <w:t>, London, UK</w:t>
      </w:r>
    </w:p>
  </w:footnote>
  <w:footnote w:id="17">
    <w:p w14:paraId="48C727FD" w14:textId="17F8337C" w:rsidR="009874D3" w:rsidRDefault="009874D3">
      <w:pPr>
        <w:pStyle w:val="FootnoteText"/>
      </w:pPr>
      <w:r>
        <w:rPr>
          <w:rStyle w:val="FootnoteReference"/>
        </w:rPr>
        <w:footnoteRef/>
      </w:r>
      <w:r>
        <w:t xml:space="preserve"> Kinney </w:t>
      </w:r>
      <w:proofErr w:type="spellStart"/>
      <w:r>
        <w:t>Center</w:t>
      </w:r>
      <w:proofErr w:type="spellEnd"/>
      <w:r>
        <w:t xml:space="preserve"> for Autism Education and Support, Saint Joseph’s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35F5B" w14:textId="77777777" w:rsidR="0086310E" w:rsidRDefault="0086310E" w:rsidP="00F01EB9">
    <w:pPr>
      <w:pStyle w:val="Header"/>
    </w:pPr>
    <w:r>
      <w:rPr>
        <w:noProof/>
      </w:rPr>
      <mc:AlternateContent>
        <mc:Choice Requires="wps">
          <w:drawing>
            <wp:anchor distT="0" distB="0" distL="114300" distR="114300" simplePos="0" relativeHeight="251661312" behindDoc="0" locked="0" layoutInCell="1" allowOverlap="1" wp14:anchorId="203F6EF0" wp14:editId="3C8FC2E8">
              <wp:simplePos x="0" y="0"/>
              <wp:positionH relativeFrom="column">
                <wp:posOffset>-9467</wp:posOffset>
              </wp:positionH>
              <wp:positionV relativeFrom="paragraph">
                <wp:posOffset>-188191</wp:posOffset>
              </wp:positionV>
              <wp:extent cx="5371690" cy="349448"/>
              <wp:effectExtent l="12700" t="12700" r="13335" b="19050"/>
              <wp:wrapNone/>
              <wp:docPr id="134976350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598101972"/>
                            <w:dataBinding w:prefixMappings="xmlns:ns0='http://schemas.openxmlformats.org/package/2006/metadata/core-properties' xmlns:ns1='http://purl.org/dc/elements/1.1/'" w:xpath="/ns0:coreProperties[1]/ns1:title[1]" w:storeItemID="{6C3C8BC8-F283-45AE-878A-BAB7291924A1}"/>
                            <w:text/>
                          </w:sdtPr>
                          <w:sdtEndPr/>
                          <w:sdtContent>
                            <w:p w14:paraId="7BFED283" w14:textId="0D3D8C1A" w:rsidR="0086310E" w:rsidRPr="00163A52" w:rsidRDefault="0086310E" w:rsidP="00F01EB9">
                              <w:pPr>
                                <w:pStyle w:val="Header"/>
                                <w:rPr>
                                  <w:rFonts w:ascii="Kefa" w:hAnsi="Kefa"/>
                                  <w:b/>
                                  <w:color w:val="444C6A"/>
                                  <w:sz w:val="32"/>
                                  <w:szCs w:val="32"/>
                                </w:rPr>
                              </w:pPr>
                              <w:r>
                                <w:rPr>
                                  <w:rFonts w:ascii="Kefa" w:hAnsi="Kefa"/>
                                  <w:b/>
                                  <w:color w:val="444C6A"/>
                                  <w:sz w:val="32"/>
                                  <w:szCs w:val="32"/>
                                </w:rPr>
                                <w:t>2025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203F6EF0" id="Rectangle 197" o:spid="_x0000_s1026" style="position:absolute;margin-left:-.75pt;margin-top:-14.8pt;width:422.95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598101972"/>
                      <w:dataBinding w:prefixMappings="xmlns:ns0='http://schemas.openxmlformats.org/package/2006/metadata/core-properties' xmlns:ns1='http://purl.org/dc/elements/1.1/'" w:xpath="/ns0:coreProperties[1]/ns1:title[1]" w:storeItemID="{6C3C8BC8-F283-45AE-878A-BAB7291924A1}"/>
                      <w:text/>
                    </w:sdtPr>
                    <w:sdtEndPr/>
                    <w:sdtContent>
                      <w:p w14:paraId="7BFED283" w14:textId="0D3D8C1A" w:rsidR="0086310E" w:rsidRPr="00163A52" w:rsidRDefault="0086310E" w:rsidP="00F01EB9">
                        <w:pPr>
                          <w:pStyle w:val="Header"/>
                          <w:rPr>
                            <w:rFonts w:ascii="Kefa" w:hAnsi="Kefa"/>
                            <w:b/>
                            <w:color w:val="444C6A"/>
                            <w:sz w:val="32"/>
                            <w:szCs w:val="32"/>
                          </w:rPr>
                        </w:pPr>
                        <w:r>
                          <w:rPr>
                            <w:rFonts w:ascii="Kefa" w:hAnsi="Kefa"/>
                            <w:b/>
                            <w:color w:val="444C6A"/>
                            <w:sz w:val="32"/>
                            <w:szCs w:val="32"/>
                          </w:rPr>
                          <w:t>2025 Gatlinburg Conference Symposium Submission</w:t>
                        </w:r>
                      </w:p>
                    </w:sdtContent>
                  </w:sdt>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Pr="007566B0" w:rsidRDefault="00EA7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Pr="007566B0" w:rsidRDefault="00EA77BA" w:rsidP="00F01EB9">
    <w:pPr>
      <w:pStyle w:val="Header"/>
    </w:pPr>
    <w:r w:rsidRPr="007566B0">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7696FDDE" w:rsidR="00F01EB9" w:rsidRPr="007566B0" w:rsidRDefault="00EA77BA" w:rsidP="00F01EB9">
                              <w:pPr>
                                <w:pStyle w:val="Header"/>
                                <w:rPr>
                                  <w:rFonts w:ascii="Kefa" w:hAnsi="Kefa"/>
                                  <w:b/>
                                  <w:color w:val="444C6A"/>
                                  <w:sz w:val="32"/>
                                  <w:szCs w:val="32"/>
                                </w:rPr>
                              </w:pPr>
                              <w:r w:rsidRPr="007566B0">
                                <w:rPr>
                                  <w:rFonts w:ascii="Kefa" w:hAnsi="Kefa"/>
                                  <w:b/>
                                  <w:color w:val="444C6A"/>
                                  <w:sz w:val="32"/>
                                  <w:szCs w:val="32"/>
                                </w:rPr>
                                <w:t>202</w:t>
                              </w:r>
                              <w:r w:rsidR="003D0C5B" w:rsidRPr="007566B0">
                                <w:rPr>
                                  <w:rFonts w:ascii="Kefa" w:hAnsi="Kefa"/>
                                  <w:b/>
                                  <w:color w:val="444C6A"/>
                                  <w:sz w:val="32"/>
                                  <w:szCs w:val="32"/>
                                </w:rPr>
                                <w:t>5</w:t>
                              </w:r>
                              <w:r w:rsidRPr="007566B0">
                                <w:rPr>
                                  <w:rFonts w:ascii="Kefa" w:hAnsi="Kefa"/>
                                  <w:b/>
                                  <w:color w:val="444C6A"/>
                                  <w:sz w:val="32"/>
                                  <w:szCs w:val="32"/>
                                </w:rPr>
                                <w:t xml:space="preserve">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_x0000_s1027"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7696FDDE" w:rsidR="00F01EB9" w:rsidRPr="007566B0" w:rsidRDefault="00EA77BA" w:rsidP="00F01EB9">
                        <w:pPr>
                          <w:pStyle w:val="Header"/>
                          <w:rPr>
                            <w:rFonts w:ascii="Kefa" w:hAnsi="Kefa"/>
                            <w:b/>
                            <w:color w:val="444C6A"/>
                            <w:sz w:val="32"/>
                            <w:szCs w:val="32"/>
                          </w:rPr>
                        </w:pPr>
                        <w:r w:rsidRPr="007566B0">
                          <w:rPr>
                            <w:rFonts w:ascii="Kefa" w:hAnsi="Kefa"/>
                            <w:b/>
                            <w:color w:val="444C6A"/>
                            <w:sz w:val="32"/>
                            <w:szCs w:val="32"/>
                          </w:rPr>
                          <w:t>202</w:t>
                        </w:r>
                        <w:r w:rsidR="003D0C5B" w:rsidRPr="007566B0">
                          <w:rPr>
                            <w:rFonts w:ascii="Kefa" w:hAnsi="Kefa"/>
                            <w:b/>
                            <w:color w:val="444C6A"/>
                            <w:sz w:val="32"/>
                            <w:szCs w:val="32"/>
                          </w:rPr>
                          <w:t>5</w:t>
                        </w:r>
                        <w:r w:rsidRPr="007566B0">
                          <w:rPr>
                            <w:rFonts w:ascii="Kefa" w:hAnsi="Kefa"/>
                            <w:b/>
                            <w:color w:val="444C6A"/>
                            <w:sz w:val="32"/>
                            <w:szCs w:val="32"/>
                          </w:rPr>
                          <w:t xml:space="preserve"> Gatlinburg Conference Symposium Submission</w:t>
                        </w:r>
                      </w:p>
                    </w:sdtContent>
                  </w:sdt>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Pr="007566B0"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431DF"/>
    <w:rsid w:val="000D20A7"/>
    <w:rsid w:val="000E193A"/>
    <w:rsid w:val="000E6D44"/>
    <w:rsid w:val="00115D14"/>
    <w:rsid w:val="00163A52"/>
    <w:rsid w:val="0016462E"/>
    <w:rsid w:val="00193892"/>
    <w:rsid w:val="001C6F6A"/>
    <w:rsid w:val="001D3F51"/>
    <w:rsid w:val="002755F9"/>
    <w:rsid w:val="002A64F0"/>
    <w:rsid w:val="00316CB6"/>
    <w:rsid w:val="0035432F"/>
    <w:rsid w:val="00373627"/>
    <w:rsid w:val="003D0C5B"/>
    <w:rsid w:val="00460698"/>
    <w:rsid w:val="004B0FC6"/>
    <w:rsid w:val="004C3582"/>
    <w:rsid w:val="005457D9"/>
    <w:rsid w:val="005916CF"/>
    <w:rsid w:val="005F52A9"/>
    <w:rsid w:val="005F702B"/>
    <w:rsid w:val="006075F8"/>
    <w:rsid w:val="0063068A"/>
    <w:rsid w:val="00633D0B"/>
    <w:rsid w:val="0064135E"/>
    <w:rsid w:val="0064369F"/>
    <w:rsid w:val="007566B0"/>
    <w:rsid w:val="00786377"/>
    <w:rsid w:val="007B5928"/>
    <w:rsid w:val="00861B39"/>
    <w:rsid w:val="0086310E"/>
    <w:rsid w:val="00901C77"/>
    <w:rsid w:val="009377BD"/>
    <w:rsid w:val="00970098"/>
    <w:rsid w:val="009874D3"/>
    <w:rsid w:val="009947DC"/>
    <w:rsid w:val="009B17A1"/>
    <w:rsid w:val="009C42B8"/>
    <w:rsid w:val="009E30F9"/>
    <w:rsid w:val="00A25EDD"/>
    <w:rsid w:val="00A77A2D"/>
    <w:rsid w:val="00AB5C83"/>
    <w:rsid w:val="00B02765"/>
    <w:rsid w:val="00B13214"/>
    <w:rsid w:val="00B27EFA"/>
    <w:rsid w:val="00C06C23"/>
    <w:rsid w:val="00C2105C"/>
    <w:rsid w:val="00C82F91"/>
    <w:rsid w:val="00CD358A"/>
    <w:rsid w:val="00D77AE6"/>
    <w:rsid w:val="00DA5494"/>
    <w:rsid w:val="00DA720F"/>
    <w:rsid w:val="00DF311E"/>
    <w:rsid w:val="00E34365"/>
    <w:rsid w:val="00EA77BA"/>
    <w:rsid w:val="00F01EB9"/>
    <w:rsid w:val="00F06FFC"/>
    <w:rsid w:val="00F5755C"/>
    <w:rsid w:val="00F745EC"/>
    <w:rsid w:val="00F84FDD"/>
    <w:rsid w:val="00FA3BF4"/>
    <w:rsid w:val="00FE0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Bibliography">
    <w:name w:val="Bibliography"/>
    <w:basedOn w:val="Normal"/>
    <w:next w:val="Normal"/>
    <w:uiPriority w:val="37"/>
    <w:semiHidden/>
    <w:unhideWhenUsed/>
    <w:rsid w:val="004B0FC6"/>
  </w:style>
  <w:style w:type="character" w:styleId="Hyperlink">
    <w:name w:val="Hyperlink"/>
    <w:basedOn w:val="DefaultParagraphFont"/>
    <w:uiPriority w:val="99"/>
    <w:unhideWhenUsed/>
    <w:rsid w:val="0086310E"/>
    <w:rPr>
      <w:color w:val="0563C1" w:themeColor="hyperlink"/>
      <w:u w:val="single"/>
    </w:rPr>
  </w:style>
  <w:style w:type="character" w:styleId="CommentReference">
    <w:name w:val="annotation reference"/>
    <w:basedOn w:val="DefaultParagraphFont"/>
    <w:uiPriority w:val="99"/>
    <w:semiHidden/>
    <w:unhideWhenUsed/>
    <w:rsid w:val="00B13214"/>
    <w:rPr>
      <w:sz w:val="16"/>
      <w:szCs w:val="16"/>
    </w:rPr>
  </w:style>
  <w:style w:type="paragraph" w:styleId="CommentText">
    <w:name w:val="annotation text"/>
    <w:basedOn w:val="Normal"/>
    <w:link w:val="CommentTextChar"/>
    <w:uiPriority w:val="99"/>
    <w:unhideWhenUsed/>
    <w:rsid w:val="00B13214"/>
    <w:pPr>
      <w:spacing w:line="240" w:lineRule="auto"/>
    </w:pPr>
    <w:rPr>
      <w:szCs w:val="20"/>
    </w:rPr>
  </w:style>
  <w:style w:type="character" w:customStyle="1" w:styleId="CommentTextChar">
    <w:name w:val="Comment Text Char"/>
    <w:basedOn w:val="DefaultParagraphFont"/>
    <w:link w:val="CommentText"/>
    <w:uiPriority w:val="99"/>
    <w:rsid w:val="00B13214"/>
    <w:rPr>
      <w:rFonts w:ascii="Arial" w:hAnsi="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doi.org/10.1186/s11689-016-9161-x" TargetMode="External"/><Relationship Id="rId12" Type="http://schemas.openxmlformats.org/officeDocument/2006/relationships/hyperlink" Target="https://doi.org/10.1016/j.cpr.2022.102158"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B1AAD205-244E-4EE0-9A04-08DBF62298B0}"/>
</file>

<file path=customXml/itemProps3.xml><?xml version="1.0" encoding="utf-8"?>
<ds:datastoreItem xmlns:ds="http://schemas.openxmlformats.org/officeDocument/2006/customXml" ds:itemID="{4C67E019-F048-4C5B-B91F-64E09500F2ED}"/>
</file>

<file path=customXml/itemProps4.xml><?xml version="1.0" encoding="utf-8"?>
<ds:datastoreItem xmlns:ds="http://schemas.openxmlformats.org/officeDocument/2006/customXml" ds:itemID="{3A3E9E8A-45C7-453C-9984-273F85AF858B}"/>
</file>

<file path=docProps/app.xml><?xml version="1.0" encoding="utf-8"?>
<Properties xmlns="http://schemas.openxmlformats.org/officeDocument/2006/extended-properties" xmlns:vt="http://schemas.openxmlformats.org/officeDocument/2006/docPropsVTypes">
  <Template>Normal</Template>
  <TotalTime>73</TotalTime>
  <Pages>9</Pages>
  <Words>3128</Words>
  <Characters>17835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2025 Gatlinburg Conference Symposium Submission</vt:lpstr>
    </vt:vector>
  </TitlesOfParts>
  <Company>University of Kansas</Company>
  <LinksUpToDate>false</LinksUpToDate>
  <CharactersWithSpaces>20922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Symposium Submission</dc:title>
  <dc:subject/>
  <dc:creator>Hallberg, Lisa K.</dc:creator>
  <cp:keywords/>
  <dc:description/>
  <cp:lastModifiedBy>Caroline Richards (Psychology)</cp:lastModifiedBy>
  <cp:revision>18</cp:revision>
  <dcterms:created xsi:type="dcterms:W3CDTF">2024-10-31T07:07:00Z</dcterms:created>
  <dcterms:modified xsi:type="dcterms:W3CDTF">2024-11-04T06:42:00Z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