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2304964A" w:rsidR="003D6244" w:rsidRPr="009E00A7" w:rsidRDefault="003D6244" w:rsidP="003D6244">
      <w:pPr>
        <w:rPr>
          <w:sz w:val="20"/>
          <w:szCs w:val="20"/>
        </w:rPr>
      </w:pPr>
      <w:r w:rsidRPr="009E00A7">
        <w:rPr>
          <w:b/>
          <w:sz w:val="20"/>
          <w:szCs w:val="20"/>
        </w:rPr>
        <w:t>Title</w:t>
      </w:r>
      <w:r w:rsidRPr="009E00A7">
        <w:rPr>
          <w:sz w:val="20"/>
          <w:szCs w:val="20"/>
        </w:rPr>
        <w:t xml:space="preserve">: </w:t>
      </w:r>
      <w:r w:rsidR="004B1F30">
        <w:rPr>
          <w:sz w:val="20"/>
          <w:szCs w:val="20"/>
        </w:rPr>
        <w:t>U</w:t>
      </w:r>
      <w:r w:rsidR="00F82A7F" w:rsidRPr="00F82A7F">
        <w:rPr>
          <w:sz w:val="20"/>
          <w:szCs w:val="20"/>
        </w:rPr>
        <w:t>se of Wearable Devices in PWS Clinical Trials</w:t>
      </w:r>
      <w:r w:rsidR="004B1F30">
        <w:rPr>
          <w:sz w:val="20"/>
          <w:szCs w:val="20"/>
        </w:rPr>
        <w:t>: Formative Data to Inform a Feasibility Pilot</w:t>
      </w:r>
      <w:r w:rsidR="00F82A7F" w:rsidRPr="00F82A7F">
        <w:rPr>
          <w:sz w:val="20"/>
          <w:szCs w:val="20"/>
        </w:rPr>
        <w:t xml:space="preserve">  </w:t>
      </w:r>
    </w:p>
    <w:p w14:paraId="7AC50371" w14:textId="6CA9C27F" w:rsidR="003D6244" w:rsidRPr="00F82A7F" w:rsidRDefault="003D6244" w:rsidP="003D6244">
      <w:pPr>
        <w:rPr>
          <w:sz w:val="20"/>
          <w:szCs w:val="20"/>
        </w:rPr>
      </w:pPr>
      <w:r w:rsidRPr="009E00A7">
        <w:rPr>
          <w:b/>
          <w:sz w:val="20"/>
          <w:szCs w:val="20"/>
        </w:rPr>
        <w:t>Authors</w:t>
      </w:r>
      <w:r w:rsidRPr="009E00A7">
        <w:rPr>
          <w:sz w:val="20"/>
          <w:szCs w:val="20"/>
        </w:rPr>
        <w:t xml:space="preserve">: </w:t>
      </w:r>
      <w:r w:rsidR="00F82A7F">
        <w:rPr>
          <w:sz w:val="20"/>
          <w:szCs w:val="20"/>
        </w:rPr>
        <w:t>Sara M. Andrews</w:t>
      </w:r>
      <w:r>
        <w:rPr>
          <w:sz w:val="20"/>
          <w:szCs w:val="20"/>
          <w:vertAlign w:val="superscript"/>
        </w:rPr>
        <w:t>1</w:t>
      </w:r>
      <w:r w:rsidRPr="009E00A7">
        <w:rPr>
          <w:sz w:val="20"/>
          <w:szCs w:val="20"/>
        </w:rPr>
        <w:t xml:space="preserve">, </w:t>
      </w:r>
      <w:r w:rsidR="00F82A7F">
        <w:rPr>
          <w:sz w:val="20"/>
          <w:szCs w:val="20"/>
        </w:rPr>
        <w:t>Sean N. Halpin</w:t>
      </w:r>
      <w:r w:rsidR="00F82A7F">
        <w:rPr>
          <w:sz w:val="20"/>
          <w:szCs w:val="20"/>
          <w:vertAlign w:val="superscript"/>
        </w:rPr>
        <w:t>1</w:t>
      </w:r>
      <w:r>
        <w:rPr>
          <w:sz w:val="20"/>
          <w:szCs w:val="20"/>
        </w:rPr>
        <w:t xml:space="preserve">, </w:t>
      </w:r>
      <w:r w:rsidR="00F82A7F">
        <w:rPr>
          <w:sz w:val="20"/>
          <w:szCs w:val="20"/>
        </w:rPr>
        <w:t>Anne Edwards</w:t>
      </w:r>
      <w:r w:rsidR="00F82A7F">
        <w:rPr>
          <w:sz w:val="20"/>
          <w:szCs w:val="20"/>
          <w:vertAlign w:val="superscript"/>
        </w:rPr>
        <w:t>1</w:t>
      </w:r>
      <w:r w:rsidR="00F82A7F">
        <w:rPr>
          <w:sz w:val="20"/>
          <w:szCs w:val="20"/>
        </w:rPr>
        <w:t>, Abby Ragan</w:t>
      </w:r>
      <w:r w:rsidR="00F82A7F" w:rsidRPr="00F82A7F">
        <w:rPr>
          <w:sz w:val="20"/>
          <w:szCs w:val="20"/>
          <w:vertAlign w:val="superscript"/>
        </w:rPr>
        <w:t>1</w:t>
      </w:r>
      <w:r w:rsidR="00F82A7F">
        <w:rPr>
          <w:sz w:val="20"/>
          <w:szCs w:val="20"/>
        </w:rPr>
        <w:t>, Ashley M. Thomas</w:t>
      </w:r>
      <w:r w:rsidR="00F82A7F" w:rsidRPr="00F82A7F">
        <w:rPr>
          <w:sz w:val="20"/>
          <w:szCs w:val="20"/>
          <w:vertAlign w:val="superscript"/>
        </w:rPr>
        <w:t>2</w:t>
      </w:r>
      <w:r w:rsidR="00F82A7F">
        <w:rPr>
          <w:sz w:val="20"/>
          <w:szCs w:val="20"/>
        </w:rPr>
        <w:t>, Marie G. Gantz</w:t>
      </w:r>
      <w:r w:rsidR="00F82A7F" w:rsidRPr="00F82A7F">
        <w:rPr>
          <w:sz w:val="20"/>
          <w:szCs w:val="20"/>
          <w:vertAlign w:val="superscript"/>
        </w:rPr>
        <w:t>1</w:t>
      </w:r>
      <w:r w:rsidR="00F82A7F">
        <w:rPr>
          <w:sz w:val="20"/>
          <w:szCs w:val="20"/>
        </w:rPr>
        <w:t>, Ann O. Scheimann</w:t>
      </w:r>
      <w:r w:rsidR="00F82A7F" w:rsidRPr="00F82A7F">
        <w:rPr>
          <w:sz w:val="20"/>
          <w:szCs w:val="20"/>
          <w:vertAlign w:val="superscript"/>
        </w:rPr>
        <w:t>2</w:t>
      </w:r>
    </w:p>
    <w:p w14:paraId="77FE6733" w14:textId="4AB17BE4"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F82A7F" w:rsidRPr="00F82A7F">
        <w:rPr>
          <w:iCs/>
          <w:color w:val="000000"/>
          <w:sz w:val="20"/>
          <w:szCs w:val="20"/>
        </w:rPr>
        <w:t xml:space="preserve">Directly measured, objective outcomes are needed for Prader-Willi </w:t>
      </w:r>
      <w:r w:rsidR="00F82A7F">
        <w:rPr>
          <w:iCs/>
          <w:color w:val="000000"/>
          <w:sz w:val="20"/>
          <w:szCs w:val="20"/>
        </w:rPr>
        <w:t>s</w:t>
      </w:r>
      <w:r w:rsidR="00F82A7F" w:rsidRPr="00F82A7F">
        <w:rPr>
          <w:iCs/>
          <w:color w:val="000000"/>
          <w:sz w:val="20"/>
          <w:szCs w:val="20"/>
        </w:rPr>
        <w:t xml:space="preserve">yndrome (PWS) clinical trials. Heart rate variability (HRV) has been associated in non-PWS studies with appetite/food exposure, adolescent food cravings and food signals, diseases </w:t>
      </w:r>
      <w:r w:rsidR="00D86C89">
        <w:rPr>
          <w:iCs/>
          <w:color w:val="000000"/>
          <w:sz w:val="20"/>
          <w:szCs w:val="20"/>
        </w:rPr>
        <w:t>such as</w:t>
      </w:r>
      <w:r w:rsidR="00F82A7F" w:rsidRPr="00F82A7F">
        <w:rPr>
          <w:iCs/>
          <w:color w:val="000000"/>
          <w:sz w:val="20"/>
          <w:szCs w:val="20"/>
        </w:rPr>
        <w:t xml:space="preserve"> diabetes, </w:t>
      </w:r>
      <w:r w:rsidR="00D86C89">
        <w:rPr>
          <w:iCs/>
          <w:color w:val="000000"/>
          <w:sz w:val="20"/>
          <w:szCs w:val="20"/>
        </w:rPr>
        <w:t xml:space="preserve">and </w:t>
      </w:r>
      <w:r w:rsidR="00F82A7F" w:rsidRPr="00F82A7F">
        <w:rPr>
          <w:iCs/>
          <w:color w:val="000000"/>
          <w:sz w:val="20"/>
          <w:szCs w:val="20"/>
        </w:rPr>
        <w:t xml:space="preserve">psychiatric disorders </w:t>
      </w:r>
      <w:r w:rsidR="00D86C89">
        <w:rPr>
          <w:iCs/>
          <w:color w:val="000000"/>
          <w:sz w:val="20"/>
          <w:szCs w:val="20"/>
        </w:rPr>
        <w:t>such as</w:t>
      </w:r>
      <w:r w:rsidR="00F82A7F" w:rsidRPr="00F82A7F">
        <w:rPr>
          <w:iCs/>
          <w:color w:val="000000"/>
          <w:sz w:val="20"/>
          <w:szCs w:val="20"/>
        </w:rPr>
        <w:t xml:space="preserve"> binge eating disorder</w:t>
      </w:r>
      <w:r w:rsidR="00D86C89">
        <w:rPr>
          <w:iCs/>
          <w:color w:val="000000"/>
          <w:sz w:val="20"/>
          <w:szCs w:val="20"/>
        </w:rPr>
        <w:t xml:space="preserve"> (</w:t>
      </w:r>
      <w:r w:rsidR="00D927ED">
        <w:rPr>
          <w:iCs/>
          <w:color w:val="000000"/>
          <w:sz w:val="20"/>
          <w:szCs w:val="20"/>
        </w:rPr>
        <w:t xml:space="preserve">Yoshioka &amp; </w:t>
      </w:r>
      <w:proofErr w:type="spellStart"/>
      <w:r w:rsidR="00D927ED">
        <w:rPr>
          <w:iCs/>
          <w:color w:val="000000"/>
          <w:sz w:val="20"/>
          <w:szCs w:val="20"/>
        </w:rPr>
        <w:t>Terasaki</w:t>
      </w:r>
      <w:proofErr w:type="spellEnd"/>
      <w:r w:rsidR="00D927ED">
        <w:rPr>
          <w:iCs/>
          <w:color w:val="000000"/>
          <w:sz w:val="20"/>
          <w:szCs w:val="20"/>
        </w:rPr>
        <w:t xml:space="preserve">, 1994; </w:t>
      </w:r>
      <w:proofErr w:type="spellStart"/>
      <w:r w:rsidR="00D927ED">
        <w:rPr>
          <w:iCs/>
          <w:color w:val="000000"/>
          <w:sz w:val="20"/>
          <w:szCs w:val="20"/>
        </w:rPr>
        <w:t>Friederich</w:t>
      </w:r>
      <w:proofErr w:type="spellEnd"/>
      <w:r w:rsidR="00D927ED">
        <w:rPr>
          <w:iCs/>
          <w:color w:val="000000"/>
          <w:sz w:val="20"/>
          <w:szCs w:val="20"/>
        </w:rPr>
        <w:t xml:space="preserve"> et al., 2006</w:t>
      </w:r>
      <w:r w:rsidR="00D927ED">
        <w:rPr>
          <w:iCs/>
          <w:color w:val="000000"/>
          <w:sz w:val="20"/>
          <w:szCs w:val="20"/>
        </w:rPr>
        <w:t xml:space="preserve">; </w:t>
      </w:r>
      <w:r w:rsidR="00D86C89">
        <w:rPr>
          <w:iCs/>
          <w:color w:val="000000"/>
          <w:sz w:val="20"/>
          <w:szCs w:val="20"/>
        </w:rPr>
        <w:t xml:space="preserve">Green et al., 2009; </w:t>
      </w:r>
      <w:r w:rsidR="00D927ED">
        <w:rPr>
          <w:iCs/>
          <w:color w:val="000000"/>
          <w:sz w:val="20"/>
          <w:szCs w:val="20"/>
        </w:rPr>
        <w:t xml:space="preserve">Udo et al., 2014; </w:t>
      </w:r>
      <w:r w:rsidR="00D86C89">
        <w:rPr>
          <w:iCs/>
          <w:color w:val="000000"/>
          <w:sz w:val="20"/>
          <w:szCs w:val="20"/>
        </w:rPr>
        <w:t>Wu et al., 2020</w:t>
      </w:r>
      <w:r w:rsidR="00F82A7F" w:rsidRPr="00F82A7F">
        <w:rPr>
          <w:iCs/>
          <w:color w:val="000000"/>
          <w:sz w:val="20"/>
          <w:szCs w:val="20"/>
        </w:rPr>
        <w:t>). Alterations in HRV have been reported in small PWS studies that did not use consumer wearable devices (e.g., smartwatches) to collect data</w:t>
      </w:r>
      <w:r w:rsidR="00EC608B">
        <w:rPr>
          <w:iCs/>
          <w:color w:val="000000"/>
          <w:sz w:val="20"/>
          <w:szCs w:val="20"/>
        </w:rPr>
        <w:t xml:space="preserve"> (</w:t>
      </w:r>
      <w:proofErr w:type="spellStart"/>
      <w:r w:rsidR="00EC608B">
        <w:rPr>
          <w:iCs/>
          <w:color w:val="000000"/>
          <w:sz w:val="20"/>
          <w:szCs w:val="20"/>
        </w:rPr>
        <w:t>Purtell</w:t>
      </w:r>
      <w:proofErr w:type="spellEnd"/>
      <w:r w:rsidR="00EC608B">
        <w:rPr>
          <w:iCs/>
          <w:color w:val="000000"/>
          <w:sz w:val="20"/>
          <w:szCs w:val="20"/>
        </w:rPr>
        <w:t xml:space="preserve"> et al., 2013; Wade et al., 2000)</w:t>
      </w:r>
      <w:r w:rsidR="00F82A7F" w:rsidRPr="00F82A7F">
        <w:rPr>
          <w:iCs/>
          <w:color w:val="000000"/>
          <w:sz w:val="20"/>
          <w:szCs w:val="20"/>
        </w:rPr>
        <w:t>. Technological improvements in wearables may make them suitable for collecting HRV and other data in PWS studies.</w:t>
      </w:r>
      <w:r w:rsidR="00F82A7F">
        <w:rPr>
          <w:iCs/>
          <w:color w:val="000000"/>
          <w:sz w:val="20"/>
          <w:szCs w:val="20"/>
        </w:rPr>
        <w:t xml:space="preserve"> Our aim was to assess the feasibility </w:t>
      </w:r>
      <w:r w:rsidR="00F82A7F" w:rsidRPr="00F82A7F">
        <w:rPr>
          <w:iCs/>
          <w:color w:val="000000"/>
          <w:sz w:val="20"/>
          <w:szCs w:val="20"/>
        </w:rPr>
        <w:t>of using wearable devices in PWS studies and formats for collecting daily contextual data from caregivers.</w:t>
      </w:r>
    </w:p>
    <w:p w14:paraId="7AC50373" w14:textId="5C71DB6F"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F82A7F" w:rsidRPr="00F82A7F">
        <w:rPr>
          <w:color w:val="000000"/>
          <w:sz w:val="20"/>
          <w:szCs w:val="20"/>
        </w:rPr>
        <w:t xml:space="preserve">We conducted two focus groups of English-speaking participants: one with parents of a child with PWS aged 7-17 years (n=9), and one with adults living with PWS (n=7). </w:t>
      </w:r>
      <w:r w:rsidR="00F82A7F">
        <w:rPr>
          <w:color w:val="000000"/>
          <w:sz w:val="20"/>
          <w:szCs w:val="20"/>
        </w:rPr>
        <w:t>Focus groups</w:t>
      </w:r>
      <w:r w:rsidR="00F82A7F" w:rsidRPr="00F82A7F">
        <w:rPr>
          <w:color w:val="000000"/>
          <w:sz w:val="20"/>
          <w:szCs w:val="20"/>
        </w:rPr>
        <w:t xml:space="preserve"> were moderated using a semi-structured guide tailored to each group (e.g., reading level). A quasi-deductive analysis was conducted on transcripts to elicit themes.</w:t>
      </w:r>
    </w:p>
    <w:p w14:paraId="7AC50374" w14:textId="7449818F"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F82A7F" w:rsidRPr="00F82A7F">
        <w:rPr>
          <w:color w:val="000000"/>
          <w:sz w:val="20"/>
          <w:szCs w:val="20"/>
        </w:rPr>
        <w:t xml:space="preserve">Parents mostly identified as mothers (78%), were comfortable with technology (100%), and had participated in a PWS clinical trial (78%). Adults with PWS had a median age of 21 years (IQR= 18-28), were mostly female (57%), white (71%), were comfortable with technology (86%), and had participated in a PWS clinical trial (57%). </w:t>
      </w:r>
      <w:r w:rsidR="00F82A7F">
        <w:rPr>
          <w:color w:val="000000"/>
          <w:sz w:val="20"/>
          <w:szCs w:val="20"/>
        </w:rPr>
        <w:t>Participants of both focus groups</w:t>
      </w:r>
      <w:r w:rsidR="00F82A7F" w:rsidRPr="00F82A7F">
        <w:rPr>
          <w:color w:val="000000"/>
          <w:sz w:val="20"/>
          <w:szCs w:val="20"/>
        </w:rPr>
        <w:t xml:space="preserve"> endorsed the feasibility and acceptability of a smartwatch versus a stick-on patch for collecting HRV and other data. Over half of the adults with PWS volunteered that they wear a smartwatch. Those who do not wear it at night agreed that they could. Similarly, most parents reported that a smartwatch would be unintrusive and even desirable for their child with PWS, whereas there were concerns from some about sensory issues, compulsive removal, and lack of engagement (i.e., no screen) with the patch. For daily collection of contextual data, </w:t>
      </w:r>
      <w:r w:rsidR="00F82A7F">
        <w:rPr>
          <w:color w:val="000000"/>
          <w:sz w:val="20"/>
          <w:szCs w:val="20"/>
        </w:rPr>
        <w:t>participants from both focus groups</w:t>
      </w:r>
      <w:r w:rsidR="00F82A7F" w:rsidRPr="00F82A7F">
        <w:rPr>
          <w:color w:val="000000"/>
          <w:sz w:val="20"/>
          <w:szCs w:val="20"/>
        </w:rPr>
        <w:t xml:space="preserve"> preferred flexibility (e.g., email or text). Parents suggested that use of wearables may be less successful in younger children with PWS</w:t>
      </w:r>
      <w:r w:rsidR="00F82A7F">
        <w:rPr>
          <w:color w:val="000000"/>
          <w:sz w:val="20"/>
          <w:szCs w:val="20"/>
        </w:rPr>
        <w:t xml:space="preserve"> and those who are more cognitively impaired</w:t>
      </w:r>
      <w:r w:rsidR="00F82A7F" w:rsidRPr="00F82A7F">
        <w:rPr>
          <w:color w:val="000000"/>
          <w:sz w:val="20"/>
          <w:szCs w:val="20"/>
        </w:rPr>
        <w:t>.</w:t>
      </w:r>
    </w:p>
    <w:p w14:paraId="7AC50375" w14:textId="78497546" w:rsidR="003D6244" w:rsidRPr="004E6CD2" w:rsidRDefault="003D6244" w:rsidP="003D6244">
      <w:pPr>
        <w:rPr>
          <w:color w:val="000000"/>
          <w:sz w:val="20"/>
          <w:szCs w:val="20"/>
          <w:lang w:val="en-GB"/>
        </w:rPr>
      </w:pPr>
      <w:r>
        <w:rPr>
          <w:b/>
          <w:iCs/>
          <w:color w:val="000000"/>
          <w:sz w:val="20"/>
          <w:szCs w:val="20"/>
          <w:lang w:val="en-GB"/>
        </w:rPr>
        <w:t xml:space="preserve">Discussion: </w:t>
      </w:r>
      <w:r w:rsidR="00F82A7F" w:rsidRPr="00F82A7F">
        <w:rPr>
          <w:iCs/>
          <w:color w:val="000000"/>
          <w:sz w:val="20"/>
          <w:szCs w:val="20"/>
        </w:rPr>
        <w:t>A smartwatch was endorsed as acceptable and feasible for collecting HRV data. However, age and functioning level of individuals with PWS should be considered, and contextual data collection options need to be developed and piloted.</w:t>
      </w:r>
      <w:r w:rsidR="00F82A7F">
        <w:rPr>
          <w:iCs/>
          <w:color w:val="000000"/>
          <w:sz w:val="20"/>
          <w:szCs w:val="20"/>
        </w:rPr>
        <w:t xml:space="preserve"> </w:t>
      </w:r>
      <w:proofErr w:type="gramStart"/>
      <w:r w:rsidR="00F82A7F">
        <w:rPr>
          <w:iCs/>
          <w:color w:val="000000"/>
          <w:sz w:val="20"/>
          <w:szCs w:val="20"/>
        </w:rPr>
        <w:t>Future plans</w:t>
      </w:r>
      <w:proofErr w:type="gramEnd"/>
      <w:r w:rsidR="00F82A7F">
        <w:rPr>
          <w:iCs/>
          <w:color w:val="000000"/>
          <w:sz w:val="20"/>
          <w:szCs w:val="20"/>
        </w:rPr>
        <w:t xml:space="preserve"> include a focus group of Spanish-speaking parents </w:t>
      </w:r>
      <w:r w:rsidR="00EC608B">
        <w:rPr>
          <w:iCs/>
          <w:color w:val="000000"/>
          <w:sz w:val="20"/>
          <w:szCs w:val="20"/>
        </w:rPr>
        <w:t xml:space="preserve">to validate or add context to the findings from English-speaking groups </w:t>
      </w:r>
      <w:r w:rsidR="00F82A7F">
        <w:rPr>
          <w:iCs/>
          <w:color w:val="000000"/>
          <w:sz w:val="20"/>
          <w:szCs w:val="20"/>
        </w:rPr>
        <w:t xml:space="preserve">and </w:t>
      </w:r>
      <w:r w:rsidR="00EC608B">
        <w:rPr>
          <w:iCs/>
          <w:color w:val="000000"/>
          <w:sz w:val="20"/>
          <w:szCs w:val="20"/>
        </w:rPr>
        <w:t>a pilot study using smartwatches to measure HRV in adults with PWS in a group home setting</w:t>
      </w:r>
      <w:r w:rsidR="00F463ED">
        <w:rPr>
          <w:iCs/>
          <w:color w:val="000000"/>
          <w:sz w:val="20"/>
          <w:szCs w:val="20"/>
        </w:rPr>
        <w:t xml:space="preserve">. </w:t>
      </w:r>
    </w:p>
    <w:p w14:paraId="7AC50376" w14:textId="44F9FDC6" w:rsidR="003D6244" w:rsidRDefault="003D6244" w:rsidP="003D6244">
      <w:pPr>
        <w:rPr>
          <w:color w:val="000000"/>
          <w:sz w:val="20"/>
          <w:szCs w:val="20"/>
        </w:rPr>
      </w:pPr>
      <w:r w:rsidRPr="00514B99">
        <w:rPr>
          <w:b/>
          <w:color w:val="000000"/>
          <w:sz w:val="20"/>
          <w:szCs w:val="20"/>
          <w:lang w:val="en-GB"/>
        </w:rPr>
        <w:t>References</w:t>
      </w:r>
      <w:r>
        <w:rPr>
          <w:b/>
          <w:color w:val="000000"/>
          <w:sz w:val="20"/>
          <w:szCs w:val="20"/>
          <w:lang w:val="en-GB"/>
        </w:rPr>
        <w:t xml:space="preserve">: </w:t>
      </w:r>
    </w:p>
    <w:p w14:paraId="6B3588B8" w14:textId="3E9E15F5" w:rsidR="00D86C89" w:rsidRPr="00D927ED" w:rsidRDefault="00D86C89" w:rsidP="00D927ED">
      <w:pPr>
        <w:pStyle w:val="ListParagraph"/>
        <w:numPr>
          <w:ilvl w:val="0"/>
          <w:numId w:val="2"/>
        </w:numPr>
        <w:rPr>
          <w:color w:val="000000"/>
          <w:sz w:val="20"/>
          <w:szCs w:val="20"/>
          <w:lang w:val="en-GB"/>
        </w:rPr>
      </w:pPr>
      <w:proofErr w:type="spellStart"/>
      <w:r w:rsidRPr="00D927ED">
        <w:rPr>
          <w:color w:val="000000"/>
          <w:sz w:val="20"/>
          <w:szCs w:val="20"/>
          <w:lang w:val="en-GB"/>
        </w:rPr>
        <w:t>Friederich</w:t>
      </w:r>
      <w:proofErr w:type="spellEnd"/>
      <w:r w:rsidRPr="00D927ED">
        <w:rPr>
          <w:color w:val="000000"/>
          <w:sz w:val="20"/>
          <w:szCs w:val="20"/>
          <w:lang w:val="en-GB"/>
        </w:rPr>
        <w:t xml:space="preserve">, H. C., </w:t>
      </w:r>
      <w:proofErr w:type="spellStart"/>
      <w:r w:rsidRPr="00D927ED">
        <w:rPr>
          <w:color w:val="000000"/>
          <w:sz w:val="20"/>
          <w:szCs w:val="20"/>
          <w:lang w:val="en-GB"/>
        </w:rPr>
        <w:t>Schild</w:t>
      </w:r>
      <w:proofErr w:type="spellEnd"/>
      <w:r w:rsidRPr="00D927ED">
        <w:rPr>
          <w:color w:val="000000"/>
          <w:sz w:val="20"/>
          <w:szCs w:val="20"/>
          <w:lang w:val="en-GB"/>
        </w:rPr>
        <w:t xml:space="preserve">, S., </w:t>
      </w:r>
      <w:proofErr w:type="spellStart"/>
      <w:r w:rsidRPr="00D927ED">
        <w:rPr>
          <w:color w:val="000000"/>
          <w:sz w:val="20"/>
          <w:szCs w:val="20"/>
          <w:lang w:val="en-GB"/>
        </w:rPr>
        <w:t>Schellberg</w:t>
      </w:r>
      <w:proofErr w:type="spellEnd"/>
      <w:r w:rsidRPr="00D927ED">
        <w:rPr>
          <w:color w:val="000000"/>
          <w:sz w:val="20"/>
          <w:szCs w:val="20"/>
          <w:lang w:val="en-GB"/>
        </w:rPr>
        <w:t xml:space="preserve">, D., </w:t>
      </w:r>
      <w:proofErr w:type="spellStart"/>
      <w:r w:rsidRPr="00D927ED">
        <w:rPr>
          <w:color w:val="000000"/>
          <w:sz w:val="20"/>
          <w:szCs w:val="20"/>
          <w:lang w:val="en-GB"/>
        </w:rPr>
        <w:t>Quenter</w:t>
      </w:r>
      <w:proofErr w:type="spellEnd"/>
      <w:r w:rsidRPr="00D927ED">
        <w:rPr>
          <w:color w:val="000000"/>
          <w:sz w:val="20"/>
          <w:szCs w:val="20"/>
          <w:lang w:val="en-GB"/>
        </w:rPr>
        <w:t xml:space="preserve">, A., Bode, C., Herzog, W., &amp; Zipfel, S. (2006). Cardiac parasympathetic regulation in obese women with binge eating disorder. </w:t>
      </w:r>
      <w:r w:rsidRPr="00D927ED">
        <w:rPr>
          <w:i/>
          <w:iCs/>
          <w:color w:val="000000"/>
          <w:sz w:val="20"/>
          <w:szCs w:val="20"/>
          <w:lang w:val="en-GB"/>
        </w:rPr>
        <w:t>International journal of obesity (2005), 30</w:t>
      </w:r>
      <w:r w:rsidRPr="00D927ED">
        <w:rPr>
          <w:color w:val="000000"/>
          <w:sz w:val="20"/>
          <w:szCs w:val="20"/>
          <w:lang w:val="en-GB"/>
        </w:rPr>
        <w:t xml:space="preserve">(3), 534–542. </w:t>
      </w:r>
      <w:hyperlink r:id="rId10" w:history="1">
        <w:r w:rsidRPr="00D927ED">
          <w:rPr>
            <w:rStyle w:val="Hyperlink"/>
            <w:sz w:val="20"/>
            <w:szCs w:val="20"/>
            <w:lang w:val="en-GB"/>
          </w:rPr>
          <w:t>https://doi.org/10.1038/sj.ijo.0803181</w:t>
        </w:r>
      </w:hyperlink>
      <w:r w:rsidRPr="00D927ED">
        <w:rPr>
          <w:color w:val="000000"/>
          <w:sz w:val="20"/>
          <w:szCs w:val="20"/>
          <w:lang w:val="en-GB"/>
        </w:rPr>
        <w:t xml:space="preserve">  </w:t>
      </w:r>
    </w:p>
    <w:p w14:paraId="468A94CC" w14:textId="2F101B97" w:rsidR="00D86C89" w:rsidRPr="00D927ED" w:rsidRDefault="00D86C89" w:rsidP="00D927ED">
      <w:pPr>
        <w:pStyle w:val="ListParagraph"/>
        <w:numPr>
          <w:ilvl w:val="0"/>
          <w:numId w:val="2"/>
        </w:numPr>
        <w:rPr>
          <w:color w:val="000000"/>
          <w:sz w:val="20"/>
          <w:szCs w:val="20"/>
          <w:lang w:val="en-GB"/>
        </w:rPr>
      </w:pPr>
      <w:r w:rsidRPr="00D927ED">
        <w:rPr>
          <w:color w:val="000000"/>
          <w:sz w:val="20"/>
          <w:szCs w:val="20"/>
          <w:lang w:val="en-GB"/>
        </w:rPr>
        <w:t xml:space="preserve">Green, M. A., </w:t>
      </w:r>
      <w:proofErr w:type="spellStart"/>
      <w:r w:rsidRPr="00D927ED">
        <w:rPr>
          <w:color w:val="000000"/>
          <w:sz w:val="20"/>
          <w:szCs w:val="20"/>
          <w:lang w:val="en-GB"/>
        </w:rPr>
        <w:t>Hallengren</w:t>
      </w:r>
      <w:proofErr w:type="spellEnd"/>
      <w:r w:rsidRPr="00D927ED">
        <w:rPr>
          <w:color w:val="000000"/>
          <w:sz w:val="20"/>
          <w:szCs w:val="20"/>
          <w:lang w:val="en-GB"/>
        </w:rPr>
        <w:t xml:space="preserve">, J. J., Davids, C. M., </w:t>
      </w:r>
      <w:proofErr w:type="spellStart"/>
      <w:r w:rsidRPr="00D927ED">
        <w:rPr>
          <w:color w:val="000000"/>
          <w:sz w:val="20"/>
          <w:szCs w:val="20"/>
          <w:lang w:val="en-GB"/>
        </w:rPr>
        <w:t>Riopel</w:t>
      </w:r>
      <w:proofErr w:type="spellEnd"/>
      <w:r w:rsidRPr="00D927ED">
        <w:rPr>
          <w:color w:val="000000"/>
          <w:sz w:val="20"/>
          <w:szCs w:val="20"/>
          <w:lang w:val="en-GB"/>
        </w:rPr>
        <w:t xml:space="preserve">, C. M., &amp; Skaggs, A. K. (2009). An association between eating disorder </w:t>
      </w:r>
      <w:proofErr w:type="spellStart"/>
      <w:r w:rsidRPr="00D927ED">
        <w:rPr>
          <w:color w:val="000000"/>
          <w:sz w:val="20"/>
          <w:szCs w:val="20"/>
          <w:lang w:val="en-GB"/>
        </w:rPr>
        <w:t>behaviors</w:t>
      </w:r>
      <w:proofErr w:type="spellEnd"/>
      <w:r w:rsidRPr="00D927ED">
        <w:rPr>
          <w:color w:val="000000"/>
          <w:sz w:val="20"/>
          <w:szCs w:val="20"/>
          <w:lang w:val="en-GB"/>
        </w:rPr>
        <w:t xml:space="preserve"> and autonomic dysfunction in a nonclinical population. A pilot </w:t>
      </w:r>
      <w:proofErr w:type="gramStart"/>
      <w:r w:rsidRPr="00D927ED">
        <w:rPr>
          <w:color w:val="000000"/>
          <w:sz w:val="20"/>
          <w:szCs w:val="20"/>
          <w:lang w:val="en-GB"/>
        </w:rPr>
        <w:t>study</w:t>
      </w:r>
      <w:proofErr w:type="gramEnd"/>
      <w:r w:rsidRPr="00D927ED">
        <w:rPr>
          <w:color w:val="000000"/>
          <w:sz w:val="20"/>
          <w:szCs w:val="20"/>
          <w:lang w:val="en-GB"/>
        </w:rPr>
        <w:t xml:space="preserve">. </w:t>
      </w:r>
      <w:r w:rsidRPr="00D927ED">
        <w:rPr>
          <w:i/>
          <w:iCs/>
          <w:color w:val="000000"/>
          <w:sz w:val="20"/>
          <w:szCs w:val="20"/>
          <w:lang w:val="en-GB"/>
        </w:rPr>
        <w:t>Appetite, 53</w:t>
      </w:r>
      <w:r w:rsidRPr="00D927ED">
        <w:rPr>
          <w:color w:val="000000"/>
          <w:sz w:val="20"/>
          <w:szCs w:val="20"/>
          <w:lang w:val="en-GB"/>
        </w:rPr>
        <w:t xml:space="preserve">(1), 139–142. </w:t>
      </w:r>
      <w:hyperlink r:id="rId11" w:history="1">
        <w:r w:rsidRPr="00D927ED">
          <w:rPr>
            <w:rStyle w:val="Hyperlink"/>
            <w:sz w:val="20"/>
            <w:szCs w:val="20"/>
            <w:lang w:val="en-GB"/>
          </w:rPr>
          <w:t>https://doi.org/10.1016/j.appet.2009.05.005</w:t>
        </w:r>
      </w:hyperlink>
      <w:r w:rsidRPr="00D927ED">
        <w:rPr>
          <w:color w:val="000000"/>
          <w:sz w:val="20"/>
          <w:szCs w:val="20"/>
          <w:lang w:val="en-GB"/>
        </w:rPr>
        <w:t xml:space="preserve"> </w:t>
      </w:r>
    </w:p>
    <w:p w14:paraId="70635AF0" w14:textId="1E1583E4" w:rsidR="00EC608B" w:rsidRPr="00D927ED" w:rsidRDefault="00EC608B" w:rsidP="00D927ED">
      <w:pPr>
        <w:pStyle w:val="ListParagraph"/>
        <w:numPr>
          <w:ilvl w:val="0"/>
          <w:numId w:val="2"/>
        </w:numPr>
        <w:rPr>
          <w:color w:val="000000"/>
          <w:sz w:val="20"/>
          <w:szCs w:val="20"/>
          <w:lang w:val="en-GB"/>
        </w:rPr>
      </w:pPr>
      <w:proofErr w:type="spellStart"/>
      <w:r w:rsidRPr="00D927ED">
        <w:rPr>
          <w:color w:val="000000"/>
          <w:sz w:val="20"/>
          <w:szCs w:val="20"/>
          <w:lang w:val="en-GB"/>
        </w:rPr>
        <w:t>Purtell</w:t>
      </w:r>
      <w:proofErr w:type="spellEnd"/>
      <w:r w:rsidRPr="00D927ED">
        <w:rPr>
          <w:color w:val="000000"/>
          <w:sz w:val="20"/>
          <w:szCs w:val="20"/>
          <w:lang w:val="en-GB"/>
        </w:rPr>
        <w:t xml:space="preserve">, L., Jenkins, A., </w:t>
      </w:r>
      <w:proofErr w:type="spellStart"/>
      <w:r w:rsidRPr="00D927ED">
        <w:rPr>
          <w:color w:val="000000"/>
          <w:sz w:val="20"/>
          <w:szCs w:val="20"/>
          <w:lang w:val="en-GB"/>
        </w:rPr>
        <w:t>Viardot</w:t>
      </w:r>
      <w:proofErr w:type="spellEnd"/>
      <w:r w:rsidRPr="00D927ED">
        <w:rPr>
          <w:color w:val="000000"/>
          <w:sz w:val="20"/>
          <w:szCs w:val="20"/>
          <w:lang w:val="en-GB"/>
        </w:rPr>
        <w:t xml:space="preserve">, A., Herzog, H., Sainsbury, A., Smith, A., Loughnan, G., Steinbeck, K., Campbell, L. V., &amp; Sze, L. (2013). Postprandial cardiac autonomic function in Prader-Willi syndrome. </w:t>
      </w:r>
      <w:r w:rsidRPr="00D927ED">
        <w:rPr>
          <w:i/>
          <w:iCs/>
          <w:color w:val="000000"/>
          <w:sz w:val="20"/>
          <w:szCs w:val="20"/>
          <w:lang w:val="en-GB"/>
        </w:rPr>
        <w:t>Clinical endocrinology, 79</w:t>
      </w:r>
      <w:r w:rsidRPr="00D927ED">
        <w:rPr>
          <w:color w:val="000000"/>
          <w:sz w:val="20"/>
          <w:szCs w:val="20"/>
          <w:lang w:val="en-GB"/>
        </w:rPr>
        <w:t xml:space="preserve">(1), 128–133. </w:t>
      </w:r>
      <w:hyperlink r:id="rId12" w:history="1">
        <w:r w:rsidRPr="00D927ED">
          <w:rPr>
            <w:rStyle w:val="Hyperlink"/>
            <w:sz w:val="20"/>
            <w:szCs w:val="20"/>
            <w:lang w:val="en-GB"/>
          </w:rPr>
          <w:t>https://doi.org/10.1111/cen.12084</w:t>
        </w:r>
      </w:hyperlink>
      <w:r w:rsidRPr="00D927ED">
        <w:rPr>
          <w:color w:val="000000"/>
          <w:sz w:val="20"/>
          <w:szCs w:val="20"/>
          <w:lang w:val="en-GB"/>
        </w:rPr>
        <w:t xml:space="preserve">  </w:t>
      </w:r>
    </w:p>
    <w:p w14:paraId="2D1C89E3" w14:textId="3CF75F5C" w:rsidR="00D927ED" w:rsidRPr="00D927ED" w:rsidRDefault="00D927ED" w:rsidP="00D927ED">
      <w:pPr>
        <w:pStyle w:val="ListParagraph"/>
        <w:numPr>
          <w:ilvl w:val="0"/>
          <w:numId w:val="2"/>
        </w:numPr>
        <w:rPr>
          <w:color w:val="000000"/>
          <w:sz w:val="20"/>
          <w:szCs w:val="20"/>
          <w:lang w:val="en-GB"/>
        </w:rPr>
      </w:pPr>
      <w:r w:rsidRPr="00D927ED">
        <w:rPr>
          <w:color w:val="000000"/>
          <w:sz w:val="20"/>
          <w:szCs w:val="20"/>
          <w:lang w:val="en-GB"/>
        </w:rPr>
        <w:t xml:space="preserve">Udo, T., Weinberger, A. H., </w:t>
      </w:r>
      <w:proofErr w:type="spellStart"/>
      <w:r w:rsidRPr="00D927ED">
        <w:rPr>
          <w:color w:val="000000"/>
          <w:sz w:val="20"/>
          <w:szCs w:val="20"/>
          <w:lang w:val="en-GB"/>
        </w:rPr>
        <w:t>Grilo</w:t>
      </w:r>
      <w:proofErr w:type="spellEnd"/>
      <w:r w:rsidRPr="00D927ED">
        <w:rPr>
          <w:color w:val="000000"/>
          <w:sz w:val="20"/>
          <w:szCs w:val="20"/>
          <w:lang w:val="en-GB"/>
        </w:rPr>
        <w:t xml:space="preserve">, C. M., Brownell, K. D., </w:t>
      </w:r>
      <w:proofErr w:type="spellStart"/>
      <w:r w:rsidRPr="00D927ED">
        <w:rPr>
          <w:color w:val="000000"/>
          <w:sz w:val="20"/>
          <w:szCs w:val="20"/>
          <w:lang w:val="en-GB"/>
        </w:rPr>
        <w:t>DiLeone</w:t>
      </w:r>
      <w:proofErr w:type="spellEnd"/>
      <w:r w:rsidRPr="00D927ED">
        <w:rPr>
          <w:color w:val="000000"/>
          <w:sz w:val="20"/>
          <w:szCs w:val="20"/>
          <w:lang w:val="en-GB"/>
        </w:rPr>
        <w:t xml:space="preserve">, R. J., Lampert, R., Matlin, S. L., Yanagisawa, K., &amp; McKee, S. A. (2014). Heightened vagal activity during high-calorie food presentation in obese compared with non-obese individuals--results of a pilot study. </w:t>
      </w:r>
      <w:r w:rsidRPr="00D927ED">
        <w:rPr>
          <w:i/>
          <w:iCs/>
          <w:color w:val="000000"/>
          <w:sz w:val="20"/>
          <w:szCs w:val="20"/>
          <w:lang w:val="en-GB"/>
        </w:rPr>
        <w:t>Obesity research &amp; clinical practice, 8</w:t>
      </w:r>
      <w:r w:rsidRPr="00D927ED">
        <w:rPr>
          <w:color w:val="000000"/>
          <w:sz w:val="20"/>
          <w:szCs w:val="20"/>
          <w:lang w:val="en-GB"/>
        </w:rPr>
        <w:t xml:space="preserve">(3), e201–e298. </w:t>
      </w:r>
      <w:hyperlink r:id="rId13" w:history="1">
        <w:r w:rsidRPr="00D927ED">
          <w:rPr>
            <w:rStyle w:val="Hyperlink"/>
            <w:sz w:val="20"/>
            <w:szCs w:val="20"/>
            <w:lang w:val="en-GB"/>
          </w:rPr>
          <w:t>https://doi.org/10.1016/j.orcp.2013.05.006</w:t>
        </w:r>
      </w:hyperlink>
      <w:r w:rsidRPr="00D927ED">
        <w:rPr>
          <w:color w:val="000000"/>
          <w:sz w:val="20"/>
          <w:szCs w:val="20"/>
          <w:lang w:val="en-GB"/>
        </w:rPr>
        <w:t xml:space="preserve">  </w:t>
      </w:r>
    </w:p>
    <w:p w14:paraId="1105C87A" w14:textId="32C968E2" w:rsidR="00EC608B" w:rsidRPr="00D927ED" w:rsidRDefault="00EC608B" w:rsidP="00D927ED">
      <w:pPr>
        <w:pStyle w:val="ListParagraph"/>
        <w:numPr>
          <w:ilvl w:val="0"/>
          <w:numId w:val="2"/>
        </w:numPr>
        <w:rPr>
          <w:color w:val="000000"/>
          <w:sz w:val="20"/>
          <w:szCs w:val="20"/>
          <w:lang w:val="en-GB"/>
        </w:rPr>
      </w:pPr>
      <w:r w:rsidRPr="00D927ED">
        <w:rPr>
          <w:color w:val="000000"/>
          <w:sz w:val="20"/>
          <w:szCs w:val="20"/>
          <w:lang w:val="en-GB"/>
        </w:rPr>
        <w:lastRenderedPageBreak/>
        <w:t xml:space="preserve">Wade, C. K., De </w:t>
      </w:r>
      <w:proofErr w:type="spellStart"/>
      <w:r w:rsidRPr="00D927ED">
        <w:rPr>
          <w:color w:val="000000"/>
          <w:sz w:val="20"/>
          <w:szCs w:val="20"/>
          <w:lang w:val="en-GB"/>
        </w:rPr>
        <w:t>Meersman</w:t>
      </w:r>
      <w:proofErr w:type="spellEnd"/>
      <w:r w:rsidRPr="00D927ED">
        <w:rPr>
          <w:color w:val="000000"/>
          <w:sz w:val="20"/>
          <w:szCs w:val="20"/>
          <w:lang w:val="en-GB"/>
        </w:rPr>
        <w:t xml:space="preserve">, R. E., Angulo, M., Lieberman, J. S., &amp; Downey, J. A. (2000). </w:t>
      </w:r>
      <w:proofErr w:type="spellStart"/>
      <w:r w:rsidRPr="00D927ED">
        <w:rPr>
          <w:color w:val="000000"/>
          <w:sz w:val="20"/>
          <w:szCs w:val="20"/>
          <w:lang w:val="en-GB"/>
        </w:rPr>
        <w:t>Präder</w:t>
      </w:r>
      <w:proofErr w:type="spellEnd"/>
      <w:r w:rsidRPr="00D927ED">
        <w:rPr>
          <w:color w:val="000000"/>
          <w:sz w:val="20"/>
          <w:szCs w:val="20"/>
          <w:lang w:val="en-GB"/>
        </w:rPr>
        <w:t xml:space="preserve">-Willi syndrome fails to alter cardiac autonomic modulation. </w:t>
      </w:r>
      <w:r w:rsidRPr="00D927ED">
        <w:rPr>
          <w:i/>
          <w:iCs/>
          <w:color w:val="000000"/>
          <w:sz w:val="20"/>
          <w:szCs w:val="20"/>
          <w:lang w:val="en-GB"/>
        </w:rPr>
        <w:t xml:space="preserve">Clinical autonomic </w:t>
      </w:r>
      <w:proofErr w:type="gramStart"/>
      <w:r w:rsidRPr="00D927ED">
        <w:rPr>
          <w:i/>
          <w:iCs/>
          <w:color w:val="000000"/>
          <w:sz w:val="20"/>
          <w:szCs w:val="20"/>
          <w:lang w:val="en-GB"/>
        </w:rPr>
        <w:t>research :</w:t>
      </w:r>
      <w:proofErr w:type="gramEnd"/>
      <w:r w:rsidRPr="00D927ED">
        <w:rPr>
          <w:i/>
          <w:iCs/>
          <w:color w:val="000000"/>
          <w:sz w:val="20"/>
          <w:szCs w:val="20"/>
          <w:lang w:val="en-GB"/>
        </w:rPr>
        <w:t xml:space="preserve"> official journal of the Clinical Autonomic Research Society, 10</w:t>
      </w:r>
      <w:r w:rsidRPr="00D927ED">
        <w:rPr>
          <w:color w:val="000000"/>
          <w:sz w:val="20"/>
          <w:szCs w:val="20"/>
          <w:lang w:val="en-GB"/>
        </w:rPr>
        <w:t xml:space="preserve">(4), 203–206. </w:t>
      </w:r>
      <w:hyperlink r:id="rId14" w:history="1">
        <w:r w:rsidRPr="00D927ED">
          <w:rPr>
            <w:rStyle w:val="Hyperlink"/>
            <w:sz w:val="20"/>
            <w:szCs w:val="20"/>
            <w:lang w:val="en-GB"/>
          </w:rPr>
          <w:t>https://doi.org/10.1007/BF02291357</w:t>
        </w:r>
      </w:hyperlink>
      <w:r w:rsidRPr="00D927ED">
        <w:rPr>
          <w:color w:val="000000"/>
          <w:sz w:val="20"/>
          <w:szCs w:val="20"/>
          <w:lang w:val="en-GB"/>
        </w:rPr>
        <w:t xml:space="preserve">   </w:t>
      </w:r>
    </w:p>
    <w:p w14:paraId="4B50A775" w14:textId="70CB7146" w:rsidR="00D86C89" w:rsidRPr="00D927ED" w:rsidRDefault="00D86C89" w:rsidP="00D927ED">
      <w:pPr>
        <w:pStyle w:val="ListParagraph"/>
        <w:numPr>
          <w:ilvl w:val="0"/>
          <w:numId w:val="2"/>
        </w:numPr>
        <w:rPr>
          <w:color w:val="000000"/>
          <w:sz w:val="20"/>
          <w:szCs w:val="20"/>
          <w:lang w:val="en-GB"/>
        </w:rPr>
      </w:pPr>
      <w:r w:rsidRPr="00D927ED">
        <w:rPr>
          <w:color w:val="000000"/>
          <w:sz w:val="20"/>
          <w:szCs w:val="20"/>
          <w:lang w:val="en-GB"/>
        </w:rPr>
        <w:t xml:space="preserve">Wu, J., </w:t>
      </w:r>
      <w:proofErr w:type="spellStart"/>
      <w:r w:rsidRPr="00D927ED">
        <w:rPr>
          <w:color w:val="000000"/>
          <w:sz w:val="20"/>
          <w:szCs w:val="20"/>
          <w:lang w:val="en-GB"/>
        </w:rPr>
        <w:t>Pierart</w:t>
      </w:r>
      <w:proofErr w:type="spellEnd"/>
      <w:r w:rsidRPr="00D927ED">
        <w:rPr>
          <w:color w:val="000000"/>
          <w:sz w:val="20"/>
          <w:szCs w:val="20"/>
          <w:lang w:val="en-GB"/>
        </w:rPr>
        <w:t xml:space="preserve">, C., Chaplin, T. M., </w:t>
      </w:r>
      <w:proofErr w:type="spellStart"/>
      <w:r w:rsidRPr="00D927ED">
        <w:rPr>
          <w:color w:val="000000"/>
          <w:sz w:val="20"/>
          <w:szCs w:val="20"/>
          <w:lang w:val="en-GB"/>
        </w:rPr>
        <w:t>Hommer</w:t>
      </w:r>
      <w:proofErr w:type="spellEnd"/>
      <w:r w:rsidRPr="00D927ED">
        <w:rPr>
          <w:color w:val="000000"/>
          <w:sz w:val="20"/>
          <w:szCs w:val="20"/>
          <w:lang w:val="en-GB"/>
        </w:rPr>
        <w:t xml:space="preserve">, R. E., Mayes, L. C., &amp; Crowley, M. J. (2020). Getting to the heart of food craving with resting heart rate variability in adolescents. </w:t>
      </w:r>
      <w:r w:rsidRPr="00D927ED">
        <w:rPr>
          <w:i/>
          <w:iCs/>
          <w:color w:val="000000"/>
          <w:sz w:val="20"/>
          <w:szCs w:val="20"/>
          <w:lang w:val="en-GB"/>
        </w:rPr>
        <w:t>Appetite, 155</w:t>
      </w:r>
      <w:r w:rsidRPr="00D927ED">
        <w:rPr>
          <w:color w:val="000000"/>
          <w:sz w:val="20"/>
          <w:szCs w:val="20"/>
          <w:lang w:val="en-GB"/>
        </w:rPr>
        <w:t xml:space="preserve">, 104816. </w:t>
      </w:r>
      <w:hyperlink r:id="rId15" w:history="1">
        <w:r w:rsidRPr="00D927ED">
          <w:rPr>
            <w:rStyle w:val="Hyperlink"/>
            <w:sz w:val="20"/>
            <w:szCs w:val="20"/>
            <w:lang w:val="en-GB"/>
          </w:rPr>
          <w:t>https://doi.org/10.1016/j.appet.2020.104816</w:t>
        </w:r>
      </w:hyperlink>
      <w:r w:rsidRPr="00D927ED">
        <w:rPr>
          <w:color w:val="000000"/>
          <w:sz w:val="20"/>
          <w:szCs w:val="20"/>
          <w:lang w:val="en-GB"/>
        </w:rPr>
        <w:t xml:space="preserve"> </w:t>
      </w:r>
    </w:p>
    <w:p w14:paraId="095BFD54" w14:textId="04B07C13" w:rsidR="00D86C89" w:rsidRPr="00D927ED" w:rsidRDefault="00D86C89" w:rsidP="00D927ED">
      <w:pPr>
        <w:pStyle w:val="ListParagraph"/>
        <w:numPr>
          <w:ilvl w:val="0"/>
          <w:numId w:val="2"/>
        </w:numPr>
        <w:rPr>
          <w:color w:val="000000"/>
          <w:sz w:val="20"/>
          <w:szCs w:val="20"/>
          <w:lang w:val="en-GB"/>
        </w:rPr>
      </w:pPr>
      <w:r w:rsidRPr="00D927ED">
        <w:rPr>
          <w:color w:val="000000"/>
          <w:sz w:val="20"/>
          <w:szCs w:val="20"/>
          <w:lang w:val="en-GB"/>
        </w:rPr>
        <w:t xml:space="preserve">Yoshioka, K., &amp; </w:t>
      </w:r>
      <w:proofErr w:type="spellStart"/>
      <w:r w:rsidRPr="00D927ED">
        <w:rPr>
          <w:color w:val="000000"/>
          <w:sz w:val="20"/>
          <w:szCs w:val="20"/>
          <w:lang w:val="en-GB"/>
        </w:rPr>
        <w:t>Terasaki</w:t>
      </w:r>
      <w:proofErr w:type="spellEnd"/>
      <w:r w:rsidRPr="00D927ED">
        <w:rPr>
          <w:color w:val="000000"/>
          <w:sz w:val="20"/>
          <w:szCs w:val="20"/>
          <w:lang w:val="en-GB"/>
        </w:rPr>
        <w:t xml:space="preserve">, J. (1994). Relationship between diabetic autonomic neuropathy and peripheral neuropathy as assessed by power spectral analysis of heart rate variations and vibratory perception thresholds. </w:t>
      </w:r>
      <w:r w:rsidRPr="00D927ED">
        <w:rPr>
          <w:i/>
          <w:iCs/>
          <w:color w:val="000000"/>
          <w:sz w:val="20"/>
          <w:szCs w:val="20"/>
          <w:lang w:val="en-GB"/>
        </w:rPr>
        <w:t>Diabetes research and clinical practice, 24</w:t>
      </w:r>
      <w:r w:rsidRPr="00D927ED">
        <w:rPr>
          <w:color w:val="000000"/>
          <w:sz w:val="20"/>
          <w:szCs w:val="20"/>
          <w:lang w:val="en-GB"/>
        </w:rPr>
        <w:t>(1), 9–14. https://doi.org/10.1016/0168-8227(94)90080-9</w:t>
      </w:r>
    </w:p>
    <w:p w14:paraId="7AC50377" w14:textId="3C0ACC03" w:rsidR="003D6244" w:rsidRPr="008B1E03" w:rsidRDefault="003D6244" w:rsidP="003D6244">
      <w:pPr>
        <w:pStyle w:val="FootnoteText"/>
        <w:rPr>
          <w:lang w:val="en-CA"/>
        </w:rPr>
      </w:pPr>
      <w:r w:rsidRPr="008B1E03">
        <w:rPr>
          <w:rStyle w:val="FootnoteReference"/>
        </w:rPr>
        <w:footnoteRef/>
      </w:r>
      <w:r w:rsidRPr="008B1E03">
        <w:t xml:space="preserve"> </w:t>
      </w:r>
      <w:r w:rsidR="00F82A7F">
        <w:rPr>
          <w:lang w:val="en-CA"/>
        </w:rPr>
        <w:t>RTI International</w:t>
      </w:r>
    </w:p>
    <w:p w14:paraId="7AC50378" w14:textId="19EB6311" w:rsidR="003D6244" w:rsidRPr="008B1E03" w:rsidRDefault="003D6244" w:rsidP="003D6244">
      <w:pPr>
        <w:pStyle w:val="FootnoteText"/>
        <w:rPr>
          <w:lang w:val="en-CA"/>
        </w:rPr>
      </w:pPr>
      <w:r>
        <w:rPr>
          <w:rStyle w:val="FootnoteReference"/>
        </w:rPr>
        <w:t>2</w:t>
      </w:r>
      <w:r w:rsidRPr="008B1E03">
        <w:t xml:space="preserve"> </w:t>
      </w:r>
      <w:r w:rsidR="00F82A7F">
        <w:rPr>
          <w:lang w:val="en-CA"/>
        </w:rPr>
        <w:t>Johns Hopkins School of Medicine</w:t>
      </w:r>
    </w:p>
    <w:p w14:paraId="7AC5037A" w14:textId="77777777" w:rsidR="001C735E" w:rsidRPr="003D6244" w:rsidRDefault="001C735E" w:rsidP="003D6244"/>
    <w:sectPr w:rsidR="001C735E" w:rsidRPr="003D6244" w:rsidSect="00394E2C">
      <w:headerReference w:type="default" r:id="rId16"/>
      <w:footerReference w:type="default" r:id="rId17"/>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9A29" w14:textId="77777777" w:rsidR="00770B40" w:rsidRDefault="00770B40" w:rsidP="00A16498">
      <w:pPr>
        <w:spacing w:after="0" w:line="240" w:lineRule="auto"/>
      </w:pPr>
      <w:r>
        <w:separator/>
      </w:r>
    </w:p>
  </w:endnote>
  <w:endnote w:type="continuationSeparator" w:id="0">
    <w:p w14:paraId="26F80056" w14:textId="77777777" w:rsidR="00770B40" w:rsidRDefault="00770B40"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0D3F" w14:textId="77777777" w:rsidR="00770B40" w:rsidRDefault="00770B40" w:rsidP="00A16498">
      <w:pPr>
        <w:spacing w:after="0" w:line="240" w:lineRule="auto"/>
      </w:pPr>
      <w:r>
        <w:separator/>
      </w:r>
    </w:p>
  </w:footnote>
  <w:footnote w:type="continuationSeparator" w:id="0">
    <w:p w14:paraId="2628350C" w14:textId="77777777" w:rsidR="00770B40" w:rsidRDefault="00770B40"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2561F1DF" w:rsidR="00A16498" w:rsidRDefault="00F82A7F">
    <w:pPr>
      <w:pStyle w:val="Header"/>
    </w:pPr>
    <w:r>
      <w:rPr>
        <w:noProof/>
      </w:rPr>
      <mc:AlternateContent>
        <mc:Choice Requires="wps">
          <w:drawing>
            <wp:anchor distT="0" distB="0" distL="114300" distR="114300" simplePos="0" relativeHeight="251659264" behindDoc="0" locked="0" layoutInCell="1" allowOverlap="1" wp14:anchorId="3988AD5D" wp14:editId="7B2F8A62">
              <wp:simplePos x="0" y="0"/>
              <wp:positionH relativeFrom="column">
                <wp:posOffset>-21590</wp:posOffset>
              </wp:positionH>
              <wp:positionV relativeFrom="paragraph">
                <wp:posOffset>-228600</wp:posOffset>
              </wp:positionV>
              <wp:extent cx="5371689" cy="457200"/>
              <wp:effectExtent l="0" t="0" r="19685" b="1905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3988AD5D" id="Rectangle 197" o:spid="_x0000_s1026" style="position:absolute;margin-left:-1.7pt;margin-top:-18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775F8"/>
    <w:multiLevelType w:val="hybridMultilevel"/>
    <w:tmpl w:val="EF9CD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0652626">
    <w:abstractNumId w:val="0"/>
  </w:num>
  <w:num w:numId="2" w16cid:durableId="63494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73AC"/>
    <w:rsid w:val="00452576"/>
    <w:rsid w:val="0045428A"/>
    <w:rsid w:val="004B1F30"/>
    <w:rsid w:val="00550360"/>
    <w:rsid w:val="00577DC4"/>
    <w:rsid w:val="005F3158"/>
    <w:rsid w:val="00625543"/>
    <w:rsid w:val="006535AF"/>
    <w:rsid w:val="006637E7"/>
    <w:rsid w:val="006C05DD"/>
    <w:rsid w:val="00751FEE"/>
    <w:rsid w:val="00770B40"/>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F3CDF"/>
    <w:rsid w:val="00D46241"/>
    <w:rsid w:val="00D60D08"/>
    <w:rsid w:val="00D86C89"/>
    <w:rsid w:val="00D927ED"/>
    <w:rsid w:val="00DC15FA"/>
    <w:rsid w:val="00E15391"/>
    <w:rsid w:val="00EC1345"/>
    <w:rsid w:val="00EC608B"/>
    <w:rsid w:val="00F023E6"/>
    <w:rsid w:val="00F2162A"/>
    <w:rsid w:val="00F463ED"/>
    <w:rsid w:val="00F82A7F"/>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D86C89"/>
    <w:rPr>
      <w:color w:val="0000FF" w:themeColor="hyperlink"/>
      <w:u w:val="single"/>
    </w:rPr>
  </w:style>
  <w:style w:type="character" w:styleId="UnresolvedMention">
    <w:name w:val="Unresolved Mention"/>
    <w:basedOn w:val="DefaultParagraphFont"/>
    <w:uiPriority w:val="99"/>
    <w:semiHidden/>
    <w:unhideWhenUsed/>
    <w:rsid w:val="00D86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j.orcp.2013.05.00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11/cen.1208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appet.2009.05.005" TargetMode="External"/><Relationship Id="rId5" Type="http://schemas.openxmlformats.org/officeDocument/2006/relationships/styles" Target="styles.xml"/><Relationship Id="rId15" Type="http://schemas.openxmlformats.org/officeDocument/2006/relationships/hyperlink" Target="https://doi.org/10.1016/j.appet.2020.104816" TargetMode="External"/><Relationship Id="rId10" Type="http://schemas.openxmlformats.org/officeDocument/2006/relationships/hyperlink" Target="https://doi.org/10.1038/sj.ijo.080318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7/BF02291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Andrews, Sara</cp:lastModifiedBy>
  <cp:revision>4</cp:revision>
  <dcterms:created xsi:type="dcterms:W3CDTF">2024-11-05T07:13:00Z</dcterms:created>
  <dcterms:modified xsi:type="dcterms:W3CDTF">2024-11-05T07:40:00Z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