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0370" w14:textId="3DBB9799" w:rsidR="003D6244" w:rsidRPr="009E00A7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Title</w:t>
      </w:r>
      <w:r w:rsidRPr="009E00A7">
        <w:rPr>
          <w:sz w:val="20"/>
          <w:szCs w:val="20"/>
        </w:rPr>
        <w:t xml:space="preserve">: </w:t>
      </w:r>
      <w:r w:rsidR="00A16F23" w:rsidRPr="00A16F23">
        <w:rPr>
          <w:b/>
          <w:bCs/>
          <w:sz w:val="20"/>
          <w:szCs w:val="20"/>
        </w:rPr>
        <w:t>A Systematic Comparison of the Stability</w:t>
      </w:r>
      <w:r w:rsidR="006545EB">
        <w:rPr>
          <w:b/>
          <w:bCs/>
          <w:sz w:val="20"/>
          <w:szCs w:val="20"/>
        </w:rPr>
        <w:t xml:space="preserve"> and Validity</w:t>
      </w:r>
      <w:r w:rsidR="00A16F23" w:rsidRPr="00A16F23">
        <w:rPr>
          <w:b/>
          <w:bCs/>
          <w:sz w:val="20"/>
          <w:szCs w:val="20"/>
        </w:rPr>
        <w:t xml:space="preserve"> of Indices of Caregiver Talk from Caregiver Child Free Play Samples and Language </w:t>
      </w:r>
      <w:proofErr w:type="spellStart"/>
      <w:r w:rsidR="00A16F23" w:rsidRPr="00A16F23">
        <w:rPr>
          <w:b/>
          <w:bCs/>
          <w:sz w:val="20"/>
          <w:szCs w:val="20"/>
        </w:rPr>
        <w:t>E</w:t>
      </w:r>
      <w:r w:rsidR="00DC1E14">
        <w:rPr>
          <w:b/>
          <w:bCs/>
          <w:sz w:val="20"/>
          <w:szCs w:val="20"/>
        </w:rPr>
        <w:t>N</w:t>
      </w:r>
      <w:r w:rsidR="00A16F23" w:rsidRPr="00A16F23">
        <w:rPr>
          <w:b/>
          <w:bCs/>
          <w:sz w:val="20"/>
          <w:szCs w:val="20"/>
        </w:rPr>
        <w:t>vironment</w:t>
      </w:r>
      <w:proofErr w:type="spellEnd"/>
      <w:r w:rsidR="00A16F23" w:rsidRPr="00A16F23">
        <w:rPr>
          <w:b/>
          <w:bCs/>
          <w:sz w:val="20"/>
          <w:szCs w:val="20"/>
        </w:rPr>
        <w:t xml:space="preserve"> Analysis Software in Infant Siblings of Autistic and Non-autistic Children</w:t>
      </w:r>
    </w:p>
    <w:p w14:paraId="7AC50371" w14:textId="060800C8" w:rsidR="003D6244" w:rsidRPr="00A16F23" w:rsidRDefault="003D6244" w:rsidP="003D6244">
      <w:pPr>
        <w:rPr>
          <w:sz w:val="20"/>
          <w:szCs w:val="20"/>
        </w:rPr>
      </w:pPr>
      <w:r w:rsidRPr="009E00A7">
        <w:rPr>
          <w:b/>
          <w:sz w:val="20"/>
          <w:szCs w:val="20"/>
        </w:rPr>
        <w:t>Authors</w:t>
      </w:r>
      <w:r w:rsidRPr="009E00A7">
        <w:rPr>
          <w:sz w:val="20"/>
          <w:szCs w:val="20"/>
        </w:rPr>
        <w:t xml:space="preserve">: </w:t>
      </w:r>
      <w:proofErr w:type="spellStart"/>
      <w:r w:rsidR="00A16F23" w:rsidRPr="00A16F23">
        <w:rPr>
          <w:sz w:val="20"/>
          <w:szCs w:val="20"/>
        </w:rPr>
        <w:t>Insung</w:t>
      </w:r>
      <w:proofErr w:type="spellEnd"/>
      <w:r w:rsidR="00A16F23" w:rsidRPr="00A16F23">
        <w:rPr>
          <w:sz w:val="20"/>
          <w:szCs w:val="20"/>
        </w:rPr>
        <w:t xml:space="preserve"> Kim</w:t>
      </w:r>
      <w:r w:rsidR="00A16F23" w:rsidRPr="00A16F23">
        <w:rPr>
          <w:sz w:val="20"/>
          <w:szCs w:val="20"/>
          <w:vertAlign w:val="superscript"/>
        </w:rPr>
        <w:t>1</w:t>
      </w:r>
      <w:r w:rsidR="00A16F23" w:rsidRPr="00A16F23">
        <w:rPr>
          <w:sz w:val="20"/>
          <w:szCs w:val="20"/>
        </w:rPr>
        <w:t>, Jennifer E. Markfeld</w:t>
      </w:r>
      <w:r w:rsidR="00A16F23" w:rsidRPr="00A16F23">
        <w:rPr>
          <w:sz w:val="20"/>
          <w:szCs w:val="20"/>
          <w:vertAlign w:val="superscript"/>
        </w:rPr>
        <w:t>2</w:t>
      </w:r>
      <w:r w:rsidR="00CC7059">
        <w:rPr>
          <w:sz w:val="20"/>
          <w:szCs w:val="20"/>
          <w:vertAlign w:val="superscript"/>
        </w:rPr>
        <w:t>, 3</w:t>
      </w:r>
      <w:r w:rsidR="00A16F23" w:rsidRPr="00A16F23">
        <w:rPr>
          <w:sz w:val="20"/>
          <w:szCs w:val="20"/>
        </w:rPr>
        <w:t xml:space="preserve">, </w:t>
      </w:r>
      <w:r w:rsidR="00CC7059" w:rsidRPr="00A16F23">
        <w:rPr>
          <w:sz w:val="20"/>
          <w:szCs w:val="20"/>
        </w:rPr>
        <w:t>Grace Pulliam</w:t>
      </w:r>
      <w:r w:rsidR="00CC7059">
        <w:rPr>
          <w:sz w:val="20"/>
          <w:szCs w:val="20"/>
          <w:vertAlign w:val="superscript"/>
        </w:rPr>
        <w:t>2</w:t>
      </w:r>
      <w:r w:rsidR="00CC7059" w:rsidRPr="00A16F23">
        <w:rPr>
          <w:sz w:val="20"/>
          <w:szCs w:val="20"/>
          <w:vertAlign w:val="superscript"/>
        </w:rPr>
        <w:t>,5</w:t>
      </w:r>
      <w:r w:rsidR="00CC7059">
        <w:rPr>
          <w:sz w:val="20"/>
          <w:szCs w:val="20"/>
        </w:rPr>
        <w:t>, B</w:t>
      </w:r>
      <w:r w:rsidR="00A16F23" w:rsidRPr="00A16F23">
        <w:rPr>
          <w:sz w:val="20"/>
          <w:szCs w:val="20"/>
        </w:rPr>
        <w:t>ahar Keceli-Kaysili</w:t>
      </w:r>
      <w:r w:rsidR="00A16F23" w:rsidRPr="00A16F23">
        <w:rPr>
          <w:sz w:val="20"/>
          <w:szCs w:val="20"/>
          <w:vertAlign w:val="superscript"/>
        </w:rPr>
        <w:t>1</w:t>
      </w:r>
      <w:r w:rsidR="00A16F23" w:rsidRPr="00A16F23">
        <w:rPr>
          <w:sz w:val="20"/>
          <w:szCs w:val="20"/>
        </w:rPr>
        <w:t>, Jacob I. Feldman</w:t>
      </w:r>
      <w:r w:rsidR="00A16F23" w:rsidRPr="00A16F23">
        <w:rPr>
          <w:sz w:val="20"/>
          <w:szCs w:val="20"/>
          <w:vertAlign w:val="superscript"/>
        </w:rPr>
        <w:t>1,3</w:t>
      </w:r>
      <w:r w:rsidR="00A16F23" w:rsidRPr="00A16F23">
        <w:rPr>
          <w:sz w:val="20"/>
          <w:szCs w:val="20"/>
        </w:rPr>
        <w:t>, Caroline Braun</w:t>
      </w:r>
      <w:r w:rsidR="00A16F23" w:rsidRPr="00A16F23">
        <w:rPr>
          <w:sz w:val="20"/>
          <w:szCs w:val="20"/>
          <w:vertAlign w:val="superscript"/>
        </w:rPr>
        <w:t>4</w:t>
      </w:r>
      <w:r w:rsidR="00A16F23" w:rsidRPr="00A16F23">
        <w:rPr>
          <w:sz w:val="20"/>
          <w:szCs w:val="20"/>
        </w:rPr>
        <w:t>, Ruoxi Guo</w:t>
      </w:r>
      <w:r w:rsidR="00A16F23" w:rsidRPr="00A16F23">
        <w:rPr>
          <w:sz w:val="20"/>
          <w:szCs w:val="20"/>
          <w:vertAlign w:val="superscript"/>
        </w:rPr>
        <w:t>4</w:t>
      </w:r>
      <w:r w:rsidR="00A16F23" w:rsidRPr="00A16F23">
        <w:rPr>
          <w:sz w:val="20"/>
          <w:szCs w:val="20"/>
        </w:rPr>
        <w:t>,</w:t>
      </w:r>
      <w:r w:rsidR="00B475BA">
        <w:rPr>
          <w:sz w:val="20"/>
          <w:szCs w:val="20"/>
        </w:rPr>
        <w:t xml:space="preserve"> S.</w:t>
      </w:r>
      <w:r w:rsidR="00A16F23" w:rsidRPr="00A16F23">
        <w:rPr>
          <w:sz w:val="20"/>
          <w:szCs w:val="20"/>
        </w:rPr>
        <w:t xml:space="preserve"> Madison Clark</w:t>
      </w:r>
      <w:r w:rsidR="00A16F23" w:rsidRPr="00A16F23">
        <w:rPr>
          <w:sz w:val="20"/>
          <w:szCs w:val="20"/>
          <w:vertAlign w:val="superscript"/>
        </w:rPr>
        <w:t>1</w:t>
      </w:r>
      <w:r w:rsidR="00A16F23" w:rsidRPr="00A16F23">
        <w:rPr>
          <w:sz w:val="20"/>
          <w:szCs w:val="20"/>
        </w:rPr>
        <w:t>, Kristen Bottema-Beutel</w:t>
      </w:r>
      <w:r w:rsidR="006545EB">
        <w:rPr>
          <w:sz w:val="20"/>
          <w:szCs w:val="20"/>
          <w:vertAlign w:val="superscript"/>
        </w:rPr>
        <w:t>4</w:t>
      </w:r>
      <w:r w:rsidR="00A16F23" w:rsidRPr="00A16F23">
        <w:rPr>
          <w:sz w:val="20"/>
          <w:szCs w:val="20"/>
        </w:rPr>
        <w:t xml:space="preserve">, </w:t>
      </w:r>
      <w:r w:rsidR="00751F7F">
        <w:rPr>
          <w:sz w:val="20"/>
          <w:szCs w:val="20"/>
        </w:rPr>
        <w:t xml:space="preserve">&amp; </w:t>
      </w:r>
      <w:r w:rsidR="00A16F23" w:rsidRPr="00A16F23">
        <w:rPr>
          <w:sz w:val="20"/>
          <w:szCs w:val="20"/>
        </w:rPr>
        <w:t>Tiffany G. Woynaroski</w:t>
      </w:r>
      <w:r w:rsidR="00A16F23" w:rsidRPr="00A16F23">
        <w:rPr>
          <w:sz w:val="20"/>
          <w:szCs w:val="20"/>
          <w:vertAlign w:val="superscript"/>
        </w:rPr>
        <w:t>1,3,5</w:t>
      </w:r>
      <w:r w:rsidR="00B475BA">
        <w:rPr>
          <w:sz w:val="20"/>
          <w:szCs w:val="20"/>
          <w:vertAlign w:val="superscript"/>
        </w:rPr>
        <w:t>-</w:t>
      </w:r>
      <w:r w:rsidR="00DC1E14">
        <w:rPr>
          <w:sz w:val="20"/>
          <w:szCs w:val="20"/>
          <w:vertAlign w:val="superscript"/>
        </w:rPr>
        <w:t>7</w:t>
      </w:r>
      <w:r w:rsidR="00A16F23" w:rsidRPr="00A16F23">
        <w:rPr>
          <w:sz w:val="20"/>
          <w:szCs w:val="20"/>
        </w:rPr>
        <w:t xml:space="preserve"> </w:t>
      </w:r>
    </w:p>
    <w:p w14:paraId="77FE6733" w14:textId="30C72631" w:rsidR="00452576" w:rsidRPr="00A16F23" w:rsidRDefault="003D6244" w:rsidP="00A16F23">
      <w:pPr>
        <w:rPr>
          <w:iCs/>
          <w:color w:val="000000"/>
          <w:sz w:val="20"/>
          <w:szCs w:val="20"/>
        </w:rPr>
      </w:pPr>
      <w:r w:rsidRPr="009E00A7">
        <w:rPr>
          <w:b/>
          <w:sz w:val="20"/>
          <w:szCs w:val="20"/>
        </w:rPr>
        <w:t>Introduction</w:t>
      </w:r>
      <w:r w:rsidRPr="009E00A7">
        <w:rPr>
          <w:sz w:val="20"/>
          <w:szCs w:val="20"/>
        </w:rPr>
        <w:t xml:space="preserve">: </w:t>
      </w:r>
      <w:r w:rsidR="00B475BA">
        <w:rPr>
          <w:iCs/>
          <w:color w:val="000000"/>
          <w:sz w:val="20"/>
          <w:szCs w:val="20"/>
        </w:rPr>
        <w:t>C</w:t>
      </w:r>
      <w:r w:rsidR="00A16F23" w:rsidRPr="00A16F23">
        <w:rPr>
          <w:iCs/>
          <w:color w:val="000000"/>
          <w:sz w:val="20"/>
          <w:szCs w:val="20"/>
        </w:rPr>
        <w:t>aregiver-child free play (CCFP) samples</w:t>
      </w:r>
      <w:r w:rsidR="00A16F23">
        <w:rPr>
          <w:iCs/>
          <w:color w:val="000000"/>
          <w:sz w:val="20"/>
          <w:szCs w:val="20"/>
        </w:rPr>
        <w:t xml:space="preserve"> </w:t>
      </w:r>
      <w:r w:rsidR="00B475BA">
        <w:rPr>
          <w:iCs/>
          <w:color w:val="000000"/>
          <w:sz w:val="20"/>
          <w:szCs w:val="20"/>
        </w:rPr>
        <w:t xml:space="preserve">are commonly used </w:t>
      </w:r>
      <w:r w:rsidR="00A16F23" w:rsidRPr="00A16F23">
        <w:rPr>
          <w:iCs/>
          <w:color w:val="000000"/>
          <w:sz w:val="20"/>
          <w:szCs w:val="20"/>
        </w:rPr>
        <w:t>to measure caregiver talk</w:t>
      </w:r>
      <w:r w:rsidR="00B475BA">
        <w:rPr>
          <w:iCs/>
          <w:color w:val="000000"/>
          <w:sz w:val="20"/>
          <w:szCs w:val="20"/>
        </w:rPr>
        <w:t>. However</w:t>
      </w:r>
      <w:r w:rsidR="00A16F23" w:rsidRPr="00A16F23">
        <w:rPr>
          <w:iCs/>
          <w:color w:val="000000"/>
          <w:sz w:val="20"/>
          <w:szCs w:val="20"/>
        </w:rPr>
        <w:t>, it is unclear at present whether these</w:t>
      </w:r>
      <w:r w:rsidR="00A16F23">
        <w:rPr>
          <w:iCs/>
          <w:color w:val="000000"/>
          <w:sz w:val="20"/>
          <w:szCs w:val="20"/>
        </w:rPr>
        <w:t xml:space="preserve"> </w:t>
      </w:r>
      <w:r w:rsidR="00A16F23" w:rsidRPr="00A16F23">
        <w:rPr>
          <w:iCs/>
          <w:color w:val="000000"/>
          <w:sz w:val="20"/>
          <w:szCs w:val="20"/>
        </w:rPr>
        <w:t>commonly used, conventional methods for measuring caregiver talk yield scores that are stable,</w:t>
      </w:r>
      <w:r w:rsidR="00A16F23">
        <w:rPr>
          <w:iCs/>
          <w:color w:val="000000"/>
          <w:sz w:val="20"/>
          <w:szCs w:val="20"/>
        </w:rPr>
        <w:t xml:space="preserve"> </w:t>
      </w:r>
      <w:r w:rsidR="00A16F23" w:rsidRPr="00A16F23">
        <w:rPr>
          <w:iCs/>
          <w:color w:val="000000"/>
          <w:sz w:val="20"/>
          <w:szCs w:val="20"/>
        </w:rPr>
        <w:t xml:space="preserve">particularly </w:t>
      </w:r>
      <w:r w:rsidR="00B475BA">
        <w:rPr>
          <w:iCs/>
          <w:color w:val="000000"/>
          <w:sz w:val="20"/>
          <w:szCs w:val="20"/>
        </w:rPr>
        <w:t xml:space="preserve">(a) </w:t>
      </w:r>
      <w:r w:rsidR="00A16F23" w:rsidRPr="00A16F23">
        <w:rPr>
          <w:iCs/>
          <w:color w:val="000000"/>
          <w:sz w:val="20"/>
          <w:szCs w:val="20"/>
        </w:rPr>
        <w:t xml:space="preserve">when children are in the earliest stages of development and </w:t>
      </w:r>
      <w:r w:rsidR="00B475BA">
        <w:rPr>
          <w:iCs/>
          <w:color w:val="000000"/>
          <w:sz w:val="20"/>
          <w:szCs w:val="20"/>
        </w:rPr>
        <w:t xml:space="preserve">(b) </w:t>
      </w:r>
      <w:r w:rsidR="00A16F23" w:rsidRPr="00A16F23">
        <w:rPr>
          <w:iCs/>
          <w:color w:val="000000"/>
          <w:sz w:val="20"/>
          <w:szCs w:val="20"/>
        </w:rPr>
        <w:t>when child-caregiver</w:t>
      </w:r>
      <w:r w:rsidR="00A16F23">
        <w:rPr>
          <w:iCs/>
          <w:color w:val="000000"/>
          <w:sz w:val="20"/>
          <w:szCs w:val="20"/>
        </w:rPr>
        <w:t xml:space="preserve"> </w:t>
      </w:r>
      <w:r w:rsidR="00A16F23" w:rsidRPr="00A16F23">
        <w:rPr>
          <w:iCs/>
          <w:color w:val="000000"/>
          <w:sz w:val="20"/>
          <w:szCs w:val="20"/>
        </w:rPr>
        <w:t xml:space="preserve">transactions may not yet be consolidated. </w:t>
      </w:r>
      <w:r w:rsidR="00B475BA">
        <w:rPr>
          <w:iCs/>
          <w:color w:val="000000"/>
          <w:sz w:val="20"/>
          <w:szCs w:val="20"/>
        </w:rPr>
        <w:t xml:space="preserve">Stability </w:t>
      </w:r>
      <w:r w:rsidR="00A16F23" w:rsidRPr="00A16F23">
        <w:rPr>
          <w:iCs/>
          <w:color w:val="000000"/>
          <w:sz w:val="20"/>
          <w:szCs w:val="20"/>
        </w:rPr>
        <w:t xml:space="preserve">is an important consideration, as </w:t>
      </w:r>
      <w:r w:rsidR="00F206D5">
        <w:rPr>
          <w:iCs/>
          <w:color w:val="000000"/>
          <w:sz w:val="20"/>
          <w:szCs w:val="20"/>
        </w:rPr>
        <w:t xml:space="preserve">it </w:t>
      </w:r>
      <w:r w:rsidR="00A16F23" w:rsidRPr="00A16F23">
        <w:rPr>
          <w:iCs/>
          <w:color w:val="000000"/>
          <w:sz w:val="20"/>
          <w:szCs w:val="20"/>
        </w:rPr>
        <w:t xml:space="preserve">mathematically places an upper bound on the validity </w:t>
      </w:r>
      <w:r w:rsidR="0048583B">
        <w:rPr>
          <w:iCs/>
          <w:color w:val="000000"/>
          <w:sz w:val="20"/>
          <w:szCs w:val="20"/>
        </w:rPr>
        <w:t xml:space="preserve">of the construct, and thus </w:t>
      </w:r>
      <w:r w:rsidR="008209C9">
        <w:rPr>
          <w:iCs/>
          <w:color w:val="000000"/>
          <w:sz w:val="20"/>
          <w:szCs w:val="20"/>
        </w:rPr>
        <w:t>impacts</w:t>
      </w:r>
      <w:r w:rsidR="0048583B">
        <w:rPr>
          <w:iCs/>
          <w:color w:val="000000"/>
          <w:sz w:val="20"/>
          <w:szCs w:val="20"/>
        </w:rPr>
        <w:t xml:space="preserve"> our ability to </w:t>
      </w:r>
      <w:r w:rsidR="00F206D5">
        <w:rPr>
          <w:iCs/>
          <w:color w:val="000000"/>
          <w:sz w:val="20"/>
          <w:szCs w:val="20"/>
        </w:rPr>
        <w:t xml:space="preserve">observe relations of interest (e.g., </w:t>
      </w:r>
      <w:r w:rsidR="00A16F23" w:rsidRPr="00A16F23">
        <w:rPr>
          <w:iCs/>
          <w:color w:val="000000"/>
          <w:sz w:val="20"/>
          <w:szCs w:val="20"/>
        </w:rPr>
        <w:t>predict</w:t>
      </w:r>
      <w:r w:rsidR="00F206D5">
        <w:rPr>
          <w:iCs/>
          <w:color w:val="000000"/>
          <w:sz w:val="20"/>
          <w:szCs w:val="20"/>
        </w:rPr>
        <w:t>ing</w:t>
      </w:r>
      <w:r w:rsidR="00A16F23" w:rsidRPr="00A16F23">
        <w:rPr>
          <w:iCs/>
          <w:color w:val="000000"/>
          <w:sz w:val="20"/>
          <w:szCs w:val="20"/>
        </w:rPr>
        <w:t xml:space="preserve"> later language</w:t>
      </w:r>
      <w:r w:rsidR="00F206D5">
        <w:rPr>
          <w:iCs/>
          <w:color w:val="000000"/>
          <w:sz w:val="20"/>
          <w:szCs w:val="20"/>
        </w:rPr>
        <w:t>)</w:t>
      </w:r>
      <w:r w:rsidR="00A16F23" w:rsidRPr="00A16F23">
        <w:rPr>
          <w:iCs/>
          <w:color w:val="000000"/>
          <w:sz w:val="20"/>
          <w:szCs w:val="20"/>
        </w:rPr>
        <w:t xml:space="preserve"> in</w:t>
      </w:r>
      <w:r w:rsidR="00A16F23">
        <w:rPr>
          <w:iCs/>
          <w:color w:val="000000"/>
          <w:sz w:val="20"/>
          <w:szCs w:val="20"/>
        </w:rPr>
        <w:t xml:space="preserve"> </w:t>
      </w:r>
      <w:r w:rsidR="00DC1E14">
        <w:rPr>
          <w:iCs/>
          <w:color w:val="000000"/>
          <w:sz w:val="20"/>
          <w:szCs w:val="20"/>
        </w:rPr>
        <w:t xml:space="preserve">populations of interest, including </w:t>
      </w:r>
      <w:r w:rsidR="00A16F23" w:rsidRPr="00A16F23">
        <w:rPr>
          <w:iCs/>
          <w:color w:val="000000"/>
          <w:sz w:val="20"/>
          <w:szCs w:val="20"/>
        </w:rPr>
        <w:t>infant siblings of autistic children (Sibs-</w:t>
      </w:r>
      <w:r w:rsidR="00CC7059">
        <w:rPr>
          <w:iCs/>
          <w:color w:val="000000"/>
          <w:sz w:val="20"/>
          <w:szCs w:val="20"/>
        </w:rPr>
        <w:t>autism</w:t>
      </w:r>
      <w:r w:rsidR="00A16F23" w:rsidRPr="00A16F23">
        <w:rPr>
          <w:iCs/>
          <w:color w:val="000000"/>
          <w:sz w:val="20"/>
          <w:szCs w:val="20"/>
        </w:rPr>
        <w:t>) and infant siblings of non-autistic children</w:t>
      </w:r>
      <w:r w:rsidR="00A16F23">
        <w:rPr>
          <w:iCs/>
          <w:color w:val="000000"/>
          <w:sz w:val="20"/>
          <w:szCs w:val="20"/>
        </w:rPr>
        <w:t xml:space="preserve"> </w:t>
      </w:r>
      <w:r w:rsidR="00A16F23" w:rsidRPr="00A16F23">
        <w:rPr>
          <w:iCs/>
          <w:color w:val="000000"/>
          <w:sz w:val="20"/>
          <w:szCs w:val="20"/>
        </w:rPr>
        <w:t>(Sibs-</w:t>
      </w:r>
      <w:r w:rsidR="00CC7059">
        <w:rPr>
          <w:iCs/>
          <w:color w:val="000000"/>
          <w:sz w:val="20"/>
          <w:szCs w:val="20"/>
        </w:rPr>
        <w:t>NA</w:t>
      </w:r>
      <w:r w:rsidR="00A16F23" w:rsidRPr="00A16F23">
        <w:rPr>
          <w:iCs/>
          <w:color w:val="000000"/>
          <w:sz w:val="20"/>
          <w:szCs w:val="20"/>
        </w:rPr>
        <w:t xml:space="preserve">). Recently developed Language </w:t>
      </w:r>
      <w:proofErr w:type="spellStart"/>
      <w:r w:rsidR="00A16F23" w:rsidRPr="00A16F23">
        <w:rPr>
          <w:iCs/>
          <w:color w:val="000000"/>
          <w:sz w:val="20"/>
          <w:szCs w:val="20"/>
        </w:rPr>
        <w:t>ENvironment</w:t>
      </w:r>
      <w:proofErr w:type="spellEnd"/>
      <w:r w:rsidR="00A16F23" w:rsidRPr="00A16F23">
        <w:rPr>
          <w:iCs/>
          <w:color w:val="000000"/>
          <w:sz w:val="20"/>
          <w:szCs w:val="20"/>
        </w:rPr>
        <w:t xml:space="preserve"> Analysis (LENA) technology </w:t>
      </w:r>
      <w:r w:rsidR="00DC1E14">
        <w:rPr>
          <w:iCs/>
          <w:color w:val="000000"/>
          <w:sz w:val="20"/>
          <w:szCs w:val="20"/>
        </w:rPr>
        <w:t xml:space="preserve">now </w:t>
      </w:r>
      <w:r w:rsidR="00A16F23" w:rsidRPr="00A16F23">
        <w:rPr>
          <w:iCs/>
          <w:color w:val="000000"/>
          <w:sz w:val="20"/>
          <w:szCs w:val="20"/>
        </w:rPr>
        <w:t>offers an</w:t>
      </w:r>
      <w:r w:rsidR="00A16F23">
        <w:rPr>
          <w:iCs/>
          <w:color w:val="000000"/>
          <w:sz w:val="20"/>
          <w:szCs w:val="20"/>
        </w:rPr>
        <w:t xml:space="preserve"> </w:t>
      </w:r>
      <w:r w:rsidR="00A16F23" w:rsidRPr="00A16F23">
        <w:rPr>
          <w:iCs/>
          <w:color w:val="000000"/>
          <w:sz w:val="20"/>
          <w:szCs w:val="20"/>
        </w:rPr>
        <w:t xml:space="preserve">alternative </w:t>
      </w:r>
      <w:r w:rsidR="00F206D5">
        <w:rPr>
          <w:iCs/>
          <w:color w:val="000000"/>
          <w:sz w:val="20"/>
          <w:szCs w:val="20"/>
        </w:rPr>
        <w:t xml:space="preserve">method </w:t>
      </w:r>
      <w:r w:rsidR="00A16F23" w:rsidRPr="00A16F23">
        <w:rPr>
          <w:iCs/>
          <w:color w:val="000000"/>
          <w:sz w:val="20"/>
          <w:szCs w:val="20"/>
        </w:rPr>
        <w:t xml:space="preserve">for </w:t>
      </w:r>
      <w:r w:rsidR="00F206D5">
        <w:rPr>
          <w:iCs/>
          <w:color w:val="000000"/>
          <w:sz w:val="20"/>
          <w:szCs w:val="20"/>
        </w:rPr>
        <w:t xml:space="preserve">measuring </w:t>
      </w:r>
      <w:r w:rsidR="00A16F23" w:rsidRPr="00A16F23">
        <w:rPr>
          <w:iCs/>
          <w:color w:val="000000"/>
          <w:sz w:val="20"/>
          <w:szCs w:val="20"/>
        </w:rPr>
        <w:t>caregiver talk. S</w:t>
      </w:r>
      <w:r w:rsidR="00DC1E14">
        <w:rPr>
          <w:iCs/>
          <w:color w:val="000000"/>
          <w:sz w:val="20"/>
          <w:szCs w:val="20"/>
        </w:rPr>
        <w:t>cores</w:t>
      </w:r>
      <w:r w:rsidR="00F7153F">
        <w:rPr>
          <w:iCs/>
          <w:color w:val="000000"/>
          <w:sz w:val="20"/>
          <w:szCs w:val="20"/>
        </w:rPr>
        <w:t xml:space="preserve"> on constructs</w:t>
      </w:r>
      <w:r w:rsidR="00DC1E14">
        <w:rPr>
          <w:iCs/>
          <w:color w:val="000000"/>
          <w:sz w:val="20"/>
          <w:szCs w:val="20"/>
        </w:rPr>
        <w:t xml:space="preserve"> derived via this</w:t>
      </w:r>
      <w:r w:rsidR="00A16F23" w:rsidRPr="00A16F23">
        <w:rPr>
          <w:iCs/>
          <w:color w:val="000000"/>
          <w:sz w:val="20"/>
          <w:szCs w:val="20"/>
        </w:rPr>
        <w:t xml:space="preserve"> novel</w:t>
      </w:r>
      <w:r w:rsidR="00A16F23">
        <w:rPr>
          <w:iCs/>
          <w:color w:val="000000"/>
          <w:sz w:val="20"/>
          <w:szCs w:val="20"/>
        </w:rPr>
        <w:t xml:space="preserve"> </w:t>
      </w:r>
      <w:r w:rsidR="00A16F23" w:rsidRPr="00A16F23">
        <w:rPr>
          <w:iCs/>
          <w:color w:val="000000"/>
          <w:sz w:val="20"/>
          <w:szCs w:val="20"/>
        </w:rPr>
        <w:t xml:space="preserve">automated </w:t>
      </w:r>
      <w:r w:rsidR="00DC1E14">
        <w:rPr>
          <w:iCs/>
          <w:color w:val="000000"/>
          <w:sz w:val="20"/>
          <w:szCs w:val="20"/>
        </w:rPr>
        <w:t>method</w:t>
      </w:r>
      <w:r w:rsidR="00A16F23" w:rsidRPr="00A16F23">
        <w:rPr>
          <w:iCs/>
          <w:color w:val="000000"/>
          <w:sz w:val="20"/>
          <w:szCs w:val="20"/>
        </w:rPr>
        <w:t xml:space="preserve"> may be valid for predicting language in Sibs-</w:t>
      </w:r>
      <w:r w:rsidR="00CC7059">
        <w:rPr>
          <w:iCs/>
          <w:color w:val="000000"/>
          <w:sz w:val="20"/>
          <w:szCs w:val="20"/>
        </w:rPr>
        <w:t>autism</w:t>
      </w:r>
      <w:r w:rsidR="00A16F23" w:rsidRPr="00A16F23">
        <w:rPr>
          <w:iCs/>
          <w:color w:val="000000"/>
          <w:sz w:val="20"/>
          <w:szCs w:val="20"/>
        </w:rPr>
        <w:t xml:space="preserve"> and Sibs-</w:t>
      </w:r>
      <w:r w:rsidR="00CC7059">
        <w:rPr>
          <w:iCs/>
          <w:color w:val="000000"/>
          <w:sz w:val="20"/>
          <w:szCs w:val="20"/>
        </w:rPr>
        <w:t>NA</w:t>
      </w:r>
      <w:r w:rsidR="00A16F23" w:rsidRPr="00A16F23">
        <w:rPr>
          <w:iCs/>
          <w:color w:val="000000"/>
          <w:sz w:val="20"/>
          <w:szCs w:val="20"/>
        </w:rPr>
        <w:t xml:space="preserve"> (Swanson et</w:t>
      </w:r>
      <w:r w:rsidR="00A16F23">
        <w:rPr>
          <w:iCs/>
          <w:color w:val="000000"/>
          <w:sz w:val="20"/>
          <w:szCs w:val="20"/>
        </w:rPr>
        <w:t xml:space="preserve"> </w:t>
      </w:r>
      <w:r w:rsidR="00A16F23" w:rsidRPr="00A16F23">
        <w:rPr>
          <w:iCs/>
          <w:color w:val="000000"/>
          <w:sz w:val="20"/>
          <w:szCs w:val="20"/>
        </w:rPr>
        <w:t>al., 2019; Markfeld et al., 2023)</w:t>
      </w:r>
      <w:r w:rsidR="00F206D5">
        <w:rPr>
          <w:iCs/>
          <w:color w:val="000000"/>
          <w:sz w:val="20"/>
          <w:szCs w:val="20"/>
        </w:rPr>
        <w:t>, though relatively little is known about the stability of caregiver talk</w:t>
      </w:r>
      <w:r w:rsidR="00F7153F">
        <w:rPr>
          <w:iCs/>
          <w:color w:val="000000"/>
          <w:sz w:val="20"/>
          <w:szCs w:val="20"/>
        </w:rPr>
        <w:t xml:space="preserve"> constructs</w:t>
      </w:r>
      <w:r w:rsidR="00F206D5">
        <w:rPr>
          <w:iCs/>
          <w:color w:val="000000"/>
          <w:sz w:val="20"/>
          <w:szCs w:val="20"/>
        </w:rPr>
        <w:t xml:space="preserve"> derived from LENA</w:t>
      </w:r>
      <w:r w:rsidR="00A16F23" w:rsidRPr="00A16F23">
        <w:rPr>
          <w:iCs/>
          <w:color w:val="000000"/>
          <w:sz w:val="20"/>
          <w:szCs w:val="20"/>
        </w:rPr>
        <w:t>. This study aims to compare the relative stability and validity of scor</w:t>
      </w:r>
      <w:r w:rsidR="00DC1E14">
        <w:rPr>
          <w:iCs/>
          <w:color w:val="000000"/>
          <w:sz w:val="20"/>
          <w:szCs w:val="20"/>
        </w:rPr>
        <w:t>es</w:t>
      </w:r>
      <w:r w:rsidR="00A16F23" w:rsidRPr="00A16F23">
        <w:rPr>
          <w:iCs/>
          <w:color w:val="000000"/>
          <w:sz w:val="20"/>
          <w:szCs w:val="20"/>
        </w:rPr>
        <w:t xml:space="preserve"> </w:t>
      </w:r>
      <w:r w:rsidR="00DC1E14">
        <w:rPr>
          <w:iCs/>
          <w:color w:val="000000"/>
          <w:sz w:val="20"/>
          <w:szCs w:val="20"/>
        </w:rPr>
        <w:t>indexing</w:t>
      </w:r>
      <w:r w:rsidR="00A16F23" w:rsidRPr="00A16F23">
        <w:rPr>
          <w:iCs/>
          <w:color w:val="000000"/>
          <w:sz w:val="20"/>
          <w:szCs w:val="20"/>
        </w:rPr>
        <w:t xml:space="preserve"> caregiver talk</w:t>
      </w:r>
      <w:r w:rsidR="00DC1E14">
        <w:rPr>
          <w:iCs/>
          <w:color w:val="000000"/>
          <w:sz w:val="20"/>
          <w:szCs w:val="20"/>
        </w:rPr>
        <w:t xml:space="preserve"> as</w:t>
      </w:r>
      <w:r w:rsidR="00A16F23" w:rsidRPr="00A16F23">
        <w:rPr>
          <w:iCs/>
          <w:color w:val="000000"/>
          <w:sz w:val="20"/>
          <w:szCs w:val="20"/>
        </w:rPr>
        <w:t xml:space="preserve"> derived</w:t>
      </w:r>
      <w:r w:rsidR="00A16F23">
        <w:rPr>
          <w:iCs/>
          <w:color w:val="000000"/>
          <w:sz w:val="20"/>
          <w:szCs w:val="20"/>
        </w:rPr>
        <w:t xml:space="preserve"> </w:t>
      </w:r>
      <w:r w:rsidR="00A16F23" w:rsidRPr="00A16F23">
        <w:rPr>
          <w:iCs/>
          <w:color w:val="000000"/>
          <w:sz w:val="20"/>
          <w:szCs w:val="20"/>
        </w:rPr>
        <w:t xml:space="preserve">via </w:t>
      </w:r>
      <w:r w:rsidR="00F7153F">
        <w:rPr>
          <w:iCs/>
          <w:color w:val="000000"/>
          <w:sz w:val="20"/>
          <w:szCs w:val="20"/>
        </w:rPr>
        <w:t xml:space="preserve">human-coded </w:t>
      </w:r>
      <w:r w:rsidR="00A16F23" w:rsidRPr="00A16F23">
        <w:rPr>
          <w:iCs/>
          <w:color w:val="000000"/>
          <w:sz w:val="20"/>
          <w:szCs w:val="20"/>
        </w:rPr>
        <w:t xml:space="preserve">CCFP </w:t>
      </w:r>
      <w:r w:rsidR="00DC1E14">
        <w:rPr>
          <w:iCs/>
          <w:color w:val="000000"/>
          <w:sz w:val="20"/>
          <w:szCs w:val="20"/>
        </w:rPr>
        <w:t xml:space="preserve">samples </w:t>
      </w:r>
      <w:r w:rsidR="00A16F23" w:rsidRPr="00A16F23">
        <w:rPr>
          <w:iCs/>
          <w:color w:val="000000"/>
          <w:sz w:val="20"/>
          <w:szCs w:val="20"/>
        </w:rPr>
        <w:t>versus LENA for predicting later language across Sibs-</w:t>
      </w:r>
      <w:r w:rsidR="00CC7059">
        <w:rPr>
          <w:iCs/>
          <w:color w:val="000000"/>
          <w:sz w:val="20"/>
          <w:szCs w:val="20"/>
        </w:rPr>
        <w:t>autism</w:t>
      </w:r>
      <w:r w:rsidR="00A16F23" w:rsidRPr="00A16F23">
        <w:rPr>
          <w:iCs/>
          <w:color w:val="000000"/>
          <w:sz w:val="20"/>
          <w:szCs w:val="20"/>
        </w:rPr>
        <w:t xml:space="preserve"> and Sibs-</w:t>
      </w:r>
      <w:r w:rsidR="00CC7059">
        <w:rPr>
          <w:iCs/>
          <w:color w:val="000000"/>
          <w:sz w:val="20"/>
          <w:szCs w:val="20"/>
        </w:rPr>
        <w:t>NA</w:t>
      </w:r>
      <w:r w:rsidR="00A16F23" w:rsidRPr="00A16F23">
        <w:rPr>
          <w:iCs/>
          <w:color w:val="000000"/>
          <w:sz w:val="20"/>
          <w:szCs w:val="20"/>
        </w:rPr>
        <w:t>.</w:t>
      </w:r>
    </w:p>
    <w:p w14:paraId="7AC50373" w14:textId="5C0CB49F" w:rsidR="003D6244" w:rsidRPr="00A16F23" w:rsidRDefault="003D6244" w:rsidP="00A16F23">
      <w:pPr>
        <w:rPr>
          <w:color w:val="000000"/>
          <w:sz w:val="20"/>
          <w:szCs w:val="20"/>
        </w:rPr>
      </w:pPr>
      <w:r w:rsidRPr="776B8301">
        <w:rPr>
          <w:b/>
          <w:bCs/>
          <w:color w:val="000000"/>
          <w:sz w:val="20"/>
          <w:szCs w:val="20"/>
          <w:lang w:val="en-GB"/>
        </w:rPr>
        <w:t>Method</w:t>
      </w:r>
      <w:r>
        <w:rPr>
          <w:color w:val="000000"/>
          <w:sz w:val="20"/>
          <w:szCs w:val="20"/>
          <w:lang w:val="en-GB"/>
        </w:rPr>
        <w:t xml:space="preserve">: </w:t>
      </w:r>
      <w:r w:rsidR="00E857F2">
        <w:rPr>
          <w:color w:val="000000"/>
          <w:sz w:val="20"/>
          <w:szCs w:val="20"/>
        </w:rPr>
        <w:t xml:space="preserve">We recruited </w:t>
      </w:r>
      <w:r w:rsidR="00A16F23" w:rsidRPr="00A16F23">
        <w:rPr>
          <w:color w:val="000000"/>
          <w:sz w:val="20"/>
          <w:szCs w:val="20"/>
        </w:rPr>
        <w:t>30 Sibs-</w:t>
      </w:r>
      <w:r w:rsidR="00CC7059">
        <w:rPr>
          <w:color w:val="000000"/>
          <w:sz w:val="20"/>
          <w:szCs w:val="20"/>
        </w:rPr>
        <w:t>autism</w:t>
      </w:r>
      <w:r w:rsidR="00A16F23" w:rsidRPr="00A16F23">
        <w:rPr>
          <w:color w:val="000000"/>
          <w:sz w:val="20"/>
          <w:szCs w:val="20"/>
        </w:rPr>
        <w:t xml:space="preserve"> </w:t>
      </w:r>
      <w:r w:rsidR="00DC1E14">
        <w:rPr>
          <w:color w:val="000000"/>
          <w:sz w:val="20"/>
          <w:szCs w:val="20"/>
        </w:rPr>
        <w:t xml:space="preserve">and </w:t>
      </w:r>
      <w:r w:rsidR="00A16F23" w:rsidRPr="00A16F23">
        <w:rPr>
          <w:color w:val="000000"/>
          <w:sz w:val="20"/>
          <w:szCs w:val="20"/>
        </w:rPr>
        <w:t>30 Sibs-</w:t>
      </w:r>
      <w:r w:rsidR="00CC7059">
        <w:rPr>
          <w:color w:val="000000"/>
          <w:sz w:val="20"/>
          <w:szCs w:val="20"/>
        </w:rPr>
        <w:t>NA</w:t>
      </w:r>
      <w:r w:rsidR="00E857F2">
        <w:rPr>
          <w:color w:val="000000"/>
          <w:sz w:val="20"/>
          <w:szCs w:val="20"/>
        </w:rPr>
        <w:t xml:space="preserve"> between</w:t>
      </w:r>
      <w:r w:rsidR="00A16F23" w:rsidRPr="00A16F23">
        <w:rPr>
          <w:color w:val="000000"/>
          <w:sz w:val="20"/>
          <w:szCs w:val="20"/>
        </w:rPr>
        <w:t xml:space="preserve"> 12</w:t>
      </w:r>
      <w:r w:rsidR="3ED5BB81" w:rsidRPr="00A16F23">
        <w:rPr>
          <w:color w:val="000000"/>
          <w:sz w:val="20"/>
          <w:szCs w:val="20"/>
        </w:rPr>
        <w:t>–</w:t>
      </w:r>
      <w:r w:rsidR="00A16F23" w:rsidRPr="00A16F23">
        <w:rPr>
          <w:color w:val="000000"/>
          <w:sz w:val="20"/>
          <w:szCs w:val="20"/>
        </w:rPr>
        <w:t>18</w:t>
      </w:r>
      <w:r w:rsidR="00A16F23">
        <w:rPr>
          <w:color w:val="000000"/>
          <w:sz w:val="20"/>
          <w:szCs w:val="20"/>
        </w:rPr>
        <w:t xml:space="preserve"> </w:t>
      </w:r>
      <w:r w:rsidR="00A16F23" w:rsidRPr="00A16F23">
        <w:rPr>
          <w:color w:val="000000"/>
          <w:sz w:val="20"/>
          <w:szCs w:val="20"/>
        </w:rPr>
        <w:t>months of age</w:t>
      </w:r>
      <w:r w:rsidR="00DC1E14">
        <w:rPr>
          <w:color w:val="000000"/>
          <w:sz w:val="20"/>
          <w:szCs w:val="20"/>
        </w:rPr>
        <w:t xml:space="preserve">, matched at the group level on chronological age and </w:t>
      </w:r>
      <w:r w:rsidR="00BE46CF">
        <w:rPr>
          <w:color w:val="000000"/>
          <w:sz w:val="20"/>
          <w:szCs w:val="20"/>
        </w:rPr>
        <w:t>sex assigned at birth</w:t>
      </w:r>
      <w:r w:rsidR="00DC1E14">
        <w:rPr>
          <w:color w:val="000000"/>
          <w:sz w:val="20"/>
          <w:szCs w:val="20"/>
        </w:rPr>
        <w:t>,</w:t>
      </w:r>
      <w:r w:rsidR="00E857F2">
        <w:rPr>
          <w:color w:val="000000"/>
          <w:sz w:val="20"/>
          <w:szCs w:val="20"/>
        </w:rPr>
        <w:t xml:space="preserve"> </w:t>
      </w:r>
      <w:r w:rsidR="00DC1E14">
        <w:rPr>
          <w:color w:val="000000"/>
          <w:sz w:val="20"/>
          <w:szCs w:val="20"/>
        </w:rPr>
        <w:t xml:space="preserve">and their caregivers </w:t>
      </w:r>
      <w:r w:rsidR="00E857F2">
        <w:rPr>
          <w:color w:val="000000"/>
          <w:sz w:val="20"/>
          <w:szCs w:val="20"/>
        </w:rPr>
        <w:t>for this study. Each caregiver–child dyad</w:t>
      </w:r>
      <w:r w:rsidR="00A16F23" w:rsidRPr="00A16F23">
        <w:rPr>
          <w:color w:val="000000"/>
          <w:sz w:val="20"/>
          <w:szCs w:val="20"/>
        </w:rPr>
        <w:t xml:space="preserve"> </w:t>
      </w:r>
      <w:r w:rsidR="00F206D5" w:rsidRPr="776B8301">
        <w:rPr>
          <w:color w:val="000000" w:themeColor="text1"/>
          <w:sz w:val="20"/>
          <w:szCs w:val="20"/>
        </w:rPr>
        <w:t xml:space="preserve">completed </w:t>
      </w:r>
      <w:r w:rsidR="00A16F23" w:rsidRPr="00A16F23">
        <w:rPr>
          <w:color w:val="000000"/>
          <w:sz w:val="20"/>
          <w:szCs w:val="20"/>
        </w:rPr>
        <w:t>(a) two 15-minute CCFP samples collected in the laboratory and coded by</w:t>
      </w:r>
      <w:r w:rsidR="00A16F23">
        <w:rPr>
          <w:color w:val="000000"/>
          <w:sz w:val="20"/>
          <w:szCs w:val="20"/>
        </w:rPr>
        <w:t xml:space="preserve"> </w:t>
      </w:r>
      <w:r w:rsidR="00A16F23" w:rsidRPr="00A16F23">
        <w:rPr>
          <w:color w:val="000000"/>
          <w:sz w:val="20"/>
          <w:szCs w:val="20"/>
        </w:rPr>
        <w:t>the research team using a previously developed coding scheme and (b) two day-long LENA</w:t>
      </w:r>
      <w:r w:rsidR="00A16F23">
        <w:rPr>
          <w:color w:val="000000"/>
          <w:sz w:val="20"/>
          <w:szCs w:val="20"/>
        </w:rPr>
        <w:t xml:space="preserve"> </w:t>
      </w:r>
      <w:r w:rsidR="00A16F23" w:rsidRPr="00A16F23">
        <w:rPr>
          <w:color w:val="000000"/>
          <w:sz w:val="20"/>
          <w:szCs w:val="20"/>
        </w:rPr>
        <w:t>recordings in children’s natural settings at study entry (</w:t>
      </w:r>
      <w:r w:rsidR="00E857F2">
        <w:rPr>
          <w:color w:val="000000"/>
          <w:sz w:val="20"/>
          <w:szCs w:val="20"/>
        </w:rPr>
        <w:t>i.e., Time 1</w:t>
      </w:r>
      <w:r w:rsidR="00A16F23" w:rsidRPr="00A16F23">
        <w:rPr>
          <w:color w:val="000000"/>
          <w:sz w:val="20"/>
          <w:szCs w:val="20"/>
        </w:rPr>
        <w:t>).</w:t>
      </w:r>
      <w:r w:rsidR="00E857F2">
        <w:rPr>
          <w:color w:val="000000"/>
          <w:sz w:val="20"/>
          <w:szCs w:val="20"/>
        </w:rPr>
        <w:t xml:space="preserve"> </w:t>
      </w:r>
      <w:r w:rsidR="00DC1E14" w:rsidRPr="00BF05CB">
        <w:rPr>
          <w:color w:val="000000"/>
          <w:sz w:val="20"/>
          <w:szCs w:val="20"/>
        </w:rPr>
        <w:t>Expressive</w:t>
      </w:r>
      <w:r w:rsidR="00F6615B">
        <w:rPr>
          <w:color w:val="000000"/>
          <w:sz w:val="20"/>
          <w:szCs w:val="20"/>
        </w:rPr>
        <w:t xml:space="preserve"> and receptive</w:t>
      </w:r>
      <w:r w:rsidR="00DC1E14" w:rsidRPr="00BF05CB">
        <w:rPr>
          <w:color w:val="000000"/>
          <w:sz w:val="20"/>
          <w:szCs w:val="20"/>
        </w:rPr>
        <w:t xml:space="preserve"> language </w:t>
      </w:r>
      <w:r w:rsidR="00CE7A0A" w:rsidRPr="00BF05CB">
        <w:rPr>
          <w:color w:val="000000"/>
          <w:sz w:val="20"/>
          <w:szCs w:val="20"/>
        </w:rPr>
        <w:t>of Sibs-autism and Sibs-NA w</w:t>
      </w:r>
      <w:r w:rsidR="00925FC6">
        <w:rPr>
          <w:color w:val="000000"/>
          <w:sz w:val="20"/>
          <w:szCs w:val="20"/>
        </w:rPr>
        <w:t>ere</w:t>
      </w:r>
      <w:r w:rsidR="00CE7A0A" w:rsidRPr="00BF05CB">
        <w:rPr>
          <w:color w:val="000000"/>
          <w:sz w:val="20"/>
          <w:szCs w:val="20"/>
        </w:rPr>
        <w:t xml:space="preserve"> measured 9 months later, at 21</w:t>
      </w:r>
      <w:r w:rsidR="009F566F" w:rsidRPr="00BF05CB">
        <w:rPr>
          <w:color w:val="000000"/>
          <w:sz w:val="20"/>
          <w:szCs w:val="20"/>
        </w:rPr>
        <w:t>–</w:t>
      </w:r>
      <w:r w:rsidR="00CE7A0A" w:rsidRPr="00BF05CB">
        <w:rPr>
          <w:color w:val="000000"/>
          <w:sz w:val="20"/>
          <w:szCs w:val="20"/>
        </w:rPr>
        <w:t>27 months of age (i.e., at Time 2), via the Mullen Scales of Early Learning; the Mac</w:t>
      </w:r>
      <w:r w:rsidR="53E9EB4B" w:rsidRPr="00BF05CB">
        <w:rPr>
          <w:color w:val="000000"/>
          <w:sz w:val="20"/>
          <w:szCs w:val="20"/>
        </w:rPr>
        <w:t>A</w:t>
      </w:r>
      <w:r w:rsidR="00CE7A0A" w:rsidRPr="00BF05CB">
        <w:rPr>
          <w:color w:val="000000"/>
          <w:sz w:val="20"/>
          <w:szCs w:val="20"/>
        </w:rPr>
        <w:t>rthur-Bates Communicative Development Inventories, Words and Sentences checklist; and the Vineland Adaptive Behavior Scales, second edition.</w:t>
      </w:r>
      <w:r w:rsidR="00A16F23" w:rsidRPr="00CE7A0A">
        <w:rPr>
          <w:color w:val="000000"/>
          <w:sz w:val="20"/>
          <w:szCs w:val="20"/>
        </w:rPr>
        <w:t xml:space="preserve"> </w:t>
      </w:r>
      <w:r w:rsidR="00F206D5" w:rsidRPr="776B8301">
        <w:rPr>
          <w:color w:val="000000" w:themeColor="text1"/>
          <w:sz w:val="20"/>
          <w:szCs w:val="20"/>
        </w:rPr>
        <w:t>O</w:t>
      </w:r>
      <w:r w:rsidR="00F6615B">
        <w:rPr>
          <w:color w:val="000000"/>
          <w:sz w:val="20"/>
          <w:szCs w:val="20"/>
        </w:rPr>
        <w:t>ur indices of caregiver talk</w:t>
      </w:r>
      <w:r w:rsidR="00F206D5" w:rsidRPr="776B8301">
        <w:rPr>
          <w:color w:val="000000" w:themeColor="text1"/>
          <w:sz w:val="20"/>
          <w:szCs w:val="20"/>
        </w:rPr>
        <w:t xml:space="preserve"> were (a) </w:t>
      </w:r>
      <w:r w:rsidR="00F6615B">
        <w:rPr>
          <w:color w:val="000000"/>
          <w:sz w:val="20"/>
          <w:szCs w:val="20"/>
        </w:rPr>
        <w:t>c</w:t>
      </w:r>
      <w:r w:rsidR="00E66DBE">
        <w:rPr>
          <w:color w:val="000000"/>
          <w:sz w:val="20"/>
          <w:szCs w:val="20"/>
        </w:rPr>
        <w:t>aregiver follow-in utterances (FIU)</w:t>
      </w:r>
      <w:r w:rsidR="00114FE5">
        <w:rPr>
          <w:color w:val="000000"/>
          <w:sz w:val="20"/>
          <w:szCs w:val="20"/>
        </w:rPr>
        <w:t xml:space="preserve"> </w:t>
      </w:r>
      <w:r w:rsidR="00E66DBE" w:rsidRPr="00E66DBE">
        <w:rPr>
          <w:rStyle w:val="CommentReference"/>
          <w:kern w:val="2"/>
          <w:sz w:val="20"/>
          <w:szCs w:val="20"/>
          <w14:ligatures w14:val="standardContextual"/>
        </w:rPr>
        <w:t>derived from</w:t>
      </w:r>
      <w:r w:rsidR="00E66DBE">
        <w:rPr>
          <w:rStyle w:val="CommentReference"/>
          <w:kern w:val="2"/>
          <w:sz w:val="20"/>
          <w:szCs w:val="20"/>
          <w14:ligatures w14:val="standardContextual"/>
        </w:rPr>
        <w:t xml:space="preserve"> CCFPs</w:t>
      </w:r>
      <w:r w:rsidR="00114FE5">
        <w:rPr>
          <w:rStyle w:val="CommentReference"/>
          <w:kern w:val="2"/>
          <w:sz w:val="20"/>
          <w:szCs w:val="20"/>
          <w14:ligatures w14:val="standardContextual"/>
        </w:rPr>
        <w:t xml:space="preserve"> (i.e., </w:t>
      </w:r>
      <w:r w:rsidR="00114FE5">
        <w:rPr>
          <w:sz w:val="20"/>
          <w:szCs w:val="20"/>
        </w:rPr>
        <w:t>comments or directives</w:t>
      </w:r>
      <w:r w:rsidR="00114FE5" w:rsidRPr="776B8301">
        <w:rPr>
          <w:sz w:val="20"/>
          <w:szCs w:val="20"/>
        </w:rPr>
        <w:t xml:space="preserve"> that relate to a child’s current focus</w:t>
      </w:r>
      <w:r w:rsidR="00114FE5">
        <w:rPr>
          <w:sz w:val="20"/>
          <w:szCs w:val="20"/>
        </w:rPr>
        <w:t>)</w:t>
      </w:r>
      <w:r w:rsidR="00F206D5" w:rsidRPr="776B8301">
        <w:rPr>
          <w:rStyle w:val="CommentReference"/>
          <w:sz w:val="20"/>
          <w:szCs w:val="20"/>
        </w:rPr>
        <w:t xml:space="preserve"> and (b) </w:t>
      </w:r>
      <w:r w:rsidR="00F206D5">
        <w:rPr>
          <w:rStyle w:val="CommentReference"/>
          <w:kern w:val="2"/>
          <w:sz w:val="20"/>
          <w:szCs w:val="20"/>
          <w14:ligatures w14:val="standardContextual"/>
        </w:rPr>
        <w:t xml:space="preserve">adult word count </w:t>
      </w:r>
      <w:r w:rsidR="00E66DBE">
        <w:rPr>
          <w:rStyle w:val="CommentReference"/>
          <w:kern w:val="2"/>
          <w:sz w:val="20"/>
          <w:szCs w:val="20"/>
          <w14:ligatures w14:val="standardContextual"/>
        </w:rPr>
        <w:t xml:space="preserve">(AWC), the estimated </w:t>
      </w:r>
      <w:r w:rsidR="00F206D5" w:rsidRPr="776B8301">
        <w:rPr>
          <w:rStyle w:val="CommentReference"/>
          <w:sz w:val="20"/>
          <w:szCs w:val="20"/>
        </w:rPr>
        <w:t xml:space="preserve">number of adult words </w:t>
      </w:r>
      <w:r w:rsidR="00E66DBE">
        <w:rPr>
          <w:rStyle w:val="CommentReference"/>
          <w:kern w:val="2"/>
          <w:sz w:val="20"/>
          <w:szCs w:val="20"/>
          <w14:ligatures w14:val="standardContextual"/>
        </w:rPr>
        <w:t>spoken in the presence of the infant during a daylong recording derived from the LENA</w:t>
      </w:r>
      <w:r w:rsidR="009664A1" w:rsidRPr="776B8301">
        <w:rPr>
          <w:rStyle w:val="CommentReference"/>
          <w:sz w:val="20"/>
          <w:szCs w:val="20"/>
        </w:rPr>
        <w:t xml:space="preserve"> prorated (i.e., divided by) the number of hours in the LENA recording</w:t>
      </w:r>
      <w:r w:rsidR="00E66DBE">
        <w:rPr>
          <w:rStyle w:val="CommentReference"/>
          <w:kern w:val="2"/>
          <w:sz w:val="20"/>
          <w:szCs w:val="20"/>
          <w14:ligatures w14:val="standardContextual"/>
        </w:rPr>
        <w:t>. T</w:t>
      </w:r>
      <w:r w:rsidR="00A16F23" w:rsidRPr="00E66DBE">
        <w:rPr>
          <w:color w:val="000000"/>
          <w:sz w:val="20"/>
          <w:szCs w:val="20"/>
        </w:rPr>
        <w:t>he</w:t>
      </w:r>
      <w:r w:rsidR="00A16F23" w:rsidRPr="00A16F23">
        <w:rPr>
          <w:color w:val="000000"/>
          <w:sz w:val="20"/>
          <w:szCs w:val="20"/>
        </w:rPr>
        <w:t xml:space="preserve"> stability of</w:t>
      </w:r>
      <w:r w:rsidR="00A16F23">
        <w:rPr>
          <w:color w:val="000000"/>
          <w:sz w:val="20"/>
          <w:szCs w:val="20"/>
        </w:rPr>
        <w:t xml:space="preserve"> </w:t>
      </w:r>
      <w:r w:rsidR="00E66DBE">
        <w:rPr>
          <w:color w:val="000000"/>
          <w:sz w:val="20"/>
          <w:szCs w:val="20"/>
        </w:rPr>
        <w:t xml:space="preserve">these </w:t>
      </w:r>
      <w:r w:rsidR="00A16F23" w:rsidRPr="00A16F23">
        <w:rPr>
          <w:color w:val="000000"/>
          <w:sz w:val="20"/>
          <w:szCs w:val="20"/>
        </w:rPr>
        <w:t xml:space="preserve">scores indexing caregiver talk </w:t>
      </w:r>
      <w:r w:rsidR="00CE7A0A">
        <w:rPr>
          <w:color w:val="000000"/>
          <w:sz w:val="20"/>
          <w:szCs w:val="20"/>
        </w:rPr>
        <w:t>was</w:t>
      </w:r>
      <w:r w:rsidR="00A16F23" w:rsidRPr="00A16F23">
        <w:rPr>
          <w:color w:val="000000"/>
          <w:sz w:val="20"/>
          <w:szCs w:val="20"/>
        </w:rPr>
        <w:t xml:space="preserve"> evaluated in a series of</w:t>
      </w:r>
      <w:r w:rsidR="00A16F23">
        <w:rPr>
          <w:color w:val="000000"/>
          <w:sz w:val="20"/>
          <w:szCs w:val="20"/>
        </w:rPr>
        <w:t xml:space="preserve"> </w:t>
      </w:r>
      <w:r w:rsidR="00A16F23" w:rsidRPr="00A16F23">
        <w:rPr>
          <w:color w:val="000000"/>
          <w:sz w:val="20"/>
          <w:szCs w:val="20"/>
        </w:rPr>
        <w:t xml:space="preserve">Generalizability and Decision (G &amp; D) studies. </w:t>
      </w:r>
      <w:r w:rsidR="00E857F2">
        <w:rPr>
          <w:color w:val="000000"/>
          <w:sz w:val="20"/>
          <w:szCs w:val="20"/>
        </w:rPr>
        <w:t>We set our</w:t>
      </w:r>
      <w:r w:rsidR="00E857F2" w:rsidRPr="00A16F23">
        <w:rPr>
          <w:color w:val="000000"/>
          <w:sz w:val="20"/>
          <w:szCs w:val="20"/>
        </w:rPr>
        <w:t xml:space="preserve"> </w:t>
      </w:r>
      <w:r w:rsidR="00A16F23" w:rsidRPr="00A16F23">
        <w:rPr>
          <w:color w:val="000000"/>
          <w:sz w:val="20"/>
          <w:szCs w:val="20"/>
        </w:rPr>
        <w:t xml:space="preserve">a priori threshold </w:t>
      </w:r>
      <w:r w:rsidR="00E857F2">
        <w:rPr>
          <w:color w:val="000000"/>
          <w:sz w:val="20"/>
          <w:szCs w:val="20"/>
        </w:rPr>
        <w:t>f</w:t>
      </w:r>
      <w:r w:rsidR="00A16F23" w:rsidRPr="00A16F23">
        <w:rPr>
          <w:color w:val="000000"/>
          <w:sz w:val="20"/>
          <w:szCs w:val="20"/>
        </w:rPr>
        <w:t>or acceptable stability</w:t>
      </w:r>
      <w:r w:rsidR="00A16F23">
        <w:rPr>
          <w:color w:val="000000"/>
          <w:sz w:val="20"/>
          <w:szCs w:val="20"/>
        </w:rPr>
        <w:t xml:space="preserve"> </w:t>
      </w:r>
      <w:r w:rsidR="00E857F2">
        <w:rPr>
          <w:color w:val="000000"/>
          <w:sz w:val="20"/>
          <w:szCs w:val="20"/>
        </w:rPr>
        <w:t>at</w:t>
      </w:r>
      <w:r w:rsidR="00A16F23" w:rsidRPr="00A16F23">
        <w:rPr>
          <w:color w:val="000000"/>
          <w:sz w:val="20"/>
          <w:szCs w:val="20"/>
        </w:rPr>
        <w:t xml:space="preserve"> </w:t>
      </w:r>
      <w:r w:rsidR="00A16F23" w:rsidRPr="776B8301">
        <w:rPr>
          <w:i/>
          <w:iCs/>
          <w:color w:val="000000"/>
          <w:sz w:val="20"/>
          <w:szCs w:val="20"/>
        </w:rPr>
        <w:t>g</w:t>
      </w:r>
      <w:r w:rsidR="00A16F23" w:rsidRPr="00A16F23">
        <w:rPr>
          <w:color w:val="000000"/>
          <w:sz w:val="20"/>
          <w:szCs w:val="20"/>
        </w:rPr>
        <w:t xml:space="preserve"> &gt; .8. </w:t>
      </w:r>
      <w:r w:rsidR="009664A1" w:rsidRPr="776B8301">
        <w:rPr>
          <w:color w:val="000000" w:themeColor="text1"/>
          <w:sz w:val="20"/>
          <w:szCs w:val="20"/>
        </w:rPr>
        <w:t xml:space="preserve">Prior to the Gatlinburg Conference, we will conduct a </w:t>
      </w:r>
      <w:r w:rsidR="00A16F23" w:rsidRPr="00A16F23">
        <w:rPr>
          <w:color w:val="000000"/>
          <w:sz w:val="20"/>
          <w:szCs w:val="20"/>
        </w:rPr>
        <w:t xml:space="preserve">series of </w:t>
      </w:r>
      <w:r w:rsidR="00F6615B">
        <w:rPr>
          <w:color w:val="000000"/>
          <w:sz w:val="20"/>
          <w:szCs w:val="20"/>
        </w:rPr>
        <w:t xml:space="preserve">correlation </w:t>
      </w:r>
      <w:r w:rsidR="00A16F23" w:rsidRPr="00A16F23">
        <w:rPr>
          <w:color w:val="000000"/>
          <w:sz w:val="20"/>
          <w:szCs w:val="20"/>
        </w:rPr>
        <w:t xml:space="preserve">analyses </w:t>
      </w:r>
      <w:r w:rsidR="00E66DBE">
        <w:rPr>
          <w:color w:val="000000"/>
          <w:sz w:val="20"/>
          <w:szCs w:val="20"/>
        </w:rPr>
        <w:t xml:space="preserve">for </w:t>
      </w:r>
      <w:r w:rsidR="00A16F23" w:rsidRPr="00A16F23">
        <w:rPr>
          <w:color w:val="000000"/>
          <w:sz w:val="20"/>
          <w:szCs w:val="20"/>
        </w:rPr>
        <w:t>each candidate index of caregiver talk as measured at T</w:t>
      </w:r>
      <w:r w:rsidR="00B42424" w:rsidRPr="776B8301">
        <w:rPr>
          <w:color w:val="000000" w:themeColor="text1"/>
          <w:sz w:val="20"/>
          <w:szCs w:val="20"/>
        </w:rPr>
        <w:t xml:space="preserve">ime </w:t>
      </w:r>
      <w:r w:rsidR="00A16F23" w:rsidRPr="00A16F23">
        <w:rPr>
          <w:color w:val="000000"/>
          <w:sz w:val="20"/>
          <w:szCs w:val="20"/>
        </w:rPr>
        <w:t xml:space="preserve">1 with </w:t>
      </w:r>
      <w:r w:rsidR="00B42424" w:rsidRPr="776B8301">
        <w:rPr>
          <w:color w:val="000000" w:themeColor="text1"/>
          <w:sz w:val="20"/>
          <w:szCs w:val="20"/>
        </w:rPr>
        <w:t xml:space="preserve">aggregates </w:t>
      </w:r>
      <w:r w:rsidR="00A16F23" w:rsidRPr="00A16F23">
        <w:rPr>
          <w:color w:val="000000"/>
          <w:sz w:val="20"/>
          <w:szCs w:val="20"/>
        </w:rPr>
        <w:t>of child</w:t>
      </w:r>
      <w:r w:rsidR="00A16F23">
        <w:rPr>
          <w:color w:val="000000"/>
          <w:sz w:val="20"/>
          <w:szCs w:val="20"/>
        </w:rPr>
        <w:t xml:space="preserve"> </w:t>
      </w:r>
      <w:r w:rsidR="00CE7A0A">
        <w:rPr>
          <w:color w:val="000000"/>
          <w:sz w:val="20"/>
          <w:szCs w:val="20"/>
        </w:rPr>
        <w:t>expressive</w:t>
      </w:r>
      <w:r w:rsidR="00F6615B">
        <w:rPr>
          <w:color w:val="000000"/>
          <w:sz w:val="20"/>
          <w:szCs w:val="20"/>
        </w:rPr>
        <w:t xml:space="preserve"> and receptive</w:t>
      </w:r>
      <w:r w:rsidR="00CE7A0A">
        <w:rPr>
          <w:color w:val="000000"/>
          <w:sz w:val="20"/>
          <w:szCs w:val="20"/>
        </w:rPr>
        <w:t xml:space="preserve"> </w:t>
      </w:r>
      <w:r w:rsidR="00A16F23" w:rsidRPr="00A16F23">
        <w:rPr>
          <w:color w:val="000000"/>
          <w:sz w:val="20"/>
          <w:szCs w:val="20"/>
        </w:rPr>
        <w:t>language</w:t>
      </w:r>
      <w:r w:rsidR="00CE7A0A">
        <w:rPr>
          <w:color w:val="000000"/>
          <w:sz w:val="20"/>
          <w:szCs w:val="20"/>
        </w:rPr>
        <w:t xml:space="preserve"> as measured at Time 2, and</w:t>
      </w:r>
      <w:r w:rsidR="00A16F23" w:rsidRPr="00A16F23">
        <w:rPr>
          <w:color w:val="000000"/>
          <w:sz w:val="20"/>
          <w:szCs w:val="20"/>
        </w:rPr>
        <w:t xml:space="preserve"> Steiger’s </w:t>
      </w:r>
      <w:r w:rsidR="00A16F23" w:rsidRPr="776B8301">
        <w:rPr>
          <w:i/>
          <w:iCs/>
          <w:color w:val="000000"/>
          <w:sz w:val="20"/>
          <w:szCs w:val="20"/>
        </w:rPr>
        <w:t>Z</w:t>
      </w:r>
      <w:r w:rsidR="00A16F23" w:rsidRPr="00A16F23">
        <w:rPr>
          <w:color w:val="000000"/>
          <w:sz w:val="20"/>
          <w:szCs w:val="20"/>
        </w:rPr>
        <w:t>-tests will be utilized to compare the</w:t>
      </w:r>
      <w:r w:rsidR="00A16F23">
        <w:rPr>
          <w:color w:val="000000"/>
          <w:sz w:val="20"/>
          <w:szCs w:val="20"/>
        </w:rPr>
        <w:t xml:space="preserve"> </w:t>
      </w:r>
      <w:r w:rsidR="00A16F23" w:rsidRPr="00A16F23">
        <w:rPr>
          <w:color w:val="000000"/>
          <w:sz w:val="20"/>
          <w:szCs w:val="20"/>
        </w:rPr>
        <w:t>relative predictive validity of scores derived via CCFPs and LENA recordings.</w:t>
      </w:r>
    </w:p>
    <w:p w14:paraId="459FD2C9" w14:textId="205C837E" w:rsidR="00CC7059" w:rsidRPr="00462352" w:rsidRDefault="003D6244" w:rsidP="00CC7059">
      <w:pPr>
        <w:rPr>
          <w:rFonts w:ascii="Times New Roman" w:hAnsi="Times New Roman" w:cs="Times New Roman"/>
        </w:rPr>
      </w:pPr>
      <w:r w:rsidRPr="776B8301">
        <w:rPr>
          <w:b/>
          <w:bCs/>
          <w:color w:val="000000" w:themeColor="text1"/>
          <w:sz w:val="20"/>
          <w:szCs w:val="20"/>
          <w:lang w:val="en-GB"/>
        </w:rPr>
        <w:t>Results</w:t>
      </w:r>
      <w:r w:rsidRPr="776B8301">
        <w:rPr>
          <w:color w:val="000000" w:themeColor="text1"/>
          <w:sz w:val="20"/>
          <w:szCs w:val="20"/>
          <w:lang w:val="en-GB"/>
        </w:rPr>
        <w:t xml:space="preserve">: </w:t>
      </w:r>
      <w:r w:rsidR="00CC7059" w:rsidRPr="776B8301">
        <w:rPr>
          <w:sz w:val="20"/>
          <w:szCs w:val="20"/>
        </w:rPr>
        <w:t xml:space="preserve">When analyzing the stability of caregiver </w:t>
      </w:r>
      <w:r w:rsidR="00E66DBE" w:rsidRPr="776B8301">
        <w:rPr>
          <w:sz w:val="20"/>
          <w:szCs w:val="20"/>
        </w:rPr>
        <w:t xml:space="preserve">FIUs </w:t>
      </w:r>
      <w:r w:rsidR="00CC7059" w:rsidRPr="776B8301">
        <w:rPr>
          <w:sz w:val="20"/>
          <w:szCs w:val="20"/>
        </w:rPr>
        <w:t>from the caregiver–child free plays across</w:t>
      </w:r>
      <w:r w:rsidR="00E857F2" w:rsidRPr="776B8301">
        <w:rPr>
          <w:sz w:val="20"/>
          <w:szCs w:val="20"/>
        </w:rPr>
        <w:t xml:space="preserve"> sibling</w:t>
      </w:r>
      <w:r w:rsidR="00CC7059" w:rsidRPr="776B8301">
        <w:rPr>
          <w:sz w:val="20"/>
          <w:szCs w:val="20"/>
        </w:rPr>
        <w:t xml:space="preserve"> groups, as well as within Sibs-autism and Sibs-NA, acceptable stability was reached (i.e., a </w:t>
      </w:r>
      <w:r w:rsidR="00CC7059" w:rsidRPr="776B8301">
        <w:rPr>
          <w:i/>
          <w:iCs/>
          <w:sz w:val="20"/>
          <w:szCs w:val="20"/>
        </w:rPr>
        <w:t xml:space="preserve">g </w:t>
      </w:r>
      <w:r w:rsidR="00CC7059" w:rsidRPr="776B8301">
        <w:rPr>
          <w:sz w:val="20"/>
          <w:szCs w:val="20"/>
        </w:rPr>
        <w:t xml:space="preserve">coefficient of at least .8) with two </w:t>
      </w:r>
      <w:r w:rsidR="00CE7A0A" w:rsidRPr="776B8301">
        <w:rPr>
          <w:sz w:val="20"/>
          <w:szCs w:val="20"/>
        </w:rPr>
        <w:t>CCFP</w:t>
      </w:r>
      <w:r w:rsidR="00CC7059" w:rsidRPr="776B8301">
        <w:rPr>
          <w:sz w:val="20"/>
          <w:szCs w:val="20"/>
        </w:rPr>
        <w:t xml:space="preserve"> sessions (</w:t>
      </w:r>
      <w:r w:rsidR="00CC7059" w:rsidRPr="776B8301">
        <w:rPr>
          <w:i/>
          <w:iCs/>
          <w:sz w:val="20"/>
          <w:szCs w:val="20"/>
        </w:rPr>
        <w:t xml:space="preserve">g </w:t>
      </w:r>
      <w:r w:rsidR="009664A1" w:rsidRPr="776B8301">
        <w:rPr>
          <w:sz w:val="20"/>
          <w:szCs w:val="20"/>
        </w:rPr>
        <w:t xml:space="preserve">for all participants </w:t>
      </w:r>
      <w:r w:rsidR="00CC7059" w:rsidRPr="776B8301">
        <w:rPr>
          <w:sz w:val="20"/>
          <w:szCs w:val="20"/>
        </w:rPr>
        <w:t xml:space="preserve">= .86, </w:t>
      </w:r>
      <w:r w:rsidR="00CC7059" w:rsidRPr="776B8301">
        <w:rPr>
          <w:i/>
          <w:iCs/>
          <w:sz w:val="20"/>
          <w:szCs w:val="20"/>
        </w:rPr>
        <w:t xml:space="preserve">g </w:t>
      </w:r>
      <w:r w:rsidR="009664A1" w:rsidRPr="776B8301">
        <w:rPr>
          <w:sz w:val="20"/>
          <w:szCs w:val="20"/>
        </w:rPr>
        <w:t xml:space="preserve">for Sibs-autism </w:t>
      </w:r>
      <w:r w:rsidR="00CC7059" w:rsidRPr="776B8301">
        <w:rPr>
          <w:sz w:val="20"/>
          <w:szCs w:val="20"/>
        </w:rPr>
        <w:t xml:space="preserve">= .84, and </w:t>
      </w:r>
      <w:r w:rsidR="00CC7059" w:rsidRPr="776B8301">
        <w:rPr>
          <w:i/>
          <w:iCs/>
          <w:sz w:val="20"/>
          <w:szCs w:val="20"/>
        </w:rPr>
        <w:t xml:space="preserve">g </w:t>
      </w:r>
      <w:r w:rsidR="009664A1" w:rsidRPr="776B8301">
        <w:rPr>
          <w:sz w:val="20"/>
          <w:szCs w:val="20"/>
        </w:rPr>
        <w:t xml:space="preserve">for Sibs-NA </w:t>
      </w:r>
      <w:r w:rsidR="00CC7059" w:rsidRPr="776B8301">
        <w:rPr>
          <w:sz w:val="20"/>
          <w:szCs w:val="20"/>
        </w:rPr>
        <w:t xml:space="preserve">= .88). Across all participants, as well as within Sibs-autism and Sibs-NA, </w:t>
      </w:r>
      <w:r w:rsidR="009664A1" w:rsidRPr="776B8301">
        <w:rPr>
          <w:sz w:val="20"/>
          <w:szCs w:val="20"/>
        </w:rPr>
        <w:t xml:space="preserve">caregiver FIUs </w:t>
      </w:r>
      <w:r w:rsidR="00CC7059" w:rsidRPr="776B8301">
        <w:rPr>
          <w:sz w:val="20"/>
          <w:szCs w:val="20"/>
        </w:rPr>
        <w:t xml:space="preserve">did not reach the threshold for acceptable stability </w:t>
      </w:r>
      <w:r w:rsidR="009664A1" w:rsidRPr="776B8301">
        <w:rPr>
          <w:sz w:val="20"/>
          <w:szCs w:val="20"/>
        </w:rPr>
        <w:t xml:space="preserve">with </w:t>
      </w:r>
      <w:r w:rsidR="00B42424" w:rsidRPr="776B8301">
        <w:rPr>
          <w:sz w:val="20"/>
          <w:szCs w:val="20"/>
        </w:rPr>
        <w:t>one</w:t>
      </w:r>
      <w:r w:rsidR="009664A1" w:rsidRPr="776B8301">
        <w:rPr>
          <w:sz w:val="20"/>
          <w:szCs w:val="20"/>
        </w:rPr>
        <w:t xml:space="preserve"> CCFP session </w:t>
      </w:r>
      <w:r w:rsidR="00CC7059" w:rsidRPr="776B8301">
        <w:rPr>
          <w:sz w:val="20"/>
          <w:szCs w:val="20"/>
        </w:rPr>
        <w:t>(</w:t>
      </w:r>
      <w:r w:rsidR="00CC7059" w:rsidRPr="776B8301">
        <w:rPr>
          <w:i/>
          <w:iCs/>
          <w:sz w:val="20"/>
          <w:szCs w:val="20"/>
        </w:rPr>
        <w:t xml:space="preserve">g = </w:t>
      </w:r>
      <w:r w:rsidR="00CC7059" w:rsidRPr="776B8301">
        <w:rPr>
          <w:sz w:val="20"/>
          <w:szCs w:val="20"/>
        </w:rPr>
        <w:t xml:space="preserve">.76, </w:t>
      </w:r>
      <w:r w:rsidR="00CC7059" w:rsidRPr="776B8301">
        <w:rPr>
          <w:i/>
          <w:iCs/>
          <w:sz w:val="20"/>
          <w:szCs w:val="20"/>
        </w:rPr>
        <w:t xml:space="preserve">g = </w:t>
      </w:r>
      <w:r w:rsidR="00CC7059" w:rsidRPr="776B8301">
        <w:rPr>
          <w:sz w:val="20"/>
          <w:szCs w:val="20"/>
        </w:rPr>
        <w:t xml:space="preserve">.73, and </w:t>
      </w:r>
      <w:r w:rsidR="00CC7059" w:rsidRPr="776B8301">
        <w:rPr>
          <w:i/>
          <w:iCs/>
          <w:sz w:val="20"/>
          <w:szCs w:val="20"/>
        </w:rPr>
        <w:t xml:space="preserve">g = </w:t>
      </w:r>
      <w:r w:rsidR="00CC7059" w:rsidRPr="776B8301">
        <w:rPr>
          <w:sz w:val="20"/>
          <w:szCs w:val="20"/>
        </w:rPr>
        <w:t xml:space="preserve">.78, respectively). When analyzing the stability of prorated </w:t>
      </w:r>
      <w:r w:rsidR="00E66DBE" w:rsidRPr="776B8301">
        <w:rPr>
          <w:sz w:val="20"/>
          <w:szCs w:val="20"/>
        </w:rPr>
        <w:t>AWC</w:t>
      </w:r>
      <w:r w:rsidR="00CE7A0A" w:rsidRPr="776B8301">
        <w:rPr>
          <w:sz w:val="20"/>
          <w:szCs w:val="20"/>
        </w:rPr>
        <w:t xml:space="preserve"> as derived via LENA</w:t>
      </w:r>
      <w:r w:rsidR="00CC7059" w:rsidRPr="776B8301">
        <w:rPr>
          <w:sz w:val="20"/>
          <w:szCs w:val="20"/>
        </w:rPr>
        <w:t xml:space="preserve"> from daylong recordings, only Sibs-autism reached </w:t>
      </w:r>
      <w:r w:rsidR="009664A1" w:rsidRPr="776B8301">
        <w:rPr>
          <w:sz w:val="20"/>
          <w:szCs w:val="20"/>
        </w:rPr>
        <w:t xml:space="preserve">our </w:t>
      </w:r>
      <w:r w:rsidR="00CC7059" w:rsidRPr="776B8301">
        <w:rPr>
          <w:sz w:val="20"/>
          <w:szCs w:val="20"/>
        </w:rPr>
        <w:t>threshold for acceptable stability with two daylong recordings (</w:t>
      </w:r>
      <w:r w:rsidR="00CC7059" w:rsidRPr="776B8301">
        <w:rPr>
          <w:i/>
          <w:iCs/>
          <w:sz w:val="20"/>
          <w:szCs w:val="20"/>
        </w:rPr>
        <w:t xml:space="preserve">g = </w:t>
      </w:r>
      <w:r w:rsidR="00CC7059" w:rsidRPr="776B8301">
        <w:rPr>
          <w:sz w:val="20"/>
          <w:szCs w:val="20"/>
        </w:rPr>
        <w:t xml:space="preserve">.83). Within Sibs-NA and across </w:t>
      </w:r>
      <w:r w:rsidR="00E857F2" w:rsidRPr="776B8301">
        <w:rPr>
          <w:sz w:val="20"/>
          <w:szCs w:val="20"/>
        </w:rPr>
        <w:t xml:space="preserve">sibling </w:t>
      </w:r>
      <w:r w:rsidR="00CC7059" w:rsidRPr="776B8301">
        <w:rPr>
          <w:sz w:val="20"/>
          <w:szCs w:val="20"/>
        </w:rPr>
        <w:t xml:space="preserve">groups, this variable did not reach the threshold for acceptable stability </w:t>
      </w:r>
      <w:r w:rsidR="00CE7A0A" w:rsidRPr="776B8301">
        <w:rPr>
          <w:sz w:val="20"/>
          <w:szCs w:val="20"/>
        </w:rPr>
        <w:t xml:space="preserve">with two daylong recordings </w:t>
      </w:r>
      <w:r w:rsidR="00CC7059" w:rsidRPr="776B8301">
        <w:rPr>
          <w:sz w:val="20"/>
          <w:szCs w:val="20"/>
        </w:rPr>
        <w:t>(</w:t>
      </w:r>
      <w:r w:rsidR="00CC7059" w:rsidRPr="776B8301">
        <w:rPr>
          <w:i/>
          <w:iCs/>
          <w:sz w:val="20"/>
          <w:szCs w:val="20"/>
        </w:rPr>
        <w:t xml:space="preserve">g = </w:t>
      </w:r>
      <w:r w:rsidR="00CC7059" w:rsidRPr="776B8301">
        <w:rPr>
          <w:sz w:val="20"/>
          <w:szCs w:val="20"/>
        </w:rPr>
        <w:t xml:space="preserve">.72 and </w:t>
      </w:r>
      <w:r w:rsidR="00CC7059" w:rsidRPr="776B8301">
        <w:rPr>
          <w:i/>
          <w:iCs/>
          <w:sz w:val="20"/>
          <w:szCs w:val="20"/>
        </w:rPr>
        <w:t xml:space="preserve">g = </w:t>
      </w:r>
      <w:r w:rsidR="00CC7059" w:rsidRPr="776B8301">
        <w:rPr>
          <w:sz w:val="20"/>
          <w:szCs w:val="20"/>
        </w:rPr>
        <w:t xml:space="preserve">.78, respectively). The D-study for this variable indicated that four daylong audio recordings would be required to </w:t>
      </w:r>
      <w:r w:rsidR="00CE7A0A" w:rsidRPr="776B8301">
        <w:rPr>
          <w:sz w:val="20"/>
          <w:szCs w:val="20"/>
        </w:rPr>
        <w:t>surpass</w:t>
      </w:r>
      <w:r w:rsidR="00CC7059" w:rsidRPr="776B8301">
        <w:rPr>
          <w:sz w:val="20"/>
          <w:szCs w:val="20"/>
        </w:rPr>
        <w:t xml:space="preserve"> acceptable stability in Sibs-NA (projected </w:t>
      </w:r>
      <w:r w:rsidR="00CC7059" w:rsidRPr="776B8301">
        <w:rPr>
          <w:i/>
          <w:iCs/>
          <w:sz w:val="20"/>
          <w:szCs w:val="20"/>
        </w:rPr>
        <w:t>g</w:t>
      </w:r>
      <w:r w:rsidR="00CC7059" w:rsidRPr="776B8301">
        <w:rPr>
          <w:sz w:val="20"/>
          <w:szCs w:val="20"/>
        </w:rPr>
        <w:t xml:space="preserve"> = .84), and three daylong audio recordings would be required to achieve acceptable stability </w:t>
      </w:r>
      <w:r w:rsidR="00CE7A0A" w:rsidRPr="776B8301">
        <w:rPr>
          <w:sz w:val="20"/>
          <w:szCs w:val="20"/>
        </w:rPr>
        <w:t>across</w:t>
      </w:r>
      <w:r w:rsidR="00CC7059" w:rsidRPr="776B8301">
        <w:rPr>
          <w:sz w:val="20"/>
          <w:szCs w:val="20"/>
        </w:rPr>
        <w:t xml:space="preserve"> all participants (projected </w:t>
      </w:r>
      <w:r w:rsidR="00CC7059" w:rsidRPr="776B8301">
        <w:rPr>
          <w:i/>
          <w:iCs/>
          <w:sz w:val="20"/>
          <w:szCs w:val="20"/>
        </w:rPr>
        <w:t xml:space="preserve">g </w:t>
      </w:r>
      <w:r w:rsidR="00CC7059" w:rsidRPr="776B8301">
        <w:rPr>
          <w:sz w:val="20"/>
          <w:szCs w:val="20"/>
        </w:rPr>
        <w:t xml:space="preserve">= .84). </w:t>
      </w:r>
    </w:p>
    <w:p w14:paraId="7AC50375" w14:textId="182D3F36" w:rsidR="003D6244" w:rsidRPr="00A16F23" w:rsidRDefault="003D6244" w:rsidP="00B27381">
      <w:pPr>
        <w:rPr>
          <w:iCs/>
          <w:color w:val="000000"/>
          <w:sz w:val="20"/>
          <w:szCs w:val="20"/>
        </w:rPr>
      </w:pPr>
      <w:r>
        <w:rPr>
          <w:b/>
          <w:iCs/>
          <w:color w:val="000000"/>
          <w:sz w:val="20"/>
          <w:szCs w:val="20"/>
          <w:lang w:val="en-GB"/>
        </w:rPr>
        <w:t xml:space="preserve">Discussion: </w:t>
      </w:r>
      <w:r w:rsidR="00A16F23" w:rsidRPr="00A16F23">
        <w:rPr>
          <w:iCs/>
          <w:color w:val="000000"/>
          <w:sz w:val="20"/>
          <w:szCs w:val="20"/>
        </w:rPr>
        <w:t>Th</w:t>
      </w:r>
      <w:r w:rsidR="005B4431">
        <w:rPr>
          <w:iCs/>
          <w:color w:val="000000"/>
          <w:sz w:val="20"/>
          <w:szCs w:val="20"/>
        </w:rPr>
        <w:t xml:space="preserve">is study </w:t>
      </w:r>
      <w:r w:rsidR="001D4B18">
        <w:rPr>
          <w:iCs/>
          <w:color w:val="000000"/>
          <w:sz w:val="20"/>
          <w:szCs w:val="20"/>
        </w:rPr>
        <w:t>provide</w:t>
      </w:r>
      <w:r w:rsidR="005B4431">
        <w:rPr>
          <w:iCs/>
          <w:color w:val="000000"/>
          <w:sz w:val="20"/>
          <w:szCs w:val="20"/>
        </w:rPr>
        <w:t>s</w:t>
      </w:r>
      <w:r w:rsidR="001D4B18">
        <w:rPr>
          <w:iCs/>
          <w:color w:val="000000"/>
          <w:sz w:val="20"/>
          <w:szCs w:val="20"/>
        </w:rPr>
        <w:t xml:space="preserve"> </w:t>
      </w:r>
      <w:r w:rsidR="00CE7A0A">
        <w:rPr>
          <w:iCs/>
          <w:color w:val="000000"/>
          <w:sz w:val="20"/>
          <w:szCs w:val="20"/>
        </w:rPr>
        <w:t>insights into</w:t>
      </w:r>
      <w:r w:rsidR="001D4B18">
        <w:rPr>
          <w:iCs/>
          <w:color w:val="000000"/>
          <w:sz w:val="20"/>
          <w:szCs w:val="20"/>
        </w:rPr>
        <w:t xml:space="preserve"> the</w:t>
      </w:r>
      <w:r w:rsidR="00A16F23" w:rsidRPr="00A16F23">
        <w:rPr>
          <w:iCs/>
          <w:color w:val="000000"/>
          <w:sz w:val="20"/>
          <w:szCs w:val="20"/>
        </w:rPr>
        <w:t xml:space="preserve"> psychometrics of novel versus more</w:t>
      </w:r>
      <w:r w:rsidR="00A16F23">
        <w:rPr>
          <w:iCs/>
          <w:color w:val="000000"/>
          <w:sz w:val="20"/>
          <w:szCs w:val="20"/>
        </w:rPr>
        <w:t xml:space="preserve"> </w:t>
      </w:r>
      <w:r w:rsidR="00A16F23" w:rsidRPr="00A16F23">
        <w:rPr>
          <w:iCs/>
          <w:color w:val="000000"/>
          <w:sz w:val="20"/>
          <w:szCs w:val="20"/>
        </w:rPr>
        <w:t>conventional measures of caregiver talk.</w:t>
      </w:r>
      <w:r w:rsidR="005B4431">
        <w:rPr>
          <w:iCs/>
          <w:color w:val="000000"/>
          <w:sz w:val="20"/>
          <w:szCs w:val="20"/>
        </w:rPr>
        <w:t xml:space="preserve"> Our</w:t>
      </w:r>
      <w:r w:rsidR="00C8141E">
        <w:rPr>
          <w:iCs/>
          <w:color w:val="000000"/>
          <w:sz w:val="20"/>
          <w:szCs w:val="20"/>
        </w:rPr>
        <w:t xml:space="preserve"> </w:t>
      </w:r>
      <w:r w:rsidR="005B4431">
        <w:rPr>
          <w:iCs/>
          <w:color w:val="000000"/>
          <w:sz w:val="20"/>
          <w:szCs w:val="20"/>
        </w:rPr>
        <w:t>preliminary results suggest that</w:t>
      </w:r>
      <w:r w:rsidR="007B1CBC">
        <w:rPr>
          <w:iCs/>
          <w:color w:val="000000"/>
          <w:sz w:val="20"/>
          <w:szCs w:val="20"/>
        </w:rPr>
        <w:t xml:space="preserve"> indices of caregiver talk derived from CCFP</w:t>
      </w:r>
      <w:r w:rsidR="005B4431">
        <w:rPr>
          <w:iCs/>
          <w:color w:val="000000"/>
          <w:sz w:val="20"/>
          <w:szCs w:val="20"/>
        </w:rPr>
        <w:t>s</w:t>
      </w:r>
      <w:r w:rsidR="007B1CBC">
        <w:rPr>
          <w:iCs/>
          <w:color w:val="000000"/>
          <w:sz w:val="20"/>
          <w:szCs w:val="20"/>
        </w:rPr>
        <w:t xml:space="preserve"> </w:t>
      </w:r>
      <w:r w:rsidR="005B4431">
        <w:rPr>
          <w:iCs/>
          <w:color w:val="000000"/>
          <w:sz w:val="20"/>
          <w:szCs w:val="20"/>
        </w:rPr>
        <w:t>are</w:t>
      </w:r>
      <w:r w:rsidR="007B1CBC">
        <w:rPr>
          <w:iCs/>
          <w:color w:val="000000"/>
          <w:sz w:val="20"/>
          <w:szCs w:val="20"/>
        </w:rPr>
        <w:t xml:space="preserve"> more stable than indices from LENA</w:t>
      </w:r>
      <w:r w:rsidR="005B4431">
        <w:rPr>
          <w:iCs/>
          <w:color w:val="000000"/>
          <w:sz w:val="20"/>
          <w:szCs w:val="20"/>
        </w:rPr>
        <w:t xml:space="preserve"> across </w:t>
      </w:r>
      <w:r w:rsidR="005B4431">
        <w:rPr>
          <w:iCs/>
          <w:color w:val="000000"/>
          <w:sz w:val="20"/>
          <w:szCs w:val="20"/>
        </w:rPr>
        <w:lastRenderedPageBreak/>
        <w:t>infants at high and general-population level likelihood for autism</w:t>
      </w:r>
      <w:r w:rsidR="007B1CBC">
        <w:rPr>
          <w:iCs/>
          <w:color w:val="000000"/>
          <w:sz w:val="20"/>
          <w:szCs w:val="20"/>
        </w:rPr>
        <w:t>.</w:t>
      </w:r>
      <w:r w:rsidR="005B4431">
        <w:rPr>
          <w:iCs/>
          <w:color w:val="000000"/>
          <w:sz w:val="20"/>
          <w:szCs w:val="20"/>
        </w:rPr>
        <w:t xml:space="preserve"> Findings for predictive validity will be shared at the Gatlinburg </w:t>
      </w:r>
      <w:r w:rsidR="00B42424">
        <w:rPr>
          <w:iCs/>
          <w:color w:val="000000"/>
          <w:sz w:val="20"/>
          <w:szCs w:val="20"/>
        </w:rPr>
        <w:t>C</w:t>
      </w:r>
      <w:r w:rsidR="005B4431">
        <w:rPr>
          <w:iCs/>
          <w:color w:val="000000"/>
          <w:sz w:val="20"/>
          <w:szCs w:val="20"/>
        </w:rPr>
        <w:t xml:space="preserve">onference.  Implications of this work for research and clinical practice will be discussed. </w:t>
      </w:r>
    </w:p>
    <w:p w14:paraId="7AC50376" w14:textId="4B690FBC" w:rsidR="003D6244" w:rsidRDefault="003D6244" w:rsidP="009664A1">
      <w:pPr>
        <w:spacing w:after="0"/>
        <w:rPr>
          <w:color w:val="000000"/>
          <w:sz w:val="20"/>
          <w:szCs w:val="20"/>
        </w:rPr>
      </w:pPr>
      <w:r w:rsidRPr="00514B99">
        <w:rPr>
          <w:b/>
          <w:color w:val="000000"/>
          <w:sz w:val="20"/>
          <w:szCs w:val="20"/>
          <w:lang w:val="en-GB"/>
        </w:rPr>
        <w:t>References</w:t>
      </w:r>
      <w:r>
        <w:rPr>
          <w:b/>
          <w:color w:val="000000"/>
          <w:sz w:val="20"/>
          <w:szCs w:val="20"/>
          <w:lang w:val="en-GB"/>
        </w:rPr>
        <w:t xml:space="preserve">: </w:t>
      </w:r>
    </w:p>
    <w:p w14:paraId="3BC65603" w14:textId="24CCC890" w:rsidR="00B27381" w:rsidRPr="009664A1" w:rsidRDefault="007577EA" w:rsidP="776B8301">
      <w:pPr>
        <w:pStyle w:val="FootnoteText"/>
        <w:numPr>
          <w:ilvl w:val="0"/>
          <w:numId w:val="2"/>
        </w:numPr>
        <w:rPr>
          <w:color w:val="1B1B1B"/>
        </w:rPr>
      </w:pPr>
      <w:r w:rsidRPr="00774FE9">
        <w:rPr>
          <w:rFonts w:asciiTheme="minorHAnsi" w:hAnsiTheme="minorHAnsi" w:cstheme="minorBidi"/>
          <w:color w:val="212121"/>
        </w:rPr>
        <w:t xml:space="preserve">Markfeld, J. E., Feldman, J. I., Daly, C., </w:t>
      </w:r>
      <w:proofErr w:type="spellStart"/>
      <w:r w:rsidRPr="00774FE9">
        <w:rPr>
          <w:rFonts w:asciiTheme="minorHAnsi" w:hAnsiTheme="minorHAnsi" w:cstheme="minorBidi"/>
          <w:color w:val="212121"/>
        </w:rPr>
        <w:t>Santapuram</w:t>
      </w:r>
      <w:proofErr w:type="spellEnd"/>
      <w:r w:rsidRPr="00774FE9">
        <w:rPr>
          <w:rFonts w:asciiTheme="minorHAnsi" w:hAnsiTheme="minorHAnsi" w:cstheme="minorBidi"/>
          <w:color w:val="212121"/>
        </w:rPr>
        <w:t xml:space="preserve">, P., Bowman, S. M., Dunham-Carr, K., Suzman, E., </w:t>
      </w:r>
      <w:proofErr w:type="spellStart"/>
      <w:r w:rsidRPr="00774FE9">
        <w:rPr>
          <w:rFonts w:asciiTheme="minorHAnsi" w:hAnsiTheme="minorHAnsi" w:cstheme="minorBidi"/>
          <w:color w:val="212121"/>
        </w:rPr>
        <w:t>Keçeli-Kaysılı</w:t>
      </w:r>
      <w:proofErr w:type="spellEnd"/>
      <w:r w:rsidRPr="00774FE9">
        <w:rPr>
          <w:rFonts w:asciiTheme="minorHAnsi" w:hAnsiTheme="minorHAnsi" w:cstheme="minorBidi"/>
          <w:color w:val="212121"/>
        </w:rPr>
        <w:t xml:space="preserve">, B., &amp; Woynaroski, T. G. (2023). The </w:t>
      </w:r>
      <w:r w:rsidR="00854FDD" w:rsidRPr="00774FE9">
        <w:rPr>
          <w:rFonts w:asciiTheme="minorHAnsi" w:hAnsiTheme="minorHAnsi" w:cstheme="minorBidi"/>
          <w:color w:val="212121"/>
        </w:rPr>
        <w:t>s</w:t>
      </w:r>
      <w:r w:rsidRPr="00774FE9">
        <w:rPr>
          <w:rFonts w:asciiTheme="minorHAnsi" w:hAnsiTheme="minorHAnsi" w:cstheme="minorBidi"/>
          <w:color w:val="212121"/>
        </w:rPr>
        <w:t xml:space="preserve">tability and </w:t>
      </w:r>
      <w:r w:rsidR="00854FDD" w:rsidRPr="00774FE9">
        <w:rPr>
          <w:rFonts w:asciiTheme="minorHAnsi" w:hAnsiTheme="minorHAnsi" w:cstheme="minorBidi"/>
          <w:color w:val="212121"/>
        </w:rPr>
        <w:t>v</w:t>
      </w:r>
      <w:r w:rsidRPr="00774FE9">
        <w:rPr>
          <w:rFonts w:asciiTheme="minorHAnsi" w:hAnsiTheme="minorHAnsi" w:cstheme="minorBidi"/>
          <w:color w:val="212121"/>
        </w:rPr>
        <w:t xml:space="preserve">alidity of </w:t>
      </w:r>
      <w:r w:rsidR="00854FDD" w:rsidRPr="00774FE9">
        <w:rPr>
          <w:rFonts w:asciiTheme="minorHAnsi" w:hAnsiTheme="minorHAnsi" w:cstheme="minorBidi"/>
          <w:color w:val="212121"/>
        </w:rPr>
        <w:t>a</w:t>
      </w:r>
      <w:r w:rsidRPr="00774FE9">
        <w:rPr>
          <w:rFonts w:asciiTheme="minorHAnsi" w:hAnsiTheme="minorHAnsi" w:cstheme="minorBidi"/>
          <w:color w:val="212121"/>
        </w:rPr>
        <w:t xml:space="preserve">utomated </w:t>
      </w:r>
      <w:r w:rsidR="00854FDD" w:rsidRPr="00774FE9">
        <w:rPr>
          <w:rFonts w:asciiTheme="minorHAnsi" w:hAnsiTheme="minorHAnsi" w:cstheme="minorBidi"/>
          <w:color w:val="212121"/>
        </w:rPr>
        <w:t>i</w:t>
      </w:r>
      <w:r w:rsidRPr="00774FE9">
        <w:rPr>
          <w:rFonts w:asciiTheme="minorHAnsi" w:hAnsiTheme="minorHAnsi" w:cstheme="minorBidi"/>
          <w:color w:val="212121"/>
        </w:rPr>
        <w:t xml:space="preserve">ndices of </w:t>
      </w:r>
      <w:r w:rsidR="00854FDD" w:rsidRPr="00774FE9">
        <w:rPr>
          <w:rFonts w:asciiTheme="minorHAnsi" w:hAnsiTheme="minorHAnsi" w:cstheme="minorBidi"/>
          <w:color w:val="212121"/>
        </w:rPr>
        <w:t>v</w:t>
      </w:r>
      <w:r w:rsidRPr="00774FE9">
        <w:rPr>
          <w:rFonts w:asciiTheme="minorHAnsi" w:hAnsiTheme="minorHAnsi" w:cstheme="minorBidi"/>
          <w:color w:val="212121"/>
        </w:rPr>
        <w:t xml:space="preserve">ocal </w:t>
      </w:r>
      <w:r w:rsidR="00854FDD" w:rsidRPr="00774FE9">
        <w:rPr>
          <w:rFonts w:asciiTheme="minorHAnsi" w:hAnsiTheme="minorHAnsi" w:cstheme="minorBidi"/>
          <w:color w:val="212121"/>
        </w:rPr>
        <w:t>d</w:t>
      </w:r>
      <w:r w:rsidRPr="00774FE9">
        <w:rPr>
          <w:rFonts w:asciiTheme="minorHAnsi" w:hAnsiTheme="minorHAnsi" w:cstheme="minorBidi"/>
          <w:color w:val="212121"/>
        </w:rPr>
        <w:t xml:space="preserve">evelopment in </w:t>
      </w:r>
      <w:r w:rsidR="00854FDD" w:rsidRPr="00774FE9">
        <w:rPr>
          <w:rFonts w:asciiTheme="minorHAnsi" w:hAnsiTheme="minorHAnsi" w:cstheme="minorBidi"/>
          <w:color w:val="212121"/>
        </w:rPr>
        <w:t>i</w:t>
      </w:r>
      <w:r w:rsidRPr="00774FE9">
        <w:rPr>
          <w:rFonts w:asciiTheme="minorHAnsi" w:hAnsiTheme="minorHAnsi" w:cstheme="minorBidi"/>
          <w:color w:val="212121"/>
        </w:rPr>
        <w:t xml:space="preserve">nfants </w:t>
      </w:r>
      <w:r w:rsidR="00854FDD" w:rsidRPr="00774FE9">
        <w:rPr>
          <w:rFonts w:asciiTheme="minorHAnsi" w:hAnsiTheme="minorHAnsi" w:cstheme="minorBidi"/>
          <w:color w:val="212121"/>
        </w:rPr>
        <w:t>w</w:t>
      </w:r>
      <w:r w:rsidRPr="00774FE9">
        <w:rPr>
          <w:rFonts w:asciiTheme="minorHAnsi" w:hAnsiTheme="minorHAnsi" w:cstheme="minorBidi"/>
          <w:color w:val="212121"/>
        </w:rPr>
        <w:t xml:space="preserve">ith </w:t>
      </w:r>
      <w:r w:rsidR="00854FDD" w:rsidRPr="00774FE9">
        <w:rPr>
          <w:rFonts w:asciiTheme="minorHAnsi" w:hAnsiTheme="minorHAnsi" w:cstheme="minorBidi"/>
          <w:color w:val="212121"/>
        </w:rPr>
        <w:t>a</w:t>
      </w:r>
      <w:r w:rsidRPr="00774FE9">
        <w:rPr>
          <w:rFonts w:asciiTheme="minorHAnsi" w:hAnsiTheme="minorHAnsi" w:cstheme="minorBidi"/>
          <w:color w:val="212121"/>
        </w:rPr>
        <w:t xml:space="preserve">utistic and </w:t>
      </w:r>
      <w:r w:rsidR="00854FDD" w:rsidRPr="00774FE9">
        <w:rPr>
          <w:rFonts w:asciiTheme="minorHAnsi" w:hAnsiTheme="minorHAnsi" w:cstheme="minorBidi"/>
          <w:color w:val="212121"/>
        </w:rPr>
        <w:t>n</w:t>
      </w:r>
      <w:r w:rsidRPr="00774FE9">
        <w:rPr>
          <w:rFonts w:asciiTheme="minorHAnsi" w:hAnsiTheme="minorHAnsi" w:cstheme="minorBidi"/>
          <w:color w:val="212121"/>
        </w:rPr>
        <w:t>on-</w:t>
      </w:r>
      <w:r w:rsidR="00854FDD" w:rsidRPr="00774FE9">
        <w:rPr>
          <w:rFonts w:asciiTheme="minorHAnsi" w:hAnsiTheme="minorHAnsi" w:cstheme="minorBidi"/>
          <w:color w:val="212121"/>
        </w:rPr>
        <w:t>a</w:t>
      </w:r>
      <w:r w:rsidRPr="00774FE9">
        <w:rPr>
          <w:rFonts w:asciiTheme="minorHAnsi" w:hAnsiTheme="minorHAnsi" w:cstheme="minorBidi"/>
          <w:color w:val="212121"/>
        </w:rPr>
        <w:t xml:space="preserve">utistic </w:t>
      </w:r>
      <w:r w:rsidR="00854FDD" w:rsidRPr="00774FE9">
        <w:rPr>
          <w:rFonts w:asciiTheme="minorHAnsi" w:hAnsiTheme="minorHAnsi" w:cstheme="minorBidi"/>
          <w:color w:val="212121"/>
        </w:rPr>
        <w:t>s</w:t>
      </w:r>
      <w:r w:rsidRPr="00774FE9">
        <w:rPr>
          <w:rFonts w:asciiTheme="minorHAnsi" w:hAnsiTheme="minorHAnsi" w:cstheme="minorBidi"/>
          <w:color w:val="212121"/>
        </w:rPr>
        <w:t>iblings. </w:t>
      </w:r>
      <w:r w:rsidRPr="00774FE9">
        <w:rPr>
          <w:rFonts w:asciiTheme="minorHAnsi" w:hAnsiTheme="minorHAnsi" w:cstheme="minorBidi"/>
          <w:i/>
          <w:iCs/>
          <w:color w:val="212121"/>
        </w:rPr>
        <w:t>Journal of Speech, Language, and Hearing Research</w:t>
      </w:r>
      <w:r w:rsidRPr="00774FE9">
        <w:rPr>
          <w:rFonts w:asciiTheme="minorHAnsi" w:hAnsiTheme="minorHAnsi" w:cstheme="minorBidi"/>
          <w:color w:val="212121"/>
        </w:rPr>
        <w:t>, </w:t>
      </w:r>
      <w:r w:rsidRPr="00774FE9">
        <w:rPr>
          <w:rFonts w:asciiTheme="minorHAnsi" w:hAnsiTheme="minorHAnsi" w:cstheme="minorBidi"/>
          <w:i/>
          <w:iCs/>
          <w:color w:val="212121"/>
        </w:rPr>
        <w:t>66</w:t>
      </w:r>
      <w:r w:rsidRPr="00774FE9">
        <w:rPr>
          <w:rFonts w:asciiTheme="minorHAnsi" w:hAnsiTheme="minorHAnsi" w:cstheme="minorBidi"/>
          <w:color w:val="212121"/>
        </w:rPr>
        <w:t xml:space="preserve">(12), 4934–4948. </w:t>
      </w:r>
      <w:hyperlink r:id="rId10" w:history="1">
        <w:r w:rsidRPr="00774FE9">
          <w:rPr>
            <w:rStyle w:val="Hyperlink"/>
            <w:rFonts w:asciiTheme="minorHAnsi" w:hAnsiTheme="minorHAnsi" w:cstheme="minorBidi"/>
          </w:rPr>
          <w:t>https://doi.org/10.1044/2023_JSLHR-23-00069</w:t>
        </w:r>
      </w:hyperlink>
    </w:p>
    <w:p w14:paraId="43ACD969" w14:textId="6065C794" w:rsidR="007577EA" w:rsidRPr="009664A1" w:rsidRDefault="007577EA" w:rsidP="776B8301">
      <w:pPr>
        <w:pStyle w:val="FootnoteText"/>
        <w:numPr>
          <w:ilvl w:val="0"/>
          <w:numId w:val="2"/>
        </w:numPr>
        <w:rPr>
          <w:color w:val="1B1B1B"/>
        </w:rPr>
      </w:pP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Swanson, M. R., Donovan, K., Paterson, S., Wolff, J. J., Parish-Morris, J., Meera, S. S., Watson, L. R., Estes, A. M., </w:t>
      </w:r>
      <w:proofErr w:type="spellStart"/>
      <w:r w:rsidRPr="776B8301">
        <w:rPr>
          <w:rFonts w:asciiTheme="minorHAnsi" w:hAnsiTheme="minorHAnsi" w:cstheme="minorBidi"/>
          <w:color w:val="1B1B1B"/>
          <w:shd w:val="clear" w:color="auto" w:fill="FFFFFF"/>
        </w:rPr>
        <w:t>Marrus</w:t>
      </w:r>
      <w:proofErr w:type="spellEnd"/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, N., Elison, J. T., Shen, M. D., McNeilly, H. B., </w:t>
      </w:r>
      <w:proofErr w:type="spellStart"/>
      <w:r w:rsidRPr="776B8301">
        <w:rPr>
          <w:rFonts w:asciiTheme="minorHAnsi" w:hAnsiTheme="minorHAnsi" w:cstheme="minorBidi"/>
          <w:color w:val="1B1B1B"/>
          <w:shd w:val="clear" w:color="auto" w:fill="FFFFFF"/>
        </w:rPr>
        <w:t>MacIntyre</w:t>
      </w:r>
      <w:proofErr w:type="spellEnd"/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, L., </w:t>
      </w:r>
      <w:proofErr w:type="spellStart"/>
      <w:r w:rsidRPr="776B8301">
        <w:rPr>
          <w:rFonts w:asciiTheme="minorHAnsi" w:hAnsiTheme="minorHAnsi" w:cstheme="minorBidi"/>
          <w:color w:val="1B1B1B"/>
          <w:shd w:val="clear" w:color="auto" w:fill="FFFFFF"/>
        </w:rPr>
        <w:t>Zwaigenbaum</w:t>
      </w:r>
      <w:proofErr w:type="spellEnd"/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, L., St John, T., Botteron, K., Dager, S., Piven, J., &amp; IBIS Network (2019). Early </w:t>
      </w:r>
      <w:r w:rsidR="00854FDD" w:rsidRPr="776B8301">
        <w:rPr>
          <w:rFonts w:asciiTheme="minorHAnsi" w:hAnsiTheme="minorHAnsi" w:cstheme="minorBidi"/>
          <w:color w:val="1B1B1B"/>
          <w:shd w:val="clear" w:color="auto" w:fill="FFFFFF"/>
        </w:rPr>
        <w:t>l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anguage </w:t>
      </w:r>
      <w:r w:rsidR="00854FDD" w:rsidRPr="776B8301">
        <w:rPr>
          <w:rFonts w:asciiTheme="minorHAnsi" w:hAnsiTheme="minorHAnsi" w:cstheme="minorBidi"/>
          <w:color w:val="1B1B1B"/>
          <w:shd w:val="clear" w:color="auto" w:fill="FFFFFF"/>
        </w:rPr>
        <w:t>e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xposure </w:t>
      </w:r>
      <w:r w:rsidR="00854FDD" w:rsidRPr="776B8301">
        <w:rPr>
          <w:rFonts w:asciiTheme="minorHAnsi" w:hAnsiTheme="minorHAnsi" w:cstheme="minorBidi"/>
          <w:color w:val="1B1B1B"/>
          <w:shd w:val="clear" w:color="auto" w:fill="FFFFFF"/>
        </w:rPr>
        <w:t>s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upports </w:t>
      </w:r>
      <w:r w:rsidR="00854FDD" w:rsidRPr="776B8301">
        <w:rPr>
          <w:rFonts w:asciiTheme="minorHAnsi" w:hAnsiTheme="minorHAnsi" w:cstheme="minorBidi"/>
          <w:color w:val="1B1B1B"/>
          <w:shd w:val="clear" w:color="auto" w:fill="FFFFFF"/>
        </w:rPr>
        <w:t>l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ater </w:t>
      </w:r>
      <w:r w:rsidR="00854FDD" w:rsidRPr="776B8301">
        <w:rPr>
          <w:rFonts w:asciiTheme="minorHAnsi" w:hAnsiTheme="minorHAnsi" w:cstheme="minorBidi"/>
          <w:color w:val="1B1B1B"/>
          <w:shd w:val="clear" w:color="auto" w:fill="FFFFFF"/>
        </w:rPr>
        <w:t>l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anguage </w:t>
      </w:r>
      <w:r w:rsidR="00854FDD" w:rsidRPr="776B8301">
        <w:rPr>
          <w:rFonts w:asciiTheme="minorHAnsi" w:hAnsiTheme="minorHAnsi" w:cstheme="minorBidi"/>
          <w:color w:val="1B1B1B"/>
          <w:shd w:val="clear" w:color="auto" w:fill="FFFFFF"/>
        </w:rPr>
        <w:t>s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kills in </w:t>
      </w:r>
      <w:r w:rsidR="00854FDD" w:rsidRPr="776B8301">
        <w:rPr>
          <w:rFonts w:asciiTheme="minorHAnsi" w:hAnsiTheme="minorHAnsi" w:cstheme="minorBidi"/>
          <w:color w:val="1B1B1B"/>
          <w:shd w:val="clear" w:color="auto" w:fill="FFFFFF"/>
        </w:rPr>
        <w:t>i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nfants </w:t>
      </w:r>
      <w:r w:rsidR="00854FDD" w:rsidRPr="776B8301">
        <w:rPr>
          <w:rFonts w:asciiTheme="minorHAnsi" w:hAnsiTheme="minorHAnsi" w:cstheme="minorBidi"/>
          <w:color w:val="1B1B1B"/>
          <w:shd w:val="clear" w:color="auto" w:fill="FFFFFF"/>
        </w:rPr>
        <w:t>w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ith and </w:t>
      </w:r>
      <w:r w:rsidR="00854FDD" w:rsidRPr="776B8301">
        <w:rPr>
          <w:rFonts w:asciiTheme="minorHAnsi" w:hAnsiTheme="minorHAnsi" w:cstheme="minorBidi"/>
          <w:color w:val="1B1B1B"/>
          <w:shd w:val="clear" w:color="auto" w:fill="FFFFFF"/>
        </w:rPr>
        <w:t>w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ithout </w:t>
      </w:r>
      <w:r w:rsidR="00854FDD" w:rsidRPr="776B8301">
        <w:rPr>
          <w:rFonts w:asciiTheme="minorHAnsi" w:hAnsiTheme="minorHAnsi" w:cstheme="minorBidi"/>
          <w:color w:val="1B1B1B"/>
          <w:shd w:val="clear" w:color="auto" w:fill="FFFFFF"/>
        </w:rPr>
        <w:t>a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>utism. </w:t>
      </w:r>
      <w:bookmarkStart w:id="0" w:name="OLE_LINK1"/>
      <w:r w:rsidRPr="776B8301">
        <w:rPr>
          <w:rFonts w:asciiTheme="minorHAnsi" w:hAnsiTheme="minorHAnsi" w:cstheme="minorBidi"/>
          <w:i/>
          <w:iCs/>
          <w:color w:val="1B1B1B"/>
          <w:shd w:val="clear" w:color="auto" w:fill="FFFFFF"/>
        </w:rPr>
        <w:t>Autism Research</w:t>
      </w:r>
      <w:bookmarkEnd w:id="0"/>
      <w:r w:rsidRPr="776B8301">
        <w:rPr>
          <w:rFonts w:asciiTheme="minorHAnsi" w:hAnsiTheme="minorHAnsi" w:cstheme="minorBidi"/>
          <w:color w:val="1B1B1B"/>
          <w:shd w:val="clear" w:color="auto" w:fill="FFFFFF"/>
        </w:rPr>
        <w:t>, </w:t>
      </w:r>
      <w:r w:rsidRPr="776B8301">
        <w:rPr>
          <w:rFonts w:asciiTheme="minorHAnsi" w:hAnsiTheme="minorHAnsi" w:cstheme="minorBidi"/>
          <w:i/>
          <w:iCs/>
          <w:color w:val="1B1B1B"/>
          <w:shd w:val="clear" w:color="auto" w:fill="FFFFFF"/>
        </w:rPr>
        <w:t>12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(12), 1784–1795. </w:t>
      </w:r>
      <w:hyperlink r:id="rId11" w:history="1">
        <w:r w:rsidRPr="00774FE9">
          <w:rPr>
            <w:rStyle w:val="Hyperlink"/>
            <w:rFonts w:asciiTheme="minorHAnsi" w:hAnsiTheme="minorHAnsi" w:cstheme="minorBidi"/>
          </w:rPr>
          <w:t>https://doi.org/10.1002/aur.2163</w:t>
        </w:r>
      </w:hyperlink>
    </w:p>
    <w:p w14:paraId="6EE9C581" w14:textId="54F76DFA" w:rsidR="00B27381" w:rsidRPr="007577EA" w:rsidRDefault="007577EA" w:rsidP="776B8301">
      <w:pPr>
        <w:pStyle w:val="FootnoteText"/>
        <w:numPr>
          <w:ilvl w:val="0"/>
          <w:numId w:val="2"/>
        </w:numPr>
        <w:rPr>
          <w:rFonts w:asciiTheme="minorHAnsi" w:hAnsiTheme="minorHAnsi" w:cstheme="minorBidi"/>
          <w:color w:val="1B1B1B"/>
          <w:shd w:val="clear" w:color="auto" w:fill="FFFFFF"/>
        </w:rPr>
      </w:pP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Woynaroski, T., Oller, D. K., </w:t>
      </w:r>
      <w:proofErr w:type="spellStart"/>
      <w:r w:rsidR="605A5711" w:rsidRPr="00774FE9">
        <w:rPr>
          <w:rFonts w:asciiTheme="minorHAnsi" w:hAnsiTheme="minorHAnsi" w:cstheme="minorBidi"/>
          <w:color w:val="212121"/>
        </w:rPr>
        <w:t>Keçeli-Kaysılı</w:t>
      </w:r>
      <w:proofErr w:type="spellEnd"/>
      <w:r w:rsidRPr="776B8301">
        <w:rPr>
          <w:rFonts w:asciiTheme="minorHAnsi" w:hAnsiTheme="minorHAnsi" w:cstheme="minorBidi"/>
          <w:color w:val="1B1B1B"/>
          <w:shd w:val="clear" w:color="auto" w:fill="FFFFFF"/>
        </w:rPr>
        <w:t>, B., Xu, D., Richards, J. A., Gilkerson, J., Gray, S., &amp; Yoder, P. (2017). The stability and validity of automated vocal analysis in preverbal preschoolers with autism spectrum disorder. </w:t>
      </w:r>
      <w:r w:rsidRPr="776B8301">
        <w:rPr>
          <w:rFonts w:asciiTheme="minorHAnsi" w:hAnsiTheme="minorHAnsi" w:cstheme="minorBidi"/>
          <w:i/>
          <w:iCs/>
          <w:color w:val="1B1B1B"/>
          <w:shd w:val="clear" w:color="auto" w:fill="FFFFFF"/>
        </w:rPr>
        <w:t>Autism Research</w:t>
      </w:r>
      <w:r w:rsidR="00F6615B" w:rsidRPr="776B8301">
        <w:rPr>
          <w:rFonts w:asciiTheme="minorHAnsi" w:hAnsiTheme="minorHAnsi" w:cstheme="minorBidi"/>
          <w:i/>
          <w:iCs/>
          <w:color w:val="1B1B1B"/>
          <w:shd w:val="clear" w:color="auto" w:fill="FFFFFF"/>
        </w:rPr>
        <w:t xml:space="preserve">, </w:t>
      </w:r>
      <w:r w:rsidRPr="776B8301">
        <w:rPr>
          <w:rFonts w:asciiTheme="minorHAnsi" w:hAnsiTheme="minorHAnsi" w:cstheme="minorBidi"/>
          <w:i/>
          <w:iCs/>
          <w:color w:val="1B1B1B"/>
          <w:shd w:val="clear" w:color="auto" w:fill="FFFFFF"/>
        </w:rPr>
        <w:t>10</w:t>
      </w:r>
      <w:r w:rsidRPr="776B8301">
        <w:rPr>
          <w:rFonts w:asciiTheme="minorHAnsi" w:hAnsiTheme="minorHAnsi" w:cstheme="minorBidi"/>
          <w:color w:val="1B1B1B"/>
          <w:shd w:val="clear" w:color="auto" w:fill="FFFFFF"/>
        </w:rPr>
        <w:t xml:space="preserve">(3), 508–519. </w:t>
      </w:r>
      <w:hyperlink r:id="rId12" w:history="1">
        <w:r w:rsidRPr="00774FE9">
          <w:rPr>
            <w:rStyle w:val="Hyperlink"/>
            <w:rFonts w:asciiTheme="minorHAnsi" w:hAnsiTheme="minorHAnsi" w:cstheme="minorBidi"/>
          </w:rPr>
          <w:t>https://doi.org/10.1002/aur.1667</w:t>
        </w:r>
      </w:hyperlink>
    </w:p>
    <w:p w14:paraId="3259C133" w14:textId="77777777" w:rsidR="007577EA" w:rsidRDefault="007577EA" w:rsidP="003D6244">
      <w:pPr>
        <w:pStyle w:val="FootnoteText"/>
      </w:pPr>
    </w:p>
    <w:p w14:paraId="7AC50377" w14:textId="15EE3812" w:rsidR="003D6244" w:rsidRPr="008B1E03" w:rsidRDefault="003D6244" w:rsidP="003D6244">
      <w:pPr>
        <w:pStyle w:val="FootnoteText"/>
        <w:rPr>
          <w:lang w:val="en-CA"/>
        </w:rPr>
      </w:pPr>
      <w:r w:rsidRPr="008B1E03">
        <w:rPr>
          <w:rStyle w:val="FootnoteReference"/>
        </w:rPr>
        <w:footnoteRef/>
      </w:r>
      <w:r w:rsidRPr="008B1E03">
        <w:t xml:space="preserve"> </w:t>
      </w:r>
      <w:r w:rsidR="00A16F23">
        <w:rPr>
          <w:lang w:val="en-CA"/>
        </w:rPr>
        <w:t>Vanderbilt University Medical Center</w:t>
      </w:r>
    </w:p>
    <w:p w14:paraId="44C0CD10" w14:textId="4CAA263F" w:rsidR="00A16F23" w:rsidRDefault="003D6244" w:rsidP="0059601C">
      <w:pPr>
        <w:pStyle w:val="FootnoteText"/>
      </w:pPr>
      <w:r>
        <w:rPr>
          <w:rStyle w:val="FootnoteReference"/>
        </w:rPr>
        <w:t>2</w:t>
      </w:r>
      <w:r w:rsidR="00A16F23">
        <w:t xml:space="preserve"> Vanderbilt University</w:t>
      </w:r>
    </w:p>
    <w:p w14:paraId="368A1834" w14:textId="50068E11" w:rsidR="00A16F23" w:rsidRDefault="00A16F23" w:rsidP="0059601C">
      <w:pPr>
        <w:pStyle w:val="FootnoteText"/>
      </w:pPr>
      <w:r w:rsidRPr="00A16F23">
        <w:rPr>
          <w:vertAlign w:val="superscript"/>
        </w:rPr>
        <w:t>3</w:t>
      </w:r>
      <w:r>
        <w:t xml:space="preserve"> Frist Center for Autism and Innovation in the Workplace</w:t>
      </w:r>
      <w:r w:rsidR="00F206D5">
        <w:t>, Vanderbilt University</w:t>
      </w:r>
    </w:p>
    <w:p w14:paraId="541EA3BB" w14:textId="380CE68C" w:rsidR="00A16F23" w:rsidRDefault="00A16F23" w:rsidP="0059601C">
      <w:pPr>
        <w:pStyle w:val="FootnoteText"/>
      </w:pPr>
      <w:r w:rsidRPr="00A16F23">
        <w:rPr>
          <w:vertAlign w:val="superscript"/>
        </w:rPr>
        <w:t xml:space="preserve">4 </w:t>
      </w:r>
      <w:r>
        <w:t>Boston College</w:t>
      </w:r>
    </w:p>
    <w:p w14:paraId="61F54819" w14:textId="517FF7B0" w:rsidR="00A16F23" w:rsidRDefault="00A16F23" w:rsidP="0059601C">
      <w:pPr>
        <w:pStyle w:val="FootnoteText"/>
      </w:pPr>
      <w:r w:rsidRPr="00A16F23">
        <w:rPr>
          <w:vertAlign w:val="superscript"/>
        </w:rPr>
        <w:t xml:space="preserve">5 </w:t>
      </w:r>
      <w:r>
        <w:t>Vanderbilt Brain Institute</w:t>
      </w:r>
    </w:p>
    <w:p w14:paraId="354E0C61" w14:textId="2FD22102" w:rsidR="00A16F23" w:rsidRDefault="00A16F23" w:rsidP="0059601C">
      <w:pPr>
        <w:pStyle w:val="FootnoteText"/>
      </w:pPr>
      <w:r w:rsidRPr="00A16F23">
        <w:rPr>
          <w:vertAlign w:val="superscript"/>
        </w:rPr>
        <w:t xml:space="preserve">6 </w:t>
      </w:r>
      <w:r>
        <w:t>Vanderbilt Kennedy Center</w:t>
      </w:r>
    </w:p>
    <w:p w14:paraId="5F491432" w14:textId="1D2A4A8C" w:rsidR="00DC1E14" w:rsidRPr="00DC1E14" w:rsidRDefault="00DC1E14" w:rsidP="0059601C">
      <w:pPr>
        <w:pStyle w:val="FootnoteText"/>
        <w:rPr>
          <w:lang w:val="en-CA"/>
        </w:rPr>
      </w:pPr>
      <w:r>
        <w:rPr>
          <w:vertAlign w:val="superscript"/>
        </w:rPr>
        <w:t>7</w:t>
      </w:r>
      <w:r>
        <w:t xml:space="preserve"> University of Hawaii at Manoa</w:t>
      </w:r>
    </w:p>
    <w:p w14:paraId="7AC5037A" w14:textId="77777777" w:rsidR="001C735E" w:rsidRPr="003D6244" w:rsidRDefault="001C735E" w:rsidP="003D6244"/>
    <w:sectPr w:rsidR="001C735E" w:rsidRPr="003D6244" w:rsidSect="00394E2C">
      <w:headerReference w:type="default" r:id="rId13"/>
      <w:footerReference w:type="default" r:id="rId14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AE68" w14:textId="77777777" w:rsidR="00CA078F" w:rsidRDefault="00CA078F" w:rsidP="00A16498">
      <w:pPr>
        <w:spacing w:after="0" w:line="240" w:lineRule="auto"/>
      </w:pPr>
      <w:r>
        <w:separator/>
      </w:r>
    </w:p>
  </w:endnote>
  <w:endnote w:type="continuationSeparator" w:id="0">
    <w:p w14:paraId="2F5E9385" w14:textId="77777777" w:rsidR="00CA078F" w:rsidRDefault="00CA078F" w:rsidP="00A1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panose1 w:val="02000506000000020004"/>
    <w:charset w:val="00"/>
    <w:family w:val="auto"/>
    <w:pitch w:val="variable"/>
    <w:sig w:usb0="800000AF" w:usb1="4000204B" w:usb2="000008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A4A0" w14:textId="77777777" w:rsidR="00CA078F" w:rsidRDefault="00CA078F" w:rsidP="00A16498">
      <w:pPr>
        <w:spacing w:after="0" w:line="240" w:lineRule="auto"/>
      </w:pPr>
      <w:r>
        <w:separator/>
      </w:r>
    </w:p>
  </w:footnote>
  <w:footnote w:type="continuationSeparator" w:id="0">
    <w:p w14:paraId="2E281D1D" w14:textId="77777777" w:rsidR="00CA078F" w:rsidRDefault="00CA078F" w:rsidP="00A1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5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7AC50385" w14:textId="77E815E7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59601C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77777777" w:rsidR="00A16498" w:rsidRPr="006535AF" w:rsidRDefault="00244C29" w:rsidP="009E1B56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6535AF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AC50383" id="Group 196" o:spid="_x0000_s1026" style="position:absolute;margin-left:-1.6pt;margin-top:18.05pt;width:525.2pt;height:36pt;z-index:251659264;mso-position-horizontal-relative:margin;mso-position-vertical-relative:top-margin-area" coordorigin="377,360" coordsize="11488,7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" o:allowincell="f">
              <v:rect id="Rectangle 197" o:spid="_x0000_s1027" style="position:absolute;left:377;top:360;width:9252;height: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" filled="f" strokecolor="#444c6a" strokeweight="2pt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14:paraId="7AC50385" w14:textId="77E815E7" w:rsidR="00A16498" w:rsidRPr="007B4CE7" w:rsidRDefault="00A16498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="003C4D59"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59601C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5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" fillcolor="#76923c [2406]" stroked="f" strokecolor="white" strokeweight="2pt">
                <v:textbox>
                  <w:txbxContent>
                    <w:p w14:paraId="7AC50386" w14:textId="77777777" w:rsidR="00A16498" w:rsidRPr="006535AF" w:rsidRDefault="00244C29" w:rsidP="009E1B56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6535AF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EXAMPLE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365DE"/>
    <w:multiLevelType w:val="hybridMultilevel"/>
    <w:tmpl w:val="79DA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2626">
    <w:abstractNumId w:val="0"/>
  </w:num>
  <w:num w:numId="2" w16cid:durableId="192487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98"/>
    <w:rsid w:val="000130DA"/>
    <w:rsid w:val="000D0162"/>
    <w:rsid w:val="00114FE5"/>
    <w:rsid w:val="00146682"/>
    <w:rsid w:val="00151352"/>
    <w:rsid w:val="00157198"/>
    <w:rsid w:val="001C735E"/>
    <w:rsid w:val="001D4B18"/>
    <w:rsid w:val="00226854"/>
    <w:rsid w:val="00244C29"/>
    <w:rsid w:val="002872AA"/>
    <w:rsid w:val="00293150"/>
    <w:rsid w:val="002C21EA"/>
    <w:rsid w:val="00300310"/>
    <w:rsid w:val="00312417"/>
    <w:rsid w:val="00316B3B"/>
    <w:rsid w:val="0032171F"/>
    <w:rsid w:val="00324E6F"/>
    <w:rsid w:val="0033415B"/>
    <w:rsid w:val="00394E2C"/>
    <w:rsid w:val="003B0285"/>
    <w:rsid w:val="003C2A0A"/>
    <w:rsid w:val="003C4D59"/>
    <w:rsid w:val="003D6244"/>
    <w:rsid w:val="003F558A"/>
    <w:rsid w:val="00412A17"/>
    <w:rsid w:val="00444D82"/>
    <w:rsid w:val="004473AC"/>
    <w:rsid w:val="00452576"/>
    <w:rsid w:val="0045428A"/>
    <w:rsid w:val="0048583B"/>
    <w:rsid w:val="004963C9"/>
    <w:rsid w:val="00503659"/>
    <w:rsid w:val="005314BE"/>
    <w:rsid w:val="00550360"/>
    <w:rsid w:val="00557215"/>
    <w:rsid w:val="00564E3C"/>
    <w:rsid w:val="00577DC4"/>
    <w:rsid w:val="0059601C"/>
    <w:rsid w:val="005B4431"/>
    <w:rsid w:val="005E5C56"/>
    <w:rsid w:val="005F3158"/>
    <w:rsid w:val="00625543"/>
    <w:rsid w:val="00650321"/>
    <w:rsid w:val="006535AF"/>
    <w:rsid w:val="006545EB"/>
    <w:rsid w:val="006637E7"/>
    <w:rsid w:val="0069448E"/>
    <w:rsid w:val="006C05DD"/>
    <w:rsid w:val="00722C91"/>
    <w:rsid w:val="00740C3E"/>
    <w:rsid w:val="00746ACE"/>
    <w:rsid w:val="00751F7F"/>
    <w:rsid w:val="00751FEE"/>
    <w:rsid w:val="007577EA"/>
    <w:rsid w:val="00762986"/>
    <w:rsid w:val="007722E4"/>
    <w:rsid w:val="00774FE9"/>
    <w:rsid w:val="0077649B"/>
    <w:rsid w:val="00777D73"/>
    <w:rsid w:val="007B1CBC"/>
    <w:rsid w:val="007B4CE7"/>
    <w:rsid w:val="00801D2A"/>
    <w:rsid w:val="00817FE3"/>
    <w:rsid w:val="008209C9"/>
    <w:rsid w:val="00850468"/>
    <w:rsid w:val="00854FDD"/>
    <w:rsid w:val="00856220"/>
    <w:rsid w:val="0087492A"/>
    <w:rsid w:val="008938D8"/>
    <w:rsid w:val="008A442D"/>
    <w:rsid w:val="008F023A"/>
    <w:rsid w:val="009126B0"/>
    <w:rsid w:val="00925FC6"/>
    <w:rsid w:val="009462E3"/>
    <w:rsid w:val="009664A1"/>
    <w:rsid w:val="00976FFE"/>
    <w:rsid w:val="009B1DAB"/>
    <w:rsid w:val="009B31E1"/>
    <w:rsid w:val="009E1B56"/>
    <w:rsid w:val="009F566F"/>
    <w:rsid w:val="00A16498"/>
    <w:rsid w:val="00A16F23"/>
    <w:rsid w:val="00AB7B37"/>
    <w:rsid w:val="00AE4ADB"/>
    <w:rsid w:val="00B226B4"/>
    <w:rsid w:val="00B27381"/>
    <w:rsid w:val="00B322DE"/>
    <w:rsid w:val="00B42424"/>
    <w:rsid w:val="00B475BA"/>
    <w:rsid w:val="00B55E40"/>
    <w:rsid w:val="00B71AFF"/>
    <w:rsid w:val="00B75B37"/>
    <w:rsid w:val="00B96094"/>
    <w:rsid w:val="00BA2D2D"/>
    <w:rsid w:val="00BE46CF"/>
    <w:rsid w:val="00BE4B1F"/>
    <w:rsid w:val="00BF05CB"/>
    <w:rsid w:val="00C20C84"/>
    <w:rsid w:val="00C6243D"/>
    <w:rsid w:val="00C80718"/>
    <w:rsid w:val="00C8141E"/>
    <w:rsid w:val="00CA078F"/>
    <w:rsid w:val="00CC7059"/>
    <w:rsid w:val="00CE7A0A"/>
    <w:rsid w:val="00CF3CDF"/>
    <w:rsid w:val="00CF7507"/>
    <w:rsid w:val="00D22520"/>
    <w:rsid w:val="00D46241"/>
    <w:rsid w:val="00D60D08"/>
    <w:rsid w:val="00DC15FA"/>
    <w:rsid w:val="00DC1E14"/>
    <w:rsid w:val="00DD1FD5"/>
    <w:rsid w:val="00E15391"/>
    <w:rsid w:val="00E34365"/>
    <w:rsid w:val="00E66DBE"/>
    <w:rsid w:val="00E857F2"/>
    <w:rsid w:val="00E95B2B"/>
    <w:rsid w:val="00EC1345"/>
    <w:rsid w:val="00EC7198"/>
    <w:rsid w:val="00F023E6"/>
    <w:rsid w:val="00F206D5"/>
    <w:rsid w:val="00F2162A"/>
    <w:rsid w:val="00F6615B"/>
    <w:rsid w:val="00F7153F"/>
    <w:rsid w:val="00FF5F04"/>
    <w:rsid w:val="10AB39BC"/>
    <w:rsid w:val="32236ED4"/>
    <w:rsid w:val="3ED5BB81"/>
    <w:rsid w:val="418BD6F5"/>
    <w:rsid w:val="53E9EB4B"/>
    <w:rsid w:val="605A5711"/>
    <w:rsid w:val="776B8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1CB715C7-E6A7-4079-B70E-22452003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1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B273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3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738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7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059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059"/>
    <w:rPr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E857F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7F2"/>
    <w:pPr>
      <w:spacing w:after="200"/>
    </w:pPr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7F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6003">
          <w:marLeft w:val="72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02/aur.166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02/aur.216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44/2023_JSLHR-23-0006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Gatlinburg Conference Poster Submission</vt:lpstr>
    </vt:vector>
  </TitlesOfParts>
  <Company>UCDHS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creator>BSHELTON</dc:creator>
  <cp:lastModifiedBy>Kim, Insung</cp:lastModifiedBy>
  <cp:revision>3</cp:revision>
  <dcterms:created xsi:type="dcterms:W3CDTF">2024-11-04T22:10:00Z</dcterms:created>
  <dcterms:modified xsi:type="dcterms:W3CDTF">2024-11-04T22:11:00Z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2024-10-31T03:04:18Z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d3c3947c-6da5-4bd6-a3bd-8a06769ab17b</vt:lpwstr>
  </property>
  <property fmtid="{D5CDD505-2E9C-101B-9397-08002B2CF9AE}" pid="9" name="MSIP_Label_792c8cef-6f2b-4af1-b4ac-d815ff795cd6_ContentBits">
    <vt:lpwstr>0</vt:lpwstr>
  </property>
</Properties>
</file>