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50370" w14:textId="0B76C87B" w:rsidR="003D6244" w:rsidRPr="009E00A7" w:rsidRDefault="003D6244" w:rsidP="003D6244">
      <w:pPr>
        <w:rPr>
          <w:sz w:val="20"/>
          <w:szCs w:val="20"/>
        </w:rPr>
      </w:pPr>
      <w:r w:rsidRPr="009E00A7">
        <w:rPr>
          <w:b/>
          <w:sz w:val="20"/>
          <w:szCs w:val="20"/>
        </w:rPr>
        <w:t>Title</w:t>
      </w:r>
      <w:r w:rsidRPr="009E00A7">
        <w:rPr>
          <w:sz w:val="20"/>
          <w:szCs w:val="20"/>
        </w:rPr>
        <w:t>:</w:t>
      </w:r>
      <w:r w:rsidRPr="00C434D5">
        <w:rPr>
          <w:sz w:val="20"/>
          <w:szCs w:val="20"/>
        </w:rPr>
        <w:t xml:space="preserve"> </w:t>
      </w:r>
      <w:r w:rsidR="003F514A" w:rsidRPr="00C434D5">
        <w:rPr>
          <w:sz w:val="20"/>
          <w:szCs w:val="20"/>
        </w:rPr>
        <w:t xml:space="preserve">Support Service Engagement in Children </w:t>
      </w:r>
      <w:r w:rsidR="00C434D5" w:rsidRPr="00C434D5">
        <w:rPr>
          <w:sz w:val="20"/>
          <w:szCs w:val="20"/>
        </w:rPr>
        <w:t>with</w:t>
      </w:r>
      <w:r w:rsidR="003F514A" w:rsidRPr="00C434D5">
        <w:rPr>
          <w:sz w:val="20"/>
          <w:szCs w:val="20"/>
        </w:rPr>
        <w:t xml:space="preserve"> Prenatal Alcohol Exposure </w:t>
      </w:r>
      <w:r w:rsidR="00C434D5">
        <w:rPr>
          <w:sz w:val="20"/>
          <w:szCs w:val="20"/>
        </w:rPr>
        <w:t>a</w:t>
      </w:r>
      <w:r w:rsidR="003F514A" w:rsidRPr="00C434D5">
        <w:rPr>
          <w:sz w:val="20"/>
          <w:szCs w:val="20"/>
        </w:rPr>
        <w:t>nd ADHD</w:t>
      </w:r>
    </w:p>
    <w:p w14:paraId="7AC50371" w14:textId="1A566ECE" w:rsidR="003D6244" w:rsidRPr="00581B9A" w:rsidRDefault="003D6244" w:rsidP="003D6244">
      <w:pPr>
        <w:rPr>
          <w:sz w:val="20"/>
          <w:szCs w:val="20"/>
          <w:vertAlign w:val="superscript"/>
        </w:rPr>
      </w:pPr>
      <w:r w:rsidRPr="009E00A7">
        <w:rPr>
          <w:b/>
          <w:sz w:val="20"/>
          <w:szCs w:val="20"/>
        </w:rPr>
        <w:t>Authors</w:t>
      </w:r>
      <w:r w:rsidRPr="009E00A7">
        <w:rPr>
          <w:sz w:val="20"/>
          <w:szCs w:val="20"/>
        </w:rPr>
        <w:t xml:space="preserve">: </w:t>
      </w:r>
      <w:r w:rsidR="00C434D5" w:rsidRPr="00C434D5">
        <w:rPr>
          <w:sz w:val="20"/>
          <w:szCs w:val="20"/>
        </w:rPr>
        <w:t>R.J. Felicicchia</w:t>
      </w:r>
      <w:r w:rsidR="00581B9A">
        <w:rPr>
          <w:sz w:val="20"/>
          <w:szCs w:val="20"/>
          <w:vertAlign w:val="superscript"/>
        </w:rPr>
        <w:t>1</w:t>
      </w:r>
      <w:r w:rsidR="00C434D5" w:rsidRPr="00C434D5">
        <w:rPr>
          <w:sz w:val="20"/>
          <w:szCs w:val="20"/>
        </w:rPr>
        <w:t>, D.N. Connely</w:t>
      </w:r>
      <w:r w:rsidR="00581B9A">
        <w:rPr>
          <w:sz w:val="20"/>
          <w:szCs w:val="20"/>
          <w:vertAlign w:val="superscript"/>
        </w:rPr>
        <w:t>1</w:t>
      </w:r>
      <w:r w:rsidR="00C434D5" w:rsidRPr="00C434D5">
        <w:rPr>
          <w:sz w:val="20"/>
          <w:szCs w:val="20"/>
        </w:rPr>
        <w:t xml:space="preserve"> &amp; S.N. Mattson</w:t>
      </w:r>
      <w:r w:rsidR="00581B9A">
        <w:rPr>
          <w:sz w:val="20"/>
          <w:szCs w:val="20"/>
          <w:vertAlign w:val="superscript"/>
        </w:rPr>
        <w:t>1</w:t>
      </w:r>
    </w:p>
    <w:p w14:paraId="77FE6733" w14:textId="38E62B2E" w:rsidR="00452576" w:rsidRPr="00C434D5" w:rsidRDefault="003D6244" w:rsidP="003D6244">
      <w:pPr>
        <w:rPr>
          <w:iCs/>
          <w:color w:val="000000"/>
          <w:sz w:val="20"/>
          <w:szCs w:val="20"/>
        </w:rPr>
      </w:pPr>
      <w:r w:rsidRPr="009E00A7">
        <w:rPr>
          <w:b/>
          <w:sz w:val="20"/>
          <w:szCs w:val="20"/>
        </w:rPr>
        <w:t>Introduction</w:t>
      </w:r>
      <w:r w:rsidRPr="009E00A7">
        <w:rPr>
          <w:sz w:val="20"/>
          <w:szCs w:val="20"/>
        </w:rPr>
        <w:t xml:space="preserve">: </w:t>
      </w:r>
      <w:r w:rsidR="00C434D5" w:rsidRPr="00C434D5">
        <w:rPr>
          <w:iCs/>
          <w:color w:val="000000"/>
          <w:sz w:val="20"/>
          <w:szCs w:val="20"/>
        </w:rPr>
        <w:t xml:space="preserve">Early intervention is critical for children with neurodevelopmental disorders </w:t>
      </w:r>
      <w:proofErr w:type="gramStart"/>
      <w:r w:rsidR="00C434D5" w:rsidRPr="00C434D5">
        <w:rPr>
          <w:iCs/>
          <w:color w:val="000000"/>
          <w:sz w:val="20"/>
          <w:szCs w:val="20"/>
        </w:rPr>
        <w:t>in order to</w:t>
      </w:r>
      <w:proofErr w:type="gramEnd"/>
      <w:r w:rsidR="00C434D5" w:rsidRPr="00C434D5">
        <w:rPr>
          <w:iCs/>
          <w:color w:val="000000"/>
          <w:sz w:val="20"/>
          <w:szCs w:val="20"/>
        </w:rPr>
        <w:t xml:space="preserve"> support cognitive and behavioral development. Children with prenatal alcohol exposure (PAE) face many barriers to receiving support services such as incorrect diagnosis, lack of eligibility, limited funding, and stigma (Montag et al., 2022). Many children with PAE also have an Attention-</w:t>
      </w:r>
      <w:r w:rsidR="006C56C4">
        <w:rPr>
          <w:iCs/>
          <w:color w:val="000000"/>
          <w:sz w:val="20"/>
          <w:szCs w:val="20"/>
        </w:rPr>
        <w:t>d</w:t>
      </w:r>
      <w:r w:rsidR="00C434D5" w:rsidRPr="00C434D5">
        <w:rPr>
          <w:iCs/>
          <w:color w:val="000000"/>
          <w:sz w:val="20"/>
          <w:szCs w:val="20"/>
        </w:rPr>
        <w:t>eficit/</w:t>
      </w:r>
      <w:r w:rsidR="006C56C4">
        <w:rPr>
          <w:iCs/>
          <w:color w:val="000000"/>
          <w:sz w:val="20"/>
          <w:szCs w:val="20"/>
        </w:rPr>
        <w:t>h</w:t>
      </w:r>
      <w:r w:rsidR="00C434D5" w:rsidRPr="00C434D5">
        <w:rPr>
          <w:iCs/>
          <w:color w:val="000000"/>
          <w:sz w:val="20"/>
          <w:szCs w:val="20"/>
        </w:rPr>
        <w:t xml:space="preserve">yperactivity </w:t>
      </w:r>
      <w:r w:rsidR="006C56C4">
        <w:rPr>
          <w:iCs/>
          <w:color w:val="000000"/>
          <w:sz w:val="20"/>
          <w:szCs w:val="20"/>
        </w:rPr>
        <w:t>d</w:t>
      </w:r>
      <w:r w:rsidR="00C434D5" w:rsidRPr="00C434D5">
        <w:rPr>
          <w:iCs/>
          <w:color w:val="000000"/>
          <w:sz w:val="20"/>
          <w:szCs w:val="20"/>
        </w:rPr>
        <w:t xml:space="preserve">isorder (ADHD) diagnosis (Fryer et al., 2007). Children with PAE and/or ADHD benefit from support through early intervention, Individualized Education Programs (IEP), and specialized support services such as speech therapy or mental health treatment (Reid et al., 2015). This study aimed to explore the association between PAE and/or ADHD and support service engagement </w:t>
      </w:r>
      <w:proofErr w:type="gramStart"/>
      <w:r w:rsidR="00C434D5" w:rsidRPr="00C434D5">
        <w:rPr>
          <w:iCs/>
          <w:color w:val="000000"/>
          <w:sz w:val="20"/>
          <w:szCs w:val="20"/>
        </w:rPr>
        <w:t>in order to</w:t>
      </w:r>
      <w:proofErr w:type="gramEnd"/>
      <w:r w:rsidR="00C434D5" w:rsidRPr="00C434D5">
        <w:rPr>
          <w:iCs/>
          <w:color w:val="000000"/>
          <w:sz w:val="20"/>
          <w:szCs w:val="20"/>
        </w:rPr>
        <w:t xml:space="preserve"> better understand support service needs in children with PAE compared to other clinical populations.</w:t>
      </w:r>
    </w:p>
    <w:p w14:paraId="7AC50373" w14:textId="20B94FE6" w:rsidR="003D6244" w:rsidRDefault="003D6244" w:rsidP="003D6244">
      <w:pPr>
        <w:rPr>
          <w:color w:val="000000"/>
          <w:sz w:val="20"/>
          <w:szCs w:val="20"/>
          <w:lang w:val="en-GB"/>
        </w:rPr>
      </w:pPr>
      <w:r>
        <w:rPr>
          <w:b/>
          <w:color w:val="000000"/>
          <w:sz w:val="20"/>
          <w:szCs w:val="20"/>
          <w:lang w:val="en-GB"/>
        </w:rPr>
        <w:t>Method</w:t>
      </w:r>
      <w:r>
        <w:rPr>
          <w:color w:val="000000"/>
          <w:sz w:val="20"/>
          <w:szCs w:val="20"/>
          <w:lang w:val="en-GB"/>
        </w:rPr>
        <w:t xml:space="preserve">: </w:t>
      </w:r>
      <w:r w:rsidR="00C434D5" w:rsidRPr="00C434D5">
        <w:rPr>
          <w:color w:val="000000"/>
          <w:sz w:val="20"/>
          <w:szCs w:val="20"/>
          <w:lang w:val="en-GB"/>
        </w:rPr>
        <w:t>As part of a larger research project, data were collected from participants 5-17</w:t>
      </w:r>
      <w:r w:rsidR="00581B9A" w:rsidRPr="00C434D5">
        <w:rPr>
          <w:color w:val="000000"/>
          <w:sz w:val="20"/>
          <w:szCs w:val="20"/>
          <w:lang w:val="en-GB"/>
        </w:rPr>
        <w:t>y (</w:t>
      </w:r>
      <w:r w:rsidR="00C434D5" w:rsidRPr="00C434D5">
        <w:rPr>
          <w:color w:val="000000"/>
          <w:sz w:val="20"/>
          <w:szCs w:val="20"/>
          <w:lang w:val="en-GB"/>
        </w:rPr>
        <w:t>n = 313) recruited from a university research site. Parents or guardians completed a comprehensive questionnaire to report support and intervention services their child has received and reported prenatal alcohol exposure history. Data collected from three groups were examined for the purposes of this analysis: PAE only (n= 122), ADHD only (n = 27), and PAE</w:t>
      </w:r>
      <w:r w:rsidR="0046310C">
        <w:rPr>
          <w:color w:val="000000"/>
          <w:sz w:val="20"/>
          <w:szCs w:val="20"/>
          <w:lang w:val="en-GB"/>
        </w:rPr>
        <w:t>/</w:t>
      </w:r>
      <w:r w:rsidR="00C434D5" w:rsidRPr="00C434D5">
        <w:rPr>
          <w:color w:val="000000"/>
          <w:sz w:val="20"/>
          <w:szCs w:val="20"/>
          <w:lang w:val="en-GB"/>
        </w:rPr>
        <w:t>ADHD (n = 164). The association between group and support service utilization (defined as: utilization of IEP, early intervention, and specialized support services) was examined using Chi-Square analys</w:t>
      </w:r>
      <w:r w:rsidR="00581B9A">
        <w:rPr>
          <w:color w:val="000000"/>
          <w:sz w:val="20"/>
          <w:szCs w:val="20"/>
          <w:lang w:val="en-GB"/>
        </w:rPr>
        <w:t>es</w:t>
      </w:r>
      <w:r w:rsidR="00C434D5" w:rsidRPr="00C434D5">
        <w:rPr>
          <w:color w:val="000000"/>
          <w:sz w:val="20"/>
          <w:szCs w:val="20"/>
          <w:lang w:val="en-GB"/>
        </w:rPr>
        <w:t>. Post hoc analyses using adjusted standardized residuals were run to explore the differences between observed and expected frequencies in each of the groups.</w:t>
      </w:r>
    </w:p>
    <w:p w14:paraId="7AC50374" w14:textId="003AEB5F" w:rsidR="003D6244" w:rsidRPr="00B111EB" w:rsidRDefault="003D6244" w:rsidP="003D6244">
      <w:pPr>
        <w:rPr>
          <w:rFonts w:cs="Calibri"/>
          <w:iCs/>
          <w:color w:val="000000"/>
          <w:sz w:val="20"/>
          <w:szCs w:val="20"/>
          <w:lang w:val="en-GB"/>
        </w:rPr>
      </w:pPr>
      <w:r>
        <w:rPr>
          <w:b/>
          <w:color w:val="000000"/>
          <w:sz w:val="20"/>
          <w:szCs w:val="20"/>
          <w:lang w:val="en-GB"/>
        </w:rPr>
        <w:t>Results</w:t>
      </w:r>
      <w:r>
        <w:rPr>
          <w:color w:val="000000"/>
          <w:sz w:val="20"/>
          <w:szCs w:val="20"/>
          <w:lang w:val="en-GB"/>
        </w:rPr>
        <w:t xml:space="preserve">: </w:t>
      </w:r>
      <w:r w:rsidR="00C434D5" w:rsidRPr="00C434D5">
        <w:rPr>
          <w:color w:val="000000"/>
          <w:sz w:val="20"/>
          <w:szCs w:val="20"/>
          <w:lang w:val="en-GB"/>
        </w:rPr>
        <w:t>The sample was 55.6% (n = 174) male, 62.9% (n = 197) white, and 41.2% (n =129).  Hispanic/Latino with a mean age of 10.1y (SD = 3.71). Neuropsychological data were collected from a subset of participants per group (PAE: n = 47, IQ = 86.30), (ADHD: n = 16, IQ = 97.38) (PAE/ADHD: n = 81, IQ = 86.51). A Chi-Square test of independence was conducted between group and support services. All expected cell frequencies were greater than five. There was a statistically significant association between group and IEP, χ2(2) = 2.602, p &lt; .001. The association was moderately strong, Cramer's V = .296. There was a statistically significant association between group and specialty services, χ2(2</w:t>
      </w:r>
      <w:r w:rsidR="00581B9A" w:rsidRPr="00C434D5">
        <w:rPr>
          <w:color w:val="000000"/>
          <w:sz w:val="20"/>
          <w:szCs w:val="20"/>
          <w:lang w:val="en-GB"/>
        </w:rPr>
        <w:t>) =</w:t>
      </w:r>
      <w:r w:rsidR="00C434D5" w:rsidRPr="00C434D5">
        <w:rPr>
          <w:color w:val="000000"/>
          <w:sz w:val="20"/>
          <w:szCs w:val="20"/>
          <w:lang w:val="en-GB"/>
        </w:rPr>
        <w:t xml:space="preserve"> 10.243, p &lt; .001. The association was moderately strong, Cramer's V = .181. There was not a statistically significant association between PAE group and early intervention, χ2(2) = 3.798, p = 0.151. Post hoc analysis of the significant findings revealed that standardized residuals were greater than expected for the combined PAE/ADHD group and less than expected for the PAE only group.</w:t>
      </w:r>
    </w:p>
    <w:p w14:paraId="276B01BC" w14:textId="12DA58BA" w:rsidR="00C434D5" w:rsidRDefault="003D6244" w:rsidP="003D6244">
      <w:pPr>
        <w:rPr>
          <w:iCs/>
          <w:color w:val="000000"/>
          <w:sz w:val="20"/>
          <w:szCs w:val="20"/>
        </w:rPr>
      </w:pPr>
      <w:r>
        <w:rPr>
          <w:b/>
          <w:iCs/>
          <w:color w:val="000000"/>
          <w:sz w:val="20"/>
          <w:szCs w:val="20"/>
          <w:lang w:val="en-GB"/>
        </w:rPr>
        <w:t xml:space="preserve">Discussion: </w:t>
      </w:r>
      <w:r w:rsidR="00C434D5" w:rsidRPr="00C434D5">
        <w:rPr>
          <w:iCs/>
          <w:color w:val="000000"/>
          <w:sz w:val="20"/>
          <w:szCs w:val="20"/>
        </w:rPr>
        <w:t>Results revealed that there is an association between clinical groups and IEP and specialized service</w:t>
      </w:r>
      <w:r w:rsidR="00AC7FBC">
        <w:rPr>
          <w:iCs/>
          <w:color w:val="000000"/>
          <w:sz w:val="20"/>
          <w:szCs w:val="20"/>
        </w:rPr>
        <w:t xml:space="preserve"> </w:t>
      </w:r>
      <w:r w:rsidR="00C434D5" w:rsidRPr="00C434D5">
        <w:rPr>
          <w:iCs/>
          <w:color w:val="000000"/>
          <w:sz w:val="20"/>
          <w:szCs w:val="20"/>
        </w:rPr>
        <w:t xml:space="preserve">utilization by families. There was no association between early intervention services and groups. Post hoc analyses revealed the combined PAE/ADHD group is engaging in services more than expected, and the PAE group is engaging in services less than expected. This suggests that the PAE group, without an ADHD diagnosis, is receiving less support services than those with an ADHD </w:t>
      </w:r>
      <w:r w:rsidR="00581B9A" w:rsidRPr="00C434D5">
        <w:rPr>
          <w:iCs/>
          <w:color w:val="000000"/>
          <w:sz w:val="20"/>
          <w:szCs w:val="20"/>
        </w:rPr>
        <w:t>diagnosis.</w:t>
      </w:r>
      <w:r w:rsidR="00C434D5" w:rsidRPr="00C434D5">
        <w:rPr>
          <w:iCs/>
          <w:color w:val="000000"/>
          <w:sz w:val="20"/>
          <w:szCs w:val="20"/>
        </w:rPr>
        <w:t xml:space="preserve"> Further research should explore what factors are influencing the lower utilization rates, such as whether families are seeking services or being denied services and how support services impact developmental and behavioral outcomes in children with PAE.  Research supported by NIAAA grants U01 AA014834 and 1F31AA031883-01.</w:t>
      </w:r>
      <w:r w:rsidR="00C434D5" w:rsidRPr="00C434D5">
        <w:rPr>
          <w:iCs/>
          <w:color w:val="000000"/>
          <w:sz w:val="20"/>
          <w:szCs w:val="20"/>
        </w:rPr>
        <w:t xml:space="preserve"> </w:t>
      </w:r>
    </w:p>
    <w:p w14:paraId="2DFDB2CA" w14:textId="1D1B5C48" w:rsidR="00C434D5" w:rsidRPr="00C434D5" w:rsidRDefault="003D6244" w:rsidP="00C434D5">
      <w:pPr>
        <w:rPr>
          <w:color w:val="000000"/>
          <w:sz w:val="20"/>
          <w:szCs w:val="20"/>
        </w:rPr>
      </w:pPr>
      <w:r w:rsidRPr="00514B99">
        <w:rPr>
          <w:b/>
          <w:color w:val="000000"/>
          <w:sz w:val="20"/>
          <w:szCs w:val="20"/>
          <w:lang w:val="en-GB"/>
        </w:rPr>
        <w:t>References</w:t>
      </w:r>
      <w:r>
        <w:rPr>
          <w:b/>
          <w:color w:val="000000"/>
          <w:sz w:val="20"/>
          <w:szCs w:val="20"/>
          <w:lang w:val="en-GB"/>
        </w:rPr>
        <w:t xml:space="preserve">: </w:t>
      </w:r>
      <w:r w:rsidR="00C434D5" w:rsidRPr="00C434D5">
        <w:rPr>
          <w:color w:val="000000"/>
          <w:sz w:val="20"/>
          <w:szCs w:val="20"/>
        </w:rPr>
        <w:t>Reid, N., Dawe, S., Shelton, D., Harnett, P., Warner, J., Armstrong, E., LeGros, K., &amp; O'Callaghan, F. (2015). Systematic Review of Fetal Alcohol Spectrum Disorder Interventions Across the Life Span. Alcoholism, clinical and experimental research, 39(12), 2283–2295. https://doi.org/10.1111/acer.12903</w:t>
      </w:r>
    </w:p>
    <w:p w14:paraId="148D3D0F" w14:textId="19EA93F4" w:rsidR="00C434D5" w:rsidRPr="00C434D5" w:rsidRDefault="00C434D5" w:rsidP="00C434D5">
      <w:pPr>
        <w:rPr>
          <w:color w:val="000000"/>
          <w:sz w:val="20"/>
          <w:szCs w:val="20"/>
        </w:rPr>
      </w:pPr>
      <w:r w:rsidRPr="00C434D5">
        <w:rPr>
          <w:color w:val="000000"/>
          <w:sz w:val="20"/>
          <w:szCs w:val="20"/>
        </w:rPr>
        <w:t>Fryer, S. L., McGee, C. L., Matt, G. E., Riley, E. P., &amp; Mattson, S. N. (2007). Evaluation of psychopathological conditions in children with heavy prenatal alcohol exposure. Pediatrics, 119(3), e733–e741. https://doi.org/10.1542/peds.2006-1606</w:t>
      </w:r>
    </w:p>
    <w:p w14:paraId="0497A379" w14:textId="77777777" w:rsidR="00C434D5" w:rsidRDefault="00C434D5" w:rsidP="00C434D5">
      <w:pPr>
        <w:rPr>
          <w:color w:val="000000"/>
          <w:sz w:val="20"/>
          <w:szCs w:val="20"/>
        </w:rPr>
      </w:pPr>
      <w:r w:rsidRPr="00C434D5">
        <w:rPr>
          <w:color w:val="000000"/>
          <w:sz w:val="20"/>
          <w:szCs w:val="20"/>
        </w:rPr>
        <w:lastRenderedPageBreak/>
        <w:t xml:space="preserve">Montag, A. C., Jones, K. L., Del Campo, M., </w:t>
      </w:r>
      <w:proofErr w:type="spellStart"/>
      <w:r w:rsidRPr="00C434D5">
        <w:rPr>
          <w:color w:val="000000"/>
          <w:sz w:val="20"/>
          <w:szCs w:val="20"/>
        </w:rPr>
        <w:t>Akshoomoff</w:t>
      </w:r>
      <w:proofErr w:type="spellEnd"/>
      <w:r w:rsidRPr="00C434D5">
        <w:rPr>
          <w:color w:val="000000"/>
          <w:sz w:val="20"/>
          <w:szCs w:val="20"/>
        </w:rPr>
        <w:t>, N., Coles, C. D., Kable, J. A., Hernandez, J. G., &amp; Chambers, C. D. (2022). Fetal alcohol spectrum disorders and access to regional center services in San Diego County. Alcoholism, clinical and experimental research, 46(10), 1857–1864. https://doi.org/10.1111/acer.14934</w:t>
      </w:r>
      <w:r w:rsidRPr="00C434D5">
        <w:rPr>
          <w:rStyle w:val="FootnoteReference"/>
          <w:color w:val="000000"/>
          <w:sz w:val="20"/>
          <w:szCs w:val="20"/>
        </w:rPr>
        <w:t xml:space="preserve"> </w:t>
      </w:r>
      <w:r w:rsidR="003D6244" w:rsidRPr="008B1E03">
        <w:rPr>
          <w:rStyle w:val="FootnoteReference"/>
        </w:rPr>
        <w:footnoteRef/>
      </w:r>
    </w:p>
    <w:p w14:paraId="7AC50378" w14:textId="5E6D4CF5" w:rsidR="003D6244" w:rsidRPr="00C434D5" w:rsidRDefault="00C434D5" w:rsidP="003D6244">
      <w:pPr>
        <w:pStyle w:val="FootnoteText"/>
        <w:rPr>
          <w:lang w:val="en-CA"/>
        </w:rPr>
      </w:pPr>
      <w:r>
        <w:rPr>
          <w:vertAlign w:val="superscript"/>
          <w:lang w:val="en-CA"/>
        </w:rPr>
        <w:t>1</w:t>
      </w:r>
      <w:r>
        <w:rPr>
          <w:lang w:val="en-CA"/>
        </w:rPr>
        <w:t>San Diego State University</w:t>
      </w:r>
    </w:p>
    <w:p w14:paraId="7AC50379" w14:textId="10F186E1" w:rsidR="003D6244" w:rsidRPr="008B1E03" w:rsidRDefault="003D6244" w:rsidP="003D6244">
      <w:pPr>
        <w:pStyle w:val="Footer"/>
        <w:rPr>
          <w:sz w:val="20"/>
          <w:szCs w:val="20"/>
        </w:rPr>
      </w:pPr>
    </w:p>
    <w:p w14:paraId="7AC5037A" w14:textId="77777777" w:rsidR="001C735E" w:rsidRPr="003D6244" w:rsidRDefault="001C735E" w:rsidP="003D6244"/>
    <w:sectPr w:rsidR="001C735E" w:rsidRPr="003D6244" w:rsidSect="00394E2C">
      <w:headerReference w:type="even" r:id="rId10"/>
      <w:headerReference w:type="default" r:id="rId11"/>
      <w:footerReference w:type="even" r:id="rId12"/>
      <w:footerReference w:type="default" r:id="rId13"/>
      <w:headerReference w:type="first" r:id="rId14"/>
      <w:footerReference w:type="first" r:id="rId15"/>
      <w:pgSz w:w="12240" w:h="15840"/>
      <w:pgMar w:top="1440" w:right="864" w:bottom="144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6F2B5" w14:textId="77777777" w:rsidR="0094373B" w:rsidRDefault="0094373B" w:rsidP="00A16498">
      <w:pPr>
        <w:spacing w:after="0" w:line="240" w:lineRule="auto"/>
      </w:pPr>
      <w:r>
        <w:separator/>
      </w:r>
    </w:p>
  </w:endnote>
  <w:endnote w:type="continuationSeparator" w:id="0">
    <w:p w14:paraId="09221B72" w14:textId="77777777" w:rsidR="0094373B" w:rsidRDefault="0094373B" w:rsidP="00A16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efa">
    <w:panose1 w:val="02000506000000020004"/>
    <w:charset w:val="00"/>
    <w:family w:val="auto"/>
    <w:pitch w:val="variable"/>
    <w:sig w:usb0="800000AF" w:usb1="4000204B" w:usb2="000008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4667" w14:textId="77777777" w:rsidR="00751FEE" w:rsidRDefault="00751F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316035048"/>
      <w:docPartObj>
        <w:docPartGallery w:val="Page Numbers (Bottom of Page)"/>
        <w:docPartUnique/>
      </w:docPartObj>
    </w:sdtPr>
    <w:sdtEndPr>
      <w:rPr>
        <w:sz w:val="20"/>
        <w:szCs w:val="20"/>
      </w:rPr>
    </w:sdtEndPr>
    <w:sdtContent>
      <w:sdt>
        <w:sdtPr>
          <w:rPr>
            <w:b/>
          </w:rPr>
          <w:id w:val="-1669238322"/>
          <w:docPartObj>
            <w:docPartGallery w:val="Page Numbers (Top of Page)"/>
            <w:docPartUnique/>
          </w:docPartObj>
        </w:sdtPr>
        <w:sdtContent>
          <w:p w14:paraId="7AC50381" w14:textId="77777777" w:rsidR="003D6244" w:rsidRPr="00F361B2" w:rsidRDefault="003D6244" w:rsidP="003D6244">
            <w:pPr>
              <w:pStyle w:val="Footer"/>
              <w:jc w:val="center"/>
              <w:rPr>
                <w:b/>
                <w:sz w:val="20"/>
                <w:szCs w:val="20"/>
              </w:rPr>
            </w:pPr>
            <w:r w:rsidRPr="00F361B2">
              <w:rPr>
                <w:b/>
                <w:sz w:val="20"/>
                <w:szCs w:val="20"/>
              </w:rPr>
              <w:t xml:space="preserve">Page </w:t>
            </w:r>
            <w:r w:rsidRPr="00F361B2">
              <w:rPr>
                <w:b/>
                <w:bCs/>
              </w:rPr>
              <w:fldChar w:fldCharType="begin"/>
            </w:r>
            <w:r w:rsidRPr="00F361B2">
              <w:rPr>
                <w:b/>
                <w:bCs/>
              </w:rPr>
              <w:instrText xml:space="preserve"> PAGE </w:instrText>
            </w:r>
            <w:r w:rsidRPr="00F361B2">
              <w:rPr>
                <w:b/>
                <w:bCs/>
              </w:rPr>
              <w:fldChar w:fldCharType="separate"/>
            </w:r>
            <w:r>
              <w:rPr>
                <w:b/>
                <w:bCs/>
                <w:noProof/>
              </w:rPr>
              <w:t>1</w:t>
            </w:r>
            <w:r w:rsidRPr="00F361B2">
              <w:rPr>
                <w:b/>
                <w:bCs/>
              </w:rPr>
              <w:fldChar w:fldCharType="end"/>
            </w:r>
            <w:r w:rsidRPr="00F361B2">
              <w:rPr>
                <w:b/>
                <w:sz w:val="20"/>
                <w:szCs w:val="20"/>
              </w:rPr>
              <w:t xml:space="preserve"> of </w:t>
            </w:r>
            <w:r w:rsidRPr="00F361B2">
              <w:rPr>
                <w:b/>
                <w:bCs/>
              </w:rPr>
              <w:fldChar w:fldCharType="begin"/>
            </w:r>
            <w:r w:rsidRPr="00F361B2">
              <w:rPr>
                <w:b/>
                <w:bCs/>
              </w:rPr>
              <w:instrText xml:space="preserve"> NUMPAGES  </w:instrText>
            </w:r>
            <w:r w:rsidRPr="00F361B2">
              <w:rPr>
                <w:b/>
                <w:bCs/>
              </w:rPr>
              <w:fldChar w:fldCharType="separate"/>
            </w:r>
            <w:r>
              <w:rPr>
                <w:b/>
                <w:bCs/>
                <w:noProof/>
              </w:rPr>
              <w:t>2</w:t>
            </w:r>
            <w:r w:rsidRPr="00F361B2">
              <w:rPr>
                <w:b/>
                <w:bCs/>
              </w:rPr>
              <w:fldChar w:fldCharType="end"/>
            </w:r>
          </w:p>
        </w:sdtContent>
      </w:sdt>
    </w:sdtContent>
  </w:sdt>
  <w:p w14:paraId="7AC50382" w14:textId="77777777" w:rsidR="003D6244" w:rsidRDefault="003D6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57E3" w14:textId="77777777" w:rsidR="00751FEE" w:rsidRDefault="00751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7446" w14:textId="77777777" w:rsidR="0094373B" w:rsidRDefault="0094373B" w:rsidP="00A16498">
      <w:pPr>
        <w:spacing w:after="0" w:line="240" w:lineRule="auto"/>
      </w:pPr>
      <w:r>
        <w:separator/>
      </w:r>
    </w:p>
  </w:footnote>
  <w:footnote w:type="continuationSeparator" w:id="0">
    <w:p w14:paraId="659AFADB" w14:textId="77777777" w:rsidR="0094373B" w:rsidRDefault="0094373B" w:rsidP="00A16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C9DD9" w14:textId="77777777" w:rsidR="00751FEE" w:rsidRDefault="00751F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37F" w14:textId="77777777" w:rsidR="00A16498" w:rsidRDefault="00A16498">
    <w:pPr>
      <w:pStyle w:val="Header"/>
    </w:pPr>
    <w:r>
      <w:rPr>
        <w:noProof/>
      </w:rPr>
      <mc:AlternateContent>
        <mc:Choice Requires="wpg">
          <w:drawing>
            <wp:anchor distT="0" distB="0" distL="114300" distR="114300" simplePos="0" relativeHeight="251659264" behindDoc="0" locked="0" layoutInCell="0" allowOverlap="1" wp14:anchorId="7AC50383" wp14:editId="6CA41C75">
              <wp:simplePos x="0" y="0"/>
              <wp:positionH relativeFrom="margin">
                <wp:posOffset>-20609</wp:posOffset>
              </wp:positionH>
              <wp:positionV relativeFrom="topMargin">
                <wp:posOffset>228963</wp:posOffset>
              </wp:positionV>
              <wp:extent cx="6669905" cy="457200"/>
              <wp:effectExtent l="12700" t="12700" r="0" b="12700"/>
              <wp:wrapNone/>
              <wp:docPr id="225"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905" cy="457200"/>
                        <a:chOff x="377" y="360"/>
                        <a:chExt cx="11488" cy="720"/>
                      </a:xfrm>
                    </wpg:grpSpPr>
                    <wps:wsp>
                      <wps:cNvPr id="226" name="Rectangle 197"/>
                      <wps:cNvSpPr>
                        <a:spLocks noChangeArrowheads="1"/>
                      </wps:cNvSpPr>
                      <wps:spPr bwMode="auto">
                        <a:xfrm>
                          <a:off x="377" y="360"/>
                          <a:ext cx="9252" cy="720"/>
                        </a:xfrm>
                        <a:prstGeom prst="rect">
                          <a:avLst/>
                        </a:prstGeom>
                        <a:noFill/>
                        <a:ln w="25400">
                          <a:solidFill>
                            <a:srgbClr val="444C6A"/>
                          </a:solidFill>
                          <a:miter lim="800000"/>
                          <a:headEnd/>
                          <a:tailEnd/>
                        </a:ln>
                      </wps:spPr>
                      <wps:txb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wps:txbx>
                      <wps:bodyPr rot="0" vert="horz" wrap="square" lIns="91440" tIns="45720" rIns="91440" bIns="45720" anchor="ctr" anchorCtr="0" upright="1">
                        <a:noAutofit/>
                      </wps:bodyPr>
                    </wps:wsp>
                    <wps:wsp>
                      <wps:cNvPr id="227" name="Rectangle 198"/>
                      <wps:cNvSpPr>
                        <a:spLocks noChangeArrowheads="1"/>
                      </wps:cNvSpPr>
                      <wps:spPr bwMode="auto">
                        <a:xfrm>
                          <a:off x="9763" y="360"/>
                          <a:ext cx="2102" cy="720"/>
                        </a:xfrm>
                        <a:prstGeom prst="rect">
                          <a:avLst/>
                        </a:prstGeom>
                        <a:solidFill>
                          <a:schemeClr val="accent3">
                            <a:lumMod val="75000"/>
                          </a:schemeClr>
                        </a:solidFill>
                        <a:extLst>
                          <a:ext uri="{91240B29-F687-4F45-9708-019B960494DF}">
                            <a14:hiddenLine xmlns:a14="http://schemas.microsoft.com/office/drawing/2010/main" w="25400">
                              <a:solidFill>
                                <a:srgbClr val="FFFFFF"/>
                              </a:solidFill>
                              <a:miter lim="800000"/>
                              <a:headEnd/>
                              <a:tailEnd/>
                            </a14:hiddenLine>
                          </a:ext>
                        </a:extLst>
                      </wps:spPr>
                      <wps:txb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50383" id="Group 196" o:spid="_x0000_s1026" style="position:absolute;margin-left:-1.6pt;margin-top:18.05pt;width:525.2pt;height:36pt;z-index:251659264;mso-position-horizontal-relative:margin;mso-position-vertical-relative:top-margin-area" coordorigin="377,360" coordsize="11488,7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" o:allowincell="f">
              <v:rect id="Rectangle 197" o:spid="_x0000_s1027" style="position:absolute;left:377;top:360;width:925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" filled="f" strokecolor="#444c6a" strokeweight="2pt">
                <v:textbox>
                  <w:txbxContent>
                    <w:sdt>
                      <w:sdtPr>
                        <w:rPr>
                          <w:rFonts w:ascii="Kefa" w:hAnsi="Kefa"/>
                          <w:b/>
                          <w:color w:val="444C6A"/>
                          <w:sz w:val="36"/>
                          <w:szCs w:val="36"/>
                        </w:rPr>
                        <w:alias w:val="Title"/>
                        <w:id w:val="-1038195335"/>
                        <w:dataBinding w:prefixMappings="xmlns:ns0='http://schemas.openxmlformats.org/package/2006/metadata/core-properties' xmlns:ns1='http://purl.org/dc/elements/1.1/'" w:xpath="/ns0:coreProperties[1]/ns1:title[1]" w:storeItemID="{6C3C8BC8-F283-45AE-878A-BAB7291924A1}"/>
                        <w:text/>
                      </w:sdtPr>
                      <w:sdtContent>
                        <w:p w14:paraId="7AC50385" w14:textId="751B136E" w:rsidR="00A16498" w:rsidRPr="007B4CE7" w:rsidRDefault="00A16498">
                          <w:pPr>
                            <w:pStyle w:val="Header"/>
                            <w:rPr>
                              <w:rFonts w:ascii="Kefa" w:hAnsi="Kefa"/>
                              <w:b/>
                              <w:color w:val="444C6A"/>
                              <w:sz w:val="36"/>
                              <w:szCs w:val="36"/>
                            </w:rPr>
                          </w:pPr>
                          <w:r w:rsidRPr="007B4CE7">
                            <w:rPr>
                              <w:rFonts w:ascii="Kefa" w:hAnsi="Kefa"/>
                              <w:b/>
                              <w:color w:val="444C6A"/>
                              <w:sz w:val="36"/>
                              <w:szCs w:val="36"/>
                            </w:rPr>
                            <w:t>20</w:t>
                          </w:r>
                          <w:r w:rsidR="003C4D59" w:rsidRPr="007B4CE7">
                            <w:rPr>
                              <w:rFonts w:ascii="Kefa" w:hAnsi="Kefa"/>
                              <w:b/>
                              <w:color w:val="444C6A"/>
                              <w:sz w:val="36"/>
                              <w:szCs w:val="36"/>
                            </w:rPr>
                            <w:t>2</w:t>
                          </w:r>
                          <w:r w:rsidR="00751FEE">
                            <w:rPr>
                              <w:rFonts w:ascii="Kefa" w:hAnsi="Kefa"/>
                              <w:b/>
                              <w:color w:val="444C6A"/>
                              <w:sz w:val="36"/>
                              <w:szCs w:val="36"/>
                            </w:rPr>
                            <w:t>4</w:t>
                          </w:r>
                          <w:r w:rsidRPr="007B4CE7">
                            <w:rPr>
                              <w:rFonts w:ascii="Kefa" w:hAnsi="Kefa"/>
                              <w:b/>
                              <w:color w:val="444C6A"/>
                              <w:sz w:val="36"/>
                              <w:szCs w:val="36"/>
                            </w:rPr>
                            <w:t xml:space="preserve"> Gatlinburg Conference Poster Submission</w:t>
                          </w:r>
                        </w:p>
                      </w:sdtContent>
                    </w:sdt>
                  </w:txbxContent>
                </v:textbox>
              </v:rect>
              <v:rect id="Rectangle 198" o:spid="_x0000_s1028" style="position:absolute;left:9763;top:360;width:2102;height:72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" fillcolor="#76923c [2406]" stroked="f" strokecolor="white" strokeweight="2pt">
                <v:textbox>
                  <w:txbxContent>
                    <w:p w14:paraId="7AC50386" w14:textId="77777777" w:rsidR="00A16498" w:rsidRPr="006535AF" w:rsidRDefault="00244C29" w:rsidP="009E1B56">
                      <w:pPr>
                        <w:pStyle w:val="Header"/>
                        <w:jc w:val="center"/>
                        <w:rPr>
                          <w:b/>
                          <w:color w:val="FFFFFF" w:themeColor="background1"/>
                          <w:sz w:val="40"/>
                          <w:szCs w:val="36"/>
                        </w:rPr>
                      </w:pPr>
                      <w:r w:rsidRPr="006535AF">
                        <w:rPr>
                          <w:b/>
                          <w:color w:val="FFFFFF" w:themeColor="background1"/>
                          <w:sz w:val="40"/>
                          <w:szCs w:val="36"/>
                        </w:rPr>
                        <w:t>EXAMPLE</w:t>
                      </w:r>
                    </w:p>
                  </w:txbxContent>
                </v:textbox>
              </v:rect>
              <w10:wrap anchorx="margin" anchory="margin"/>
            </v:group>
          </w:pict>
        </mc:Fallback>
      </mc:AlternateContent>
    </w:r>
  </w:p>
  <w:p w14:paraId="7AC50380" w14:textId="77777777" w:rsidR="00A16498" w:rsidRDefault="00A164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B885" w14:textId="77777777" w:rsidR="00751FEE" w:rsidRDefault="00751F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3CF4"/>
    <w:multiLevelType w:val="hybridMultilevel"/>
    <w:tmpl w:val="53A6A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065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498"/>
    <w:rsid w:val="000130DA"/>
    <w:rsid w:val="000D0162"/>
    <w:rsid w:val="001C735E"/>
    <w:rsid w:val="00226854"/>
    <w:rsid w:val="00244C29"/>
    <w:rsid w:val="002872AA"/>
    <w:rsid w:val="00300310"/>
    <w:rsid w:val="00312417"/>
    <w:rsid w:val="00316B3B"/>
    <w:rsid w:val="0032171F"/>
    <w:rsid w:val="00324E6F"/>
    <w:rsid w:val="0033415B"/>
    <w:rsid w:val="00394E2C"/>
    <w:rsid w:val="003B0285"/>
    <w:rsid w:val="003C2A0A"/>
    <w:rsid w:val="003C4D59"/>
    <w:rsid w:val="003D6244"/>
    <w:rsid w:val="003F514A"/>
    <w:rsid w:val="003F558A"/>
    <w:rsid w:val="00412A17"/>
    <w:rsid w:val="004473AC"/>
    <w:rsid w:val="00452576"/>
    <w:rsid w:val="0045428A"/>
    <w:rsid w:val="0046310C"/>
    <w:rsid w:val="00550360"/>
    <w:rsid w:val="00577DC4"/>
    <w:rsid w:val="00581B9A"/>
    <w:rsid w:val="005F3158"/>
    <w:rsid w:val="00625543"/>
    <w:rsid w:val="006535AF"/>
    <w:rsid w:val="006637E7"/>
    <w:rsid w:val="006C05DD"/>
    <w:rsid w:val="006C56C4"/>
    <w:rsid w:val="00751FEE"/>
    <w:rsid w:val="007722E4"/>
    <w:rsid w:val="0077649B"/>
    <w:rsid w:val="00777D73"/>
    <w:rsid w:val="007B4CE7"/>
    <w:rsid w:val="00801D2A"/>
    <w:rsid w:val="00817FE3"/>
    <w:rsid w:val="0087492A"/>
    <w:rsid w:val="008938D8"/>
    <w:rsid w:val="0094373B"/>
    <w:rsid w:val="009462E3"/>
    <w:rsid w:val="009B1DAB"/>
    <w:rsid w:val="009E1B56"/>
    <w:rsid w:val="00A16498"/>
    <w:rsid w:val="00A9200F"/>
    <w:rsid w:val="00AB7B37"/>
    <w:rsid w:val="00AC7FBC"/>
    <w:rsid w:val="00AE4ADB"/>
    <w:rsid w:val="00B226B4"/>
    <w:rsid w:val="00B71AFF"/>
    <w:rsid w:val="00BA2D2D"/>
    <w:rsid w:val="00C434D5"/>
    <w:rsid w:val="00C6243D"/>
    <w:rsid w:val="00C80718"/>
    <w:rsid w:val="00CF3CDF"/>
    <w:rsid w:val="00D46241"/>
    <w:rsid w:val="00D60D08"/>
    <w:rsid w:val="00DC15FA"/>
    <w:rsid w:val="00E15391"/>
    <w:rsid w:val="00EC1345"/>
    <w:rsid w:val="00F023E6"/>
    <w:rsid w:val="00F2162A"/>
    <w:rsid w:val="00F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50370"/>
  <w15:docId w15:val="{1CB715C7-E6A7-4079-B70E-224520034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4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498"/>
  </w:style>
  <w:style w:type="paragraph" w:styleId="Footer">
    <w:name w:val="footer"/>
    <w:basedOn w:val="Normal"/>
    <w:link w:val="FooterChar"/>
    <w:uiPriority w:val="99"/>
    <w:unhideWhenUsed/>
    <w:rsid w:val="00A164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498"/>
  </w:style>
  <w:style w:type="paragraph" w:styleId="ListParagraph">
    <w:name w:val="List Paragraph"/>
    <w:basedOn w:val="Normal"/>
    <w:uiPriority w:val="34"/>
    <w:qFormat/>
    <w:rsid w:val="007722E4"/>
    <w:pPr>
      <w:ind w:left="720"/>
      <w:contextualSpacing/>
    </w:pPr>
  </w:style>
  <w:style w:type="paragraph" w:styleId="BalloonText">
    <w:name w:val="Balloon Text"/>
    <w:basedOn w:val="Normal"/>
    <w:link w:val="BalloonTextChar"/>
    <w:uiPriority w:val="99"/>
    <w:semiHidden/>
    <w:unhideWhenUsed/>
    <w:rsid w:val="0066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7E7"/>
    <w:rPr>
      <w:rFonts w:ascii="Tahoma" w:hAnsi="Tahoma" w:cs="Tahoma"/>
      <w:sz w:val="16"/>
      <w:szCs w:val="16"/>
    </w:rPr>
  </w:style>
  <w:style w:type="paragraph" w:styleId="FootnoteText">
    <w:name w:val="footnote text"/>
    <w:basedOn w:val="Normal"/>
    <w:link w:val="FootnoteTextChar"/>
    <w:uiPriority w:val="99"/>
    <w:semiHidden/>
    <w:unhideWhenUsed/>
    <w:rsid w:val="003D6244"/>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3D6244"/>
    <w:rPr>
      <w:rFonts w:ascii="Calibri" w:eastAsia="Calibri" w:hAnsi="Calibri" w:cs="Times New Roman"/>
      <w:sz w:val="20"/>
      <w:szCs w:val="20"/>
    </w:rPr>
  </w:style>
  <w:style w:type="character" w:styleId="FootnoteReference">
    <w:name w:val="footnote reference"/>
    <w:uiPriority w:val="99"/>
    <w:semiHidden/>
    <w:unhideWhenUsed/>
    <w:rsid w:val="003D6244"/>
    <w:rPr>
      <w:vertAlign w:val="superscript"/>
    </w:rPr>
  </w:style>
  <w:style w:type="paragraph" w:styleId="NormalWeb">
    <w:name w:val="Normal (Web)"/>
    <w:basedOn w:val="Normal"/>
    <w:uiPriority w:val="99"/>
    <w:semiHidden/>
    <w:unhideWhenUsed/>
    <w:rsid w:val="00C434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61587">
      <w:bodyDiv w:val="1"/>
      <w:marLeft w:val="0"/>
      <w:marRight w:val="0"/>
      <w:marTop w:val="0"/>
      <w:marBottom w:val="0"/>
      <w:divBdr>
        <w:top w:val="none" w:sz="0" w:space="0" w:color="auto"/>
        <w:left w:val="none" w:sz="0" w:space="0" w:color="auto"/>
        <w:bottom w:val="none" w:sz="0" w:space="0" w:color="auto"/>
        <w:right w:val="none" w:sz="0" w:space="0" w:color="auto"/>
      </w:divBdr>
    </w:div>
    <w:div w:id="776411363">
      <w:bodyDiv w:val="1"/>
      <w:marLeft w:val="0"/>
      <w:marRight w:val="0"/>
      <w:marTop w:val="0"/>
      <w:marBottom w:val="0"/>
      <w:divBdr>
        <w:top w:val="none" w:sz="0" w:space="0" w:color="auto"/>
        <w:left w:val="none" w:sz="0" w:space="0" w:color="auto"/>
        <w:bottom w:val="none" w:sz="0" w:space="0" w:color="auto"/>
        <w:right w:val="none" w:sz="0" w:space="0" w:color="auto"/>
      </w:divBdr>
    </w:div>
    <w:div w:id="1473210544">
      <w:bodyDiv w:val="1"/>
      <w:marLeft w:val="0"/>
      <w:marRight w:val="0"/>
      <w:marTop w:val="0"/>
      <w:marBottom w:val="0"/>
      <w:divBdr>
        <w:top w:val="none" w:sz="0" w:space="0" w:color="auto"/>
        <w:left w:val="none" w:sz="0" w:space="0" w:color="auto"/>
        <w:bottom w:val="none" w:sz="0" w:space="0" w:color="auto"/>
        <w:right w:val="none" w:sz="0" w:space="0" w:color="auto"/>
      </w:divBdr>
    </w:div>
    <w:div w:id="1548644257">
      <w:bodyDiv w:val="1"/>
      <w:marLeft w:val="0"/>
      <w:marRight w:val="0"/>
      <w:marTop w:val="0"/>
      <w:marBottom w:val="0"/>
      <w:divBdr>
        <w:top w:val="none" w:sz="0" w:space="0" w:color="auto"/>
        <w:left w:val="none" w:sz="0" w:space="0" w:color="auto"/>
        <w:bottom w:val="none" w:sz="0" w:space="0" w:color="auto"/>
        <w:right w:val="none" w:sz="0" w:space="0" w:color="auto"/>
      </w:divBdr>
    </w:div>
    <w:div w:id="199055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11ABB3E504A945B7C7D972A09C49C0" ma:contentTypeVersion="11" ma:contentTypeDescription="Create a new document." ma:contentTypeScope="" ma:versionID="8fa2410153a5c9696cbeafc9ece5970e">
  <xsd:schema xmlns:xsd="http://www.w3.org/2001/XMLSchema" xmlns:xs="http://www.w3.org/2001/XMLSchema" xmlns:p="http://schemas.microsoft.com/office/2006/metadata/properties" xmlns:ns2="bfec5155-cd0c-46a7-a3ba-4de02cda8ac5" xmlns:ns3="ef7c5145-e159-46d3-924d-b50a59624be6" targetNamespace="http://schemas.microsoft.com/office/2006/metadata/properties" ma:root="true" ma:fieldsID="7a26540e980c8688c1a83705706ff85b" ns2:_="" ns3:_="">
    <xsd:import namespace="bfec5155-cd0c-46a7-a3ba-4de02cda8ac5"/>
    <xsd:import namespace="ef7c5145-e159-46d3-924d-b50a59624b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c5155-cd0c-46a7-a3ba-4de02cda8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c5145-e159-46d3-924d-b50a59624b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F0E6EA-1369-4068-AD7C-C451C18C9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c5155-cd0c-46a7-a3ba-4de02cda8ac5"/>
    <ds:schemaRef ds:uri="ef7c5145-e159-46d3-924d-b50a59624b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63F606-8B19-4711-ADE9-8A7FB97D46C7}">
  <ds:schemaRefs>
    <ds:schemaRef ds:uri="http://schemas.microsoft.com/sharepoint/v3/contenttype/forms"/>
  </ds:schemaRefs>
</ds:datastoreItem>
</file>

<file path=customXml/itemProps3.xml><?xml version="1.0" encoding="utf-8"?>
<ds:datastoreItem xmlns:ds="http://schemas.openxmlformats.org/officeDocument/2006/customXml" ds:itemID="{86F406F6-B0D6-45E4-A23C-56A9FD2C1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699</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2024 Gatlinburg Conference Poster Submission</vt:lpstr>
    </vt:vector>
  </TitlesOfParts>
  <Company>UCDHS</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Gatlinburg Conference Poster Submission</dc:title>
  <dc:creator>BSHELTON</dc:creator>
  <cp:lastModifiedBy>Riley Felicicchia</cp:lastModifiedBy>
  <cp:revision>7</cp:revision>
  <dcterms:created xsi:type="dcterms:W3CDTF">2024-11-05T03:49:00Z</dcterms:created>
  <dcterms:modified xsi:type="dcterms:W3CDTF">2024-11-05T04:15:00Z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0x0101003E11ABB3E504A945B7C7D972A09C49C0</vt:lpwstr>
  </property>
</Properties>
</file>