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0370" w14:textId="2B530C7E" w:rsidR="003D6244" w:rsidRPr="00EB4547" w:rsidRDefault="003D6244" w:rsidP="005826E2">
      <w:pPr>
        <w:rPr>
          <w:sz w:val="20"/>
          <w:szCs w:val="20"/>
        </w:rPr>
      </w:pPr>
      <w:r w:rsidRPr="00EB4547">
        <w:rPr>
          <w:b/>
          <w:sz w:val="20"/>
          <w:szCs w:val="20"/>
        </w:rPr>
        <w:t>Title</w:t>
      </w:r>
      <w:r w:rsidRPr="00EB4547">
        <w:rPr>
          <w:sz w:val="20"/>
          <w:szCs w:val="20"/>
        </w:rPr>
        <w:t xml:space="preserve">: </w:t>
      </w:r>
      <w:r w:rsidR="00B378C4" w:rsidRPr="00EB4547">
        <w:rPr>
          <w:sz w:val="20"/>
          <w:szCs w:val="20"/>
        </w:rPr>
        <w:t>Executive Function and Quality of Life: The Mediating Role of Self-Determination</w:t>
      </w:r>
    </w:p>
    <w:p w14:paraId="7AC50371" w14:textId="3E947A00" w:rsidR="003D6244" w:rsidRPr="00EB4547" w:rsidRDefault="003D6244" w:rsidP="005826E2">
      <w:pPr>
        <w:rPr>
          <w:sz w:val="20"/>
          <w:szCs w:val="20"/>
          <w:vertAlign w:val="superscript"/>
        </w:rPr>
      </w:pPr>
      <w:r w:rsidRPr="00EB4547">
        <w:rPr>
          <w:b/>
          <w:sz w:val="20"/>
          <w:szCs w:val="20"/>
        </w:rPr>
        <w:t>Authors</w:t>
      </w:r>
      <w:r w:rsidRPr="00EB4547">
        <w:rPr>
          <w:sz w:val="20"/>
          <w:szCs w:val="20"/>
        </w:rPr>
        <w:t xml:space="preserve">: </w:t>
      </w:r>
      <w:r w:rsidR="00B378C4" w:rsidRPr="00EB4547">
        <w:rPr>
          <w:sz w:val="20"/>
          <w:szCs w:val="20"/>
        </w:rPr>
        <w:t>Jennifer R. Bertollo,</w:t>
      </w:r>
      <w:r w:rsidR="00B378C4" w:rsidRPr="00EB4547">
        <w:rPr>
          <w:sz w:val="20"/>
          <w:szCs w:val="20"/>
          <w:vertAlign w:val="superscript"/>
        </w:rPr>
        <w:t>1</w:t>
      </w:r>
      <w:r w:rsidR="00B378C4" w:rsidRPr="00EB4547">
        <w:rPr>
          <w:sz w:val="20"/>
          <w:szCs w:val="20"/>
        </w:rPr>
        <w:t xml:space="preserve"> Lauren Baczewski,</w:t>
      </w:r>
      <w:r w:rsidR="00B378C4" w:rsidRPr="00EB4547">
        <w:rPr>
          <w:sz w:val="20"/>
          <w:szCs w:val="20"/>
          <w:vertAlign w:val="superscript"/>
        </w:rPr>
        <w:t>1</w:t>
      </w:r>
      <w:r w:rsidR="00B378C4" w:rsidRPr="00EB4547">
        <w:rPr>
          <w:sz w:val="20"/>
          <w:szCs w:val="20"/>
        </w:rPr>
        <w:t xml:space="preserve"> K. Sharp,</w:t>
      </w:r>
      <w:r w:rsidR="00B378C4" w:rsidRPr="00EB4547">
        <w:rPr>
          <w:sz w:val="20"/>
          <w:szCs w:val="20"/>
          <w:vertAlign w:val="superscript"/>
        </w:rPr>
        <w:t>1</w:t>
      </w:r>
      <w:r w:rsidR="00B378C4" w:rsidRPr="00EB4547">
        <w:rPr>
          <w:sz w:val="20"/>
          <w:szCs w:val="20"/>
        </w:rPr>
        <w:t xml:space="preserve"> Alan H. Gerber,</w:t>
      </w:r>
      <w:r w:rsidR="00B378C4" w:rsidRPr="00EB4547">
        <w:rPr>
          <w:sz w:val="20"/>
          <w:szCs w:val="20"/>
          <w:vertAlign w:val="superscript"/>
        </w:rPr>
        <w:t>1</w:t>
      </w:r>
      <w:r w:rsidR="00B378C4" w:rsidRPr="00EB4547">
        <w:rPr>
          <w:sz w:val="20"/>
          <w:szCs w:val="20"/>
        </w:rPr>
        <w:t xml:space="preserve"> Hannah Behar,</w:t>
      </w:r>
      <w:r w:rsidR="00B378C4" w:rsidRPr="00EB4547">
        <w:rPr>
          <w:sz w:val="20"/>
          <w:szCs w:val="20"/>
          <w:vertAlign w:val="superscript"/>
        </w:rPr>
        <w:t>1</w:t>
      </w:r>
      <w:r w:rsidR="00B378C4" w:rsidRPr="00EB4547">
        <w:rPr>
          <w:sz w:val="20"/>
          <w:szCs w:val="20"/>
        </w:rPr>
        <w:t xml:space="preserve"> Caroline Candy,</w:t>
      </w:r>
      <w:r w:rsidR="00B378C4" w:rsidRPr="00EB4547">
        <w:rPr>
          <w:sz w:val="20"/>
          <w:szCs w:val="20"/>
          <w:vertAlign w:val="superscript"/>
        </w:rPr>
        <w:t>1,2</w:t>
      </w:r>
      <w:r w:rsidR="00B378C4" w:rsidRPr="00EB4547">
        <w:rPr>
          <w:sz w:val="20"/>
          <w:szCs w:val="20"/>
        </w:rPr>
        <w:t xml:space="preserve"> Chloe </w:t>
      </w:r>
      <w:r w:rsidR="00E5385C" w:rsidRPr="00EB4547">
        <w:rPr>
          <w:sz w:val="20"/>
          <w:szCs w:val="20"/>
        </w:rPr>
        <w:t xml:space="preserve">C. </w:t>
      </w:r>
      <w:r w:rsidR="00B378C4" w:rsidRPr="00EB4547">
        <w:rPr>
          <w:sz w:val="20"/>
          <w:szCs w:val="20"/>
        </w:rPr>
        <w:t>Neuman,</w:t>
      </w:r>
      <w:r w:rsidR="00B378C4" w:rsidRPr="00EB4547">
        <w:rPr>
          <w:sz w:val="20"/>
          <w:szCs w:val="20"/>
          <w:vertAlign w:val="superscript"/>
        </w:rPr>
        <w:t>1</w:t>
      </w:r>
      <w:r w:rsidR="00B378C4" w:rsidRPr="00EB4547">
        <w:rPr>
          <w:sz w:val="20"/>
          <w:szCs w:val="20"/>
        </w:rPr>
        <w:t xml:space="preserve"> Hannah Puckett,</w:t>
      </w:r>
      <w:r w:rsidR="00B03193" w:rsidRPr="00EB4547">
        <w:rPr>
          <w:sz w:val="20"/>
          <w:szCs w:val="20"/>
          <w:vertAlign w:val="superscript"/>
        </w:rPr>
        <w:t>3</w:t>
      </w:r>
      <w:r w:rsidR="00B378C4" w:rsidRPr="00EB4547">
        <w:rPr>
          <w:sz w:val="20"/>
          <w:szCs w:val="20"/>
        </w:rPr>
        <w:t xml:space="preserve"> Andrea Lopez,</w:t>
      </w:r>
      <w:r w:rsidR="00B03193" w:rsidRPr="00EB4547">
        <w:rPr>
          <w:sz w:val="20"/>
          <w:szCs w:val="20"/>
          <w:vertAlign w:val="superscript"/>
        </w:rPr>
        <w:t>1,4</w:t>
      </w:r>
      <w:r w:rsidR="00B378C4" w:rsidRPr="00EB4547">
        <w:rPr>
          <w:sz w:val="20"/>
          <w:szCs w:val="20"/>
        </w:rPr>
        <w:t xml:space="preserve"> Alyssa Verbalis,</w:t>
      </w:r>
      <w:r w:rsidR="00B378C4" w:rsidRPr="00EB4547">
        <w:rPr>
          <w:sz w:val="20"/>
          <w:szCs w:val="20"/>
          <w:vertAlign w:val="superscript"/>
        </w:rPr>
        <w:t>1</w:t>
      </w:r>
      <w:r w:rsidR="00B378C4" w:rsidRPr="00EB4547">
        <w:rPr>
          <w:sz w:val="20"/>
          <w:szCs w:val="20"/>
        </w:rPr>
        <w:t xml:space="preserve"> Cara </w:t>
      </w:r>
      <w:r w:rsidR="006605FC" w:rsidRPr="00EB4547">
        <w:rPr>
          <w:sz w:val="20"/>
          <w:szCs w:val="20"/>
        </w:rPr>
        <w:t xml:space="preserve">E. </w:t>
      </w:r>
      <w:r w:rsidR="00B378C4" w:rsidRPr="00EB4547">
        <w:rPr>
          <w:sz w:val="20"/>
          <w:szCs w:val="20"/>
        </w:rPr>
        <w:t>Pugliese,</w:t>
      </w:r>
      <w:r w:rsidR="00B03193" w:rsidRPr="00EB4547">
        <w:rPr>
          <w:sz w:val="20"/>
          <w:szCs w:val="20"/>
          <w:vertAlign w:val="superscript"/>
        </w:rPr>
        <w:t>1</w:t>
      </w:r>
      <w:r w:rsidR="00B378C4" w:rsidRPr="00EB4547">
        <w:rPr>
          <w:sz w:val="20"/>
          <w:szCs w:val="20"/>
        </w:rPr>
        <w:t xml:space="preserve"> &amp; Lauren Kenworthy</w:t>
      </w:r>
      <w:r w:rsidR="00B378C4" w:rsidRPr="00EB4547">
        <w:rPr>
          <w:sz w:val="20"/>
          <w:szCs w:val="20"/>
          <w:vertAlign w:val="superscript"/>
        </w:rPr>
        <w:t>1</w:t>
      </w:r>
    </w:p>
    <w:p w14:paraId="0319C18E" w14:textId="5A8F4008" w:rsidR="00E620D5" w:rsidRPr="00EB4547" w:rsidRDefault="003D6244" w:rsidP="005826E2">
      <w:pPr>
        <w:jc w:val="both"/>
        <w:rPr>
          <w:bCs/>
          <w:sz w:val="20"/>
          <w:szCs w:val="20"/>
        </w:rPr>
      </w:pPr>
      <w:r w:rsidRPr="00EB4547">
        <w:rPr>
          <w:b/>
          <w:sz w:val="20"/>
          <w:szCs w:val="20"/>
        </w:rPr>
        <w:t>I</w:t>
      </w:r>
      <w:r w:rsidR="00E14099" w:rsidRPr="00EB4547">
        <w:rPr>
          <w:b/>
          <w:bCs/>
          <w:sz w:val="20"/>
          <w:szCs w:val="20"/>
        </w:rPr>
        <w:t>ntroduction:</w:t>
      </w:r>
      <w:r w:rsidR="00E14099" w:rsidRPr="00EB4547">
        <w:rPr>
          <w:b/>
          <w:sz w:val="20"/>
          <w:szCs w:val="20"/>
        </w:rPr>
        <w:t xml:space="preserve"> </w:t>
      </w:r>
      <w:r w:rsidR="00E14099" w:rsidRPr="00EB4547">
        <w:rPr>
          <w:bCs/>
          <w:sz w:val="20"/>
          <w:szCs w:val="20"/>
        </w:rPr>
        <w:t xml:space="preserve">Autistic </w:t>
      </w:r>
      <w:r w:rsidR="00C92757" w:rsidRPr="00EB4547">
        <w:rPr>
          <w:bCs/>
          <w:sz w:val="20"/>
          <w:szCs w:val="20"/>
        </w:rPr>
        <w:t>individuals</w:t>
      </w:r>
      <w:r w:rsidR="00E14099" w:rsidRPr="00EB4547">
        <w:rPr>
          <w:bCs/>
          <w:sz w:val="20"/>
          <w:szCs w:val="20"/>
        </w:rPr>
        <w:t xml:space="preserve"> often experience difficulty with the executive function (EF) skills necessary for self-regulation and goal-directed behavior in daily life. Self-report of EF provides unique, valuable information about an individual’s skill</w:t>
      </w:r>
      <w:r w:rsidR="00E5385C" w:rsidRPr="00EB4547">
        <w:rPr>
          <w:bCs/>
          <w:sz w:val="20"/>
          <w:szCs w:val="20"/>
        </w:rPr>
        <w:t xml:space="preserve"> profile</w:t>
      </w:r>
      <w:r w:rsidR="00E14099" w:rsidRPr="00EB4547">
        <w:rPr>
          <w:bCs/>
          <w:sz w:val="20"/>
          <w:szCs w:val="20"/>
        </w:rPr>
        <w:t>, but is understudied and not consistently utilized in assessment and treatment for autistic individuals</w:t>
      </w:r>
      <w:r w:rsidR="009B67AC" w:rsidRPr="00EB4547">
        <w:rPr>
          <w:bCs/>
          <w:sz w:val="20"/>
          <w:szCs w:val="20"/>
        </w:rPr>
        <w:t xml:space="preserve"> (</w:t>
      </w:r>
      <w:r w:rsidR="009B67AC" w:rsidRPr="00EB4547">
        <w:rPr>
          <w:color w:val="000000"/>
          <w:sz w:val="20"/>
          <w:szCs w:val="20"/>
        </w:rPr>
        <w:t>Kenworthy et al., 2022).</w:t>
      </w:r>
      <w:r w:rsidR="00E14099" w:rsidRPr="00EB4547">
        <w:rPr>
          <w:bCs/>
          <w:sz w:val="20"/>
          <w:szCs w:val="20"/>
        </w:rPr>
        <w:t xml:space="preserve"> This is vital because a person’s perception of their EF abilities has clear implications for fostering or hindering </w:t>
      </w:r>
      <w:r w:rsidR="009668EE" w:rsidRPr="00EB4547">
        <w:rPr>
          <w:bCs/>
          <w:sz w:val="20"/>
          <w:szCs w:val="20"/>
        </w:rPr>
        <w:t xml:space="preserve">their </w:t>
      </w:r>
      <w:r w:rsidR="00E14099" w:rsidRPr="00EB4547">
        <w:rPr>
          <w:bCs/>
          <w:sz w:val="20"/>
          <w:szCs w:val="20"/>
        </w:rPr>
        <w:t xml:space="preserve">self-determination. Self-determination refers to </w:t>
      </w:r>
      <w:r w:rsidR="00AC6D03" w:rsidRPr="00EB4547">
        <w:rPr>
          <w:bCs/>
          <w:sz w:val="20"/>
          <w:szCs w:val="20"/>
        </w:rPr>
        <w:t>the degree to which an individual feels</w:t>
      </w:r>
      <w:r w:rsidR="00E14099" w:rsidRPr="00EB4547">
        <w:rPr>
          <w:bCs/>
          <w:sz w:val="20"/>
          <w:szCs w:val="20"/>
        </w:rPr>
        <w:t xml:space="preserve"> that they have “causal agency” in their life, and theories of agentic development highlight </w:t>
      </w:r>
      <w:r w:rsidR="00F9122D" w:rsidRPr="00EB4547">
        <w:rPr>
          <w:bCs/>
          <w:sz w:val="20"/>
          <w:szCs w:val="20"/>
        </w:rPr>
        <w:t>that successful</w:t>
      </w:r>
      <w:r w:rsidR="00E14099" w:rsidRPr="00EB4547">
        <w:rPr>
          <w:bCs/>
          <w:sz w:val="20"/>
          <w:szCs w:val="20"/>
        </w:rPr>
        <w:t xml:space="preserve"> “self-regulation and goal-directed action" (i.e., core EF </w:t>
      </w:r>
      <w:r w:rsidR="009668EE" w:rsidRPr="00EB4547">
        <w:rPr>
          <w:bCs/>
          <w:sz w:val="20"/>
          <w:szCs w:val="20"/>
        </w:rPr>
        <w:t>skills</w:t>
      </w:r>
      <w:r w:rsidR="00E14099" w:rsidRPr="00EB4547">
        <w:rPr>
          <w:bCs/>
          <w:sz w:val="20"/>
          <w:szCs w:val="20"/>
        </w:rPr>
        <w:t xml:space="preserve">) </w:t>
      </w:r>
      <w:r w:rsidR="00AC6D03" w:rsidRPr="00EB4547">
        <w:rPr>
          <w:bCs/>
          <w:sz w:val="20"/>
          <w:szCs w:val="20"/>
        </w:rPr>
        <w:t>are instrumental in increasing</w:t>
      </w:r>
      <w:r w:rsidR="00E14099" w:rsidRPr="00EB4547">
        <w:rPr>
          <w:bCs/>
          <w:sz w:val="20"/>
          <w:szCs w:val="20"/>
        </w:rPr>
        <w:t xml:space="preserve"> agency</w:t>
      </w:r>
      <w:r w:rsidR="009B67AC" w:rsidRPr="00EB4547">
        <w:rPr>
          <w:bCs/>
          <w:sz w:val="20"/>
          <w:szCs w:val="20"/>
        </w:rPr>
        <w:t xml:space="preserve"> (</w:t>
      </w:r>
      <w:proofErr w:type="spellStart"/>
      <w:r w:rsidR="009B67AC" w:rsidRPr="00EB4547">
        <w:rPr>
          <w:bCs/>
          <w:sz w:val="20"/>
          <w:szCs w:val="20"/>
        </w:rPr>
        <w:t>Shogren</w:t>
      </w:r>
      <w:proofErr w:type="spellEnd"/>
      <w:r w:rsidR="009B67AC" w:rsidRPr="00EB4547">
        <w:rPr>
          <w:bCs/>
          <w:sz w:val="20"/>
          <w:szCs w:val="20"/>
        </w:rPr>
        <w:t xml:space="preserve"> et al., 2015; 2021).</w:t>
      </w:r>
      <w:r w:rsidR="00E14099" w:rsidRPr="00EB4547">
        <w:rPr>
          <w:bCs/>
          <w:sz w:val="20"/>
          <w:szCs w:val="20"/>
        </w:rPr>
        <w:t xml:space="preserve"> In addition to </w:t>
      </w:r>
      <w:r w:rsidR="000F7EA4" w:rsidRPr="00EB4547">
        <w:rPr>
          <w:bCs/>
          <w:sz w:val="20"/>
          <w:szCs w:val="20"/>
        </w:rPr>
        <w:t>improving</w:t>
      </w:r>
      <w:r w:rsidR="00E14099" w:rsidRPr="00EB4547">
        <w:rPr>
          <w:bCs/>
          <w:sz w:val="20"/>
          <w:szCs w:val="20"/>
        </w:rPr>
        <w:t xml:space="preserve"> self-determination through </w:t>
      </w:r>
      <w:r w:rsidR="000F7EA4" w:rsidRPr="00EB4547">
        <w:rPr>
          <w:bCs/>
          <w:sz w:val="20"/>
          <w:szCs w:val="20"/>
        </w:rPr>
        <w:t>strengthening</w:t>
      </w:r>
      <w:r w:rsidR="00E14099" w:rsidRPr="00EB4547">
        <w:rPr>
          <w:bCs/>
          <w:sz w:val="20"/>
          <w:szCs w:val="20"/>
        </w:rPr>
        <w:t xml:space="preserve"> EF </w:t>
      </w:r>
      <w:r w:rsidR="002835F1" w:rsidRPr="00EB4547">
        <w:rPr>
          <w:bCs/>
          <w:sz w:val="20"/>
          <w:szCs w:val="20"/>
        </w:rPr>
        <w:t>skills</w:t>
      </w:r>
      <w:r w:rsidR="00E14099" w:rsidRPr="00EB4547">
        <w:rPr>
          <w:bCs/>
          <w:sz w:val="20"/>
          <w:szCs w:val="20"/>
        </w:rPr>
        <w:t xml:space="preserve"> and </w:t>
      </w:r>
      <w:r w:rsidR="003A5FA4" w:rsidRPr="00EB4547">
        <w:rPr>
          <w:bCs/>
          <w:sz w:val="20"/>
          <w:szCs w:val="20"/>
        </w:rPr>
        <w:t xml:space="preserve">subsequent </w:t>
      </w:r>
      <w:r w:rsidR="00E14099" w:rsidRPr="00EB4547">
        <w:rPr>
          <w:bCs/>
          <w:sz w:val="20"/>
          <w:szCs w:val="20"/>
        </w:rPr>
        <w:t>opportunities to successfully demonstrate the</w:t>
      </w:r>
      <w:r w:rsidR="002835F1" w:rsidRPr="00EB4547">
        <w:rPr>
          <w:bCs/>
          <w:sz w:val="20"/>
          <w:szCs w:val="20"/>
        </w:rPr>
        <w:t>se skills,</w:t>
      </w:r>
      <w:r w:rsidR="00E14099" w:rsidRPr="00EB4547">
        <w:rPr>
          <w:bCs/>
          <w:sz w:val="20"/>
          <w:szCs w:val="20"/>
        </w:rPr>
        <w:t xml:space="preserve"> including autistic individuals in the assessment of their </w:t>
      </w:r>
      <w:r w:rsidR="00FC35DF" w:rsidRPr="00EB4547">
        <w:rPr>
          <w:bCs/>
          <w:sz w:val="20"/>
          <w:szCs w:val="20"/>
        </w:rPr>
        <w:t xml:space="preserve">own </w:t>
      </w:r>
      <w:r w:rsidR="00E14099" w:rsidRPr="00EB4547">
        <w:rPr>
          <w:bCs/>
          <w:sz w:val="20"/>
          <w:szCs w:val="20"/>
        </w:rPr>
        <w:t xml:space="preserve">EF strengths and support needs inherently </w:t>
      </w:r>
      <w:r w:rsidR="00FB5FCA" w:rsidRPr="00EB4547">
        <w:rPr>
          <w:bCs/>
          <w:sz w:val="20"/>
          <w:szCs w:val="20"/>
        </w:rPr>
        <w:t>increases</w:t>
      </w:r>
      <w:r w:rsidR="00E14099" w:rsidRPr="00EB4547">
        <w:rPr>
          <w:bCs/>
          <w:sz w:val="20"/>
          <w:szCs w:val="20"/>
        </w:rPr>
        <w:t xml:space="preserve"> their motivation and agency in informing their own treatment </w:t>
      </w:r>
      <w:r w:rsidR="00FC35DF" w:rsidRPr="00EB4547">
        <w:rPr>
          <w:bCs/>
          <w:sz w:val="20"/>
          <w:szCs w:val="20"/>
        </w:rPr>
        <w:t>plan and goals</w:t>
      </w:r>
      <w:r w:rsidR="009B67AC" w:rsidRPr="00EB4547">
        <w:rPr>
          <w:color w:val="000000"/>
          <w:sz w:val="20"/>
          <w:szCs w:val="20"/>
        </w:rPr>
        <w:t xml:space="preserve"> (Kenworthy et al., 2022</w:t>
      </w:r>
      <w:r w:rsidR="009B67AC" w:rsidRPr="00EB4547">
        <w:rPr>
          <w:bCs/>
          <w:sz w:val="20"/>
          <w:szCs w:val="20"/>
        </w:rPr>
        <w:t xml:space="preserve">; </w:t>
      </w:r>
      <w:proofErr w:type="spellStart"/>
      <w:r w:rsidR="009B67AC" w:rsidRPr="00EB4547">
        <w:rPr>
          <w:bCs/>
          <w:sz w:val="20"/>
          <w:szCs w:val="20"/>
        </w:rPr>
        <w:t>Shogren</w:t>
      </w:r>
      <w:proofErr w:type="spellEnd"/>
      <w:r w:rsidR="009B67AC" w:rsidRPr="00EB4547">
        <w:rPr>
          <w:bCs/>
          <w:sz w:val="20"/>
          <w:szCs w:val="20"/>
        </w:rPr>
        <w:t xml:space="preserve"> et al., 2021).</w:t>
      </w:r>
      <w:r w:rsidR="00E14099" w:rsidRPr="00EB4547">
        <w:rPr>
          <w:bCs/>
          <w:sz w:val="20"/>
          <w:szCs w:val="20"/>
        </w:rPr>
        <w:t xml:space="preserve"> This is crucial because self-determination improves quality of life (QOL) and facilitates more autonomous transition to adulthood in autism</w:t>
      </w:r>
      <w:r w:rsidR="009B67AC" w:rsidRPr="00EB4547">
        <w:rPr>
          <w:bCs/>
          <w:sz w:val="20"/>
          <w:szCs w:val="20"/>
        </w:rPr>
        <w:t xml:space="preserve"> (</w:t>
      </w:r>
      <w:proofErr w:type="spellStart"/>
      <w:r w:rsidR="009B67AC" w:rsidRPr="00EB4547">
        <w:rPr>
          <w:bCs/>
          <w:sz w:val="20"/>
          <w:szCs w:val="20"/>
        </w:rPr>
        <w:t>Shogren</w:t>
      </w:r>
      <w:proofErr w:type="spellEnd"/>
      <w:r w:rsidR="009B67AC" w:rsidRPr="00EB4547">
        <w:rPr>
          <w:bCs/>
          <w:sz w:val="20"/>
          <w:szCs w:val="20"/>
        </w:rPr>
        <w:t xml:space="preserve"> et al., 2021; Test et al., 2009).</w:t>
      </w:r>
      <w:r w:rsidR="00E14099" w:rsidRPr="00EB4547">
        <w:rPr>
          <w:bCs/>
          <w:sz w:val="20"/>
          <w:szCs w:val="20"/>
        </w:rPr>
        <w:t xml:space="preserve"> To this end, the current study evaluated the link between self-reported EF and QOL, and whether </w:t>
      </w:r>
      <w:r w:rsidR="00F03D41">
        <w:rPr>
          <w:bCs/>
          <w:sz w:val="20"/>
          <w:szCs w:val="20"/>
        </w:rPr>
        <w:t xml:space="preserve">self-reported </w:t>
      </w:r>
      <w:r w:rsidR="00E14099" w:rsidRPr="00EB4547">
        <w:rPr>
          <w:bCs/>
          <w:sz w:val="20"/>
          <w:szCs w:val="20"/>
        </w:rPr>
        <w:t>self-determination mediates this relationship.</w:t>
      </w:r>
    </w:p>
    <w:p w14:paraId="7DEB2712" w14:textId="6087F25A" w:rsidR="00E14099" w:rsidRPr="00EB4547" w:rsidRDefault="00E14099" w:rsidP="005826E2">
      <w:pPr>
        <w:jc w:val="both"/>
        <w:rPr>
          <w:bCs/>
          <w:sz w:val="20"/>
          <w:szCs w:val="20"/>
        </w:rPr>
      </w:pPr>
      <w:r w:rsidRPr="00EB4547">
        <w:rPr>
          <w:b/>
          <w:bCs/>
          <w:sz w:val="20"/>
          <w:szCs w:val="20"/>
        </w:rPr>
        <w:t>Method:</w:t>
      </w:r>
      <w:r w:rsidRPr="00EB4547">
        <w:rPr>
          <w:b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>70 autistic teens and young adults ages 14.2 to 20.7 years (</w:t>
      </w:r>
      <w:r w:rsidRPr="00EB4547">
        <w:rPr>
          <w:bCs/>
          <w:i/>
          <w:iCs/>
          <w:sz w:val="20"/>
          <w:szCs w:val="20"/>
        </w:rPr>
        <w:t xml:space="preserve">M </w:t>
      </w:r>
      <w:r w:rsidRPr="00EB4547">
        <w:rPr>
          <w:bCs/>
          <w:sz w:val="20"/>
          <w:szCs w:val="20"/>
        </w:rPr>
        <w:t xml:space="preserve">= 16.2, </w:t>
      </w:r>
      <w:r w:rsidRPr="00EB4547">
        <w:rPr>
          <w:bCs/>
          <w:i/>
          <w:iCs/>
          <w:sz w:val="20"/>
          <w:szCs w:val="20"/>
        </w:rPr>
        <w:t xml:space="preserve">SD </w:t>
      </w:r>
      <w:r w:rsidRPr="00EB4547">
        <w:rPr>
          <w:bCs/>
          <w:sz w:val="20"/>
          <w:szCs w:val="20"/>
        </w:rPr>
        <w:t>= 1.2; 69% male</w:t>
      </w:r>
      <w:r w:rsidR="00D514CA">
        <w:rPr>
          <w:bCs/>
          <w:sz w:val="20"/>
          <w:szCs w:val="20"/>
        </w:rPr>
        <w:t>;</w:t>
      </w:r>
      <w:r w:rsidRPr="00EB4547">
        <w:rPr>
          <w:bCs/>
          <w:sz w:val="20"/>
          <w:szCs w:val="20"/>
        </w:rPr>
        <w:t xml:space="preserve"> 71% White</w:t>
      </w:r>
      <w:r w:rsidR="00D514CA">
        <w:rPr>
          <w:bCs/>
          <w:sz w:val="20"/>
          <w:szCs w:val="20"/>
        </w:rPr>
        <w:t>;</w:t>
      </w:r>
      <w:r w:rsidRPr="00EB4547">
        <w:rPr>
          <w:bCs/>
          <w:sz w:val="20"/>
          <w:szCs w:val="20"/>
        </w:rPr>
        <w:t xml:space="preserve"> 7% Hispanic</w:t>
      </w:r>
      <w:r w:rsidR="00913351" w:rsidRPr="00EB4547">
        <w:rPr>
          <w:bCs/>
          <w:sz w:val="20"/>
          <w:szCs w:val="20"/>
        </w:rPr>
        <w:t>/Latinx</w:t>
      </w:r>
      <w:r w:rsidR="006461DA" w:rsidRPr="00EB4547">
        <w:rPr>
          <w:bCs/>
          <w:sz w:val="20"/>
          <w:szCs w:val="20"/>
        </w:rPr>
        <w:t>; full-scale IQ</w:t>
      </w:r>
      <w:r w:rsidRPr="00EB4547">
        <w:rPr>
          <w:bCs/>
          <w:sz w:val="20"/>
          <w:szCs w:val="20"/>
        </w:rPr>
        <w:t xml:space="preserve"> range = 61-141) completed </w:t>
      </w:r>
      <w:r w:rsidR="004D35EE">
        <w:rPr>
          <w:bCs/>
          <w:sz w:val="20"/>
          <w:szCs w:val="20"/>
        </w:rPr>
        <w:t xml:space="preserve">three </w:t>
      </w:r>
      <w:r w:rsidRPr="00EB4547">
        <w:rPr>
          <w:bCs/>
          <w:sz w:val="20"/>
          <w:szCs w:val="20"/>
        </w:rPr>
        <w:t>self-report measures at baseline for two treatment studies. EF was measured by the Behavior Rating In</w:t>
      </w:r>
      <w:r w:rsidR="00D514CA">
        <w:rPr>
          <w:bCs/>
          <w:sz w:val="20"/>
          <w:szCs w:val="20"/>
        </w:rPr>
        <w:t>ventory</w:t>
      </w:r>
      <w:r w:rsidRPr="00EB4547">
        <w:rPr>
          <w:bCs/>
          <w:sz w:val="20"/>
          <w:szCs w:val="20"/>
        </w:rPr>
        <w:t xml:space="preserve"> of Executive Function, </w:t>
      </w:r>
      <w:r w:rsidR="00D514CA">
        <w:rPr>
          <w:bCs/>
          <w:sz w:val="20"/>
          <w:szCs w:val="20"/>
        </w:rPr>
        <w:t>Second</w:t>
      </w:r>
      <w:r w:rsidRPr="00EB4547">
        <w:rPr>
          <w:bCs/>
          <w:sz w:val="20"/>
          <w:szCs w:val="20"/>
        </w:rPr>
        <w:t xml:space="preserve"> Edition (BRIEF-2) </w:t>
      </w:r>
      <w:r w:rsidR="00D514CA">
        <w:rPr>
          <w:bCs/>
          <w:sz w:val="20"/>
          <w:szCs w:val="20"/>
        </w:rPr>
        <w:t>Global</w:t>
      </w:r>
      <w:r w:rsidRPr="00EB4547">
        <w:rPr>
          <w:bCs/>
          <w:sz w:val="20"/>
          <w:szCs w:val="20"/>
        </w:rPr>
        <w:t xml:space="preserve"> Executive Composite (GEC)</w:t>
      </w:r>
      <w:r w:rsidR="002D705B" w:rsidRPr="00EB4547">
        <w:rPr>
          <w:bCs/>
          <w:sz w:val="20"/>
          <w:szCs w:val="20"/>
        </w:rPr>
        <w:t xml:space="preserve">; </w:t>
      </w:r>
      <w:r w:rsidRPr="00EB4547">
        <w:rPr>
          <w:bCs/>
          <w:sz w:val="20"/>
          <w:szCs w:val="20"/>
        </w:rPr>
        <w:t xml:space="preserve">higher scores indicate more </w:t>
      </w:r>
      <w:r w:rsidR="002D705B" w:rsidRPr="00EB4547">
        <w:rPr>
          <w:bCs/>
          <w:sz w:val="20"/>
          <w:szCs w:val="20"/>
        </w:rPr>
        <w:t xml:space="preserve">EF </w:t>
      </w:r>
      <w:r w:rsidRPr="00EB4547">
        <w:rPr>
          <w:bCs/>
          <w:sz w:val="20"/>
          <w:szCs w:val="20"/>
        </w:rPr>
        <w:t>challenges. Self-determination was measured by the American Institutes for Research Self-Determination Scale (AIR) Level (max = 120)</w:t>
      </w:r>
      <w:r w:rsidR="002D705B" w:rsidRPr="00EB4547">
        <w:rPr>
          <w:bCs/>
          <w:sz w:val="20"/>
          <w:szCs w:val="20"/>
        </w:rPr>
        <w:t xml:space="preserve">; </w:t>
      </w:r>
      <w:r w:rsidRPr="00EB4547">
        <w:rPr>
          <w:bCs/>
          <w:sz w:val="20"/>
          <w:szCs w:val="20"/>
        </w:rPr>
        <w:t xml:space="preserve">a higher score indicates </w:t>
      </w:r>
      <w:r w:rsidR="00A96FC4">
        <w:rPr>
          <w:bCs/>
          <w:sz w:val="20"/>
          <w:szCs w:val="20"/>
        </w:rPr>
        <w:t>more</w:t>
      </w:r>
      <w:r w:rsidRPr="00EB4547">
        <w:rPr>
          <w:bCs/>
          <w:sz w:val="20"/>
          <w:szCs w:val="20"/>
        </w:rPr>
        <w:t xml:space="preserve"> self-determination. </w:t>
      </w:r>
      <w:r w:rsidR="00A96FC4">
        <w:rPr>
          <w:bCs/>
          <w:sz w:val="20"/>
          <w:szCs w:val="20"/>
        </w:rPr>
        <w:t>For each participant,</w:t>
      </w:r>
      <w:r w:rsidR="00EC065D" w:rsidRPr="00EB4547">
        <w:rPr>
          <w:b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>QOL</w:t>
      </w:r>
      <w:r w:rsidR="00EC065D" w:rsidRPr="00EB4547">
        <w:rPr>
          <w:bCs/>
          <w:sz w:val="20"/>
          <w:szCs w:val="20"/>
        </w:rPr>
        <w:t xml:space="preserve"> was averaged across 18</w:t>
      </w:r>
      <w:r w:rsidR="0003625B" w:rsidRPr="00EB4547">
        <w:rPr>
          <w:b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>items</w:t>
      </w:r>
      <w:r w:rsidR="0003625B" w:rsidRPr="00EB4547">
        <w:rPr>
          <w:bCs/>
          <w:sz w:val="20"/>
          <w:szCs w:val="20"/>
        </w:rPr>
        <w:t xml:space="preserve"> </w:t>
      </w:r>
      <w:r w:rsidR="0018242A" w:rsidRPr="00EB4547">
        <w:rPr>
          <w:bCs/>
          <w:sz w:val="20"/>
          <w:szCs w:val="20"/>
        </w:rPr>
        <w:t>derived</w:t>
      </w:r>
      <w:r w:rsidR="00004EDF" w:rsidRPr="00EB4547">
        <w:rPr>
          <w:b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 xml:space="preserve">from </w:t>
      </w:r>
      <w:r w:rsidR="0003625B" w:rsidRPr="00EB4547">
        <w:rPr>
          <w:bCs/>
          <w:sz w:val="20"/>
          <w:szCs w:val="20"/>
        </w:rPr>
        <w:t xml:space="preserve">several research-based measures (i.e., </w:t>
      </w:r>
      <w:proofErr w:type="spellStart"/>
      <w:r w:rsidR="0003625B" w:rsidRPr="00EB4547">
        <w:rPr>
          <w:bCs/>
          <w:sz w:val="20"/>
          <w:szCs w:val="20"/>
        </w:rPr>
        <w:t>ASQol</w:t>
      </w:r>
      <w:proofErr w:type="spellEnd"/>
      <w:r w:rsidR="0003625B" w:rsidRPr="00EB4547">
        <w:rPr>
          <w:bCs/>
          <w:sz w:val="20"/>
          <w:szCs w:val="20"/>
        </w:rPr>
        <w:t xml:space="preserve">, </w:t>
      </w:r>
      <w:proofErr w:type="spellStart"/>
      <w:r w:rsidR="0003625B" w:rsidRPr="00EB4547">
        <w:rPr>
          <w:bCs/>
          <w:sz w:val="20"/>
          <w:szCs w:val="20"/>
        </w:rPr>
        <w:t>WHOQol</w:t>
      </w:r>
      <w:proofErr w:type="spellEnd"/>
      <w:r w:rsidR="0003625B" w:rsidRPr="00EB4547">
        <w:rPr>
          <w:bCs/>
          <w:sz w:val="20"/>
          <w:szCs w:val="20"/>
        </w:rPr>
        <w:t>-BREF, QOL-Q)</w:t>
      </w:r>
      <w:r w:rsidR="00004EDF" w:rsidRPr="00EB4547">
        <w:rPr>
          <w:bCs/>
          <w:sz w:val="20"/>
          <w:szCs w:val="20"/>
        </w:rPr>
        <w:t xml:space="preserve"> to create </w:t>
      </w:r>
      <w:r w:rsidR="00A96FC4">
        <w:rPr>
          <w:bCs/>
          <w:sz w:val="20"/>
          <w:szCs w:val="20"/>
        </w:rPr>
        <w:t>a</w:t>
      </w:r>
      <w:r w:rsidR="009F32F6" w:rsidRPr="00EB4547">
        <w:rPr>
          <w:bCs/>
          <w:sz w:val="20"/>
          <w:szCs w:val="20"/>
        </w:rPr>
        <w:t xml:space="preserve"> </w:t>
      </w:r>
      <w:r w:rsidR="00004EDF" w:rsidRPr="00EB4547">
        <w:rPr>
          <w:bCs/>
          <w:sz w:val="20"/>
          <w:szCs w:val="20"/>
        </w:rPr>
        <w:t>score</w:t>
      </w:r>
      <w:r w:rsidR="009F32F6" w:rsidRPr="00EB4547">
        <w:rPr>
          <w:bCs/>
          <w:sz w:val="20"/>
          <w:szCs w:val="20"/>
        </w:rPr>
        <w:t xml:space="preserve"> from 1-5; </w:t>
      </w:r>
      <w:r w:rsidR="002D705B" w:rsidRPr="00EB4547">
        <w:rPr>
          <w:bCs/>
          <w:sz w:val="20"/>
          <w:szCs w:val="20"/>
        </w:rPr>
        <w:t>higher</w:t>
      </w:r>
      <w:r w:rsidR="0018242A" w:rsidRPr="00EB4547">
        <w:rPr>
          <w:bCs/>
          <w:sz w:val="20"/>
          <w:szCs w:val="20"/>
        </w:rPr>
        <w:t xml:space="preserve"> </w:t>
      </w:r>
      <w:r w:rsidR="00004EDF" w:rsidRPr="00EB4547">
        <w:rPr>
          <w:bCs/>
          <w:sz w:val="20"/>
          <w:szCs w:val="20"/>
        </w:rPr>
        <w:t>scores</w:t>
      </w:r>
      <w:r w:rsidRPr="00EB4547">
        <w:rPr>
          <w:bCs/>
          <w:sz w:val="20"/>
          <w:szCs w:val="20"/>
        </w:rPr>
        <w:t xml:space="preserve"> indicate better QOL. Spearman’s correlations </w:t>
      </w:r>
      <w:r w:rsidR="0003625B" w:rsidRPr="00EB4547">
        <w:rPr>
          <w:bCs/>
          <w:sz w:val="20"/>
          <w:szCs w:val="20"/>
        </w:rPr>
        <w:t>assessed</w:t>
      </w:r>
      <w:r w:rsidRPr="00EB4547">
        <w:rPr>
          <w:bCs/>
          <w:sz w:val="20"/>
          <w:szCs w:val="20"/>
        </w:rPr>
        <w:t xml:space="preserve"> bivariate relationships. </w:t>
      </w:r>
      <w:r w:rsidR="00822AD8" w:rsidRPr="00EB4547">
        <w:rPr>
          <w:bCs/>
          <w:sz w:val="20"/>
          <w:szCs w:val="20"/>
        </w:rPr>
        <w:t>M</w:t>
      </w:r>
      <w:r w:rsidRPr="00EB4547">
        <w:rPr>
          <w:bCs/>
          <w:sz w:val="20"/>
          <w:szCs w:val="20"/>
        </w:rPr>
        <w:t xml:space="preserve">ediation analysis </w:t>
      </w:r>
      <w:r w:rsidR="00822AD8" w:rsidRPr="00EB4547">
        <w:rPr>
          <w:bCs/>
          <w:sz w:val="20"/>
          <w:szCs w:val="20"/>
        </w:rPr>
        <w:t xml:space="preserve">(Figure 1) </w:t>
      </w:r>
      <w:r w:rsidRPr="00EB4547">
        <w:rPr>
          <w:bCs/>
          <w:sz w:val="20"/>
          <w:szCs w:val="20"/>
        </w:rPr>
        <w:t>was</w:t>
      </w:r>
      <w:r w:rsidR="0024707B">
        <w:rPr>
          <w:bCs/>
          <w:sz w:val="20"/>
          <w:szCs w:val="20"/>
        </w:rPr>
        <w:t xml:space="preserve"> then</w:t>
      </w:r>
      <w:r w:rsidRPr="00EB4547">
        <w:rPr>
          <w:bCs/>
          <w:sz w:val="20"/>
          <w:szCs w:val="20"/>
        </w:rPr>
        <w:t xml:space="preserve"> conducted using SPSS</w:t>
      </w:r>
      <w:r w:rsidR="00822AD8" w:rsidRPr="00EB4547">
        <w:rPr>
          <w:b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>28 PROCESS macro, with BRIEF-2 GEC as the independent variable (X), QOL as the dependent variable (Y), and AIR Self-Determination Level as the mediator (M</w:t>
      </w:r>
      <w:r w:rsidR="00A96FC4">
        <w:rPr>
          <w:bCs/>
          <w:sz w:val="20"/>
          <w:szCs w:val="20"/>
        </w:rPr>
        <w:t>), with covariates of</w:t>
      </w:r>
      <w:r w:rsidRPr="00EB4547">
        <w:rPr>
          <w:bCs/>
          <w:sz w:val="20"/>
          <w:szCs w:val="20"/>
        </w:rPr>
        <w:t xml:space="preserve"> age, IQ, gender, and study, to account for differences between the </w:t>
      </w:r>
      <w:r w:rsidR="00A96FC4">
        <w:rPr>
          <w:bCs/>
          <w:sz w:val="20"/>
          <w:szCs w:val="20"/>
        </w:rPr>
        <w:t xml:space="preserve">two </w:t>
      </w:r>
      <w:r w:rsidRPr="00EB4547">
        <w:rPr>
          <w:bCs/>
          <w:sz w:val="20"/>
          <w:szCs w:val="20"/>
        </w:rPr>
        <w:t xml:space="preserve">samples. </w:t>
      </w:r>
    </w:p>
    <w:p w14:paraId="4146DF9D" w14:textId="3BAEC1AB" w:rsidR="00E14099" w:rsidRPr="00EB4547" w:rsidRDefault="00E14099" w:rsidP="005826E2">
      <w:pPr>
        <w:jc w:val="both"/>
        <w:rPr>
          <w:b/>
          <w:sz w:val="20"/>
          <w:szCs w:val="20"/>
        </w:rPr>
      </w:pPr>
      <w:r w:rsidRPr="00EB4547">
        <w:rPr>
          <w:b/>
          <w:bCs/>
          <w:sz w:val="20"/>
          <w:szCs w:val="20"/>
        </w:rPr>
        <w:t xml:space="preserve">Results: </w:t>
      </w:r>
      <w:r w:rsidR="00822AD8" w:rsidRPr="00EB4547">
        <w:rPr>
          <w:bCs/>
          <w:sz w:val="20"/>
          <w:szCs w:val="20"/>
        </w:rPr>
        <w:t>More</w:t>
      </w:r>
      <w:r w:rsidRPr="00EB4547">
        <w:rPr>
          <w:bCs/>
          <w:sz w:val="20"/>
          <w:szCs w:val="20"/>
        </w:rPr>
        <w:t xml:space="preserve"> EF challenges were correlated with lower self-determination (</w:t>
      </w:r>
      <w:r w:rsidRPr="00EB4547">
        <w:rPr>
          <w:bCs/>
          <w:i/>
          <w:iCs/>
          <w:sz w:val="20"/>
          <w:szCs w:val="20"/>
        </w:rPr>
        <w:t>ρ</w:t>
      </w:r>
      <w:r w:rsidRPr="00EB4547">
        <w:rPr>
          <w:bCs/>
          <w:sz w:val="20"/>
          <w:szCs w:val="20"/>
        </w:rPr>
        <w:t xml:space="preserve"> = -.</w:t>
      </w:r>
      <w:r w:rsidR="006058A1">
        <w:rPr>
          <w:bCs/>
          <w:sz w:val="20"/>
          <w:szCs w:val="20"/>
        </w:rPr>
        <w:t>558</w:t>
      </w:r>
      <w:r w:rsidRPr="00EB4547">
        <w:rPr>
          <w:bCs/>
          <w:sz w:val="20"/>
          <w:szCs w:val="20"/>
        </w:rPr>
        <w:t xml:space="preserve">, </w:t>
      </w:r>
      <w:r w:rsidRPr="00EB4547">
        <w:rPr>
          <w:bCs/>
          <w:i/>
          <w:iCs/>
          <w:sz w:val="20"/>
          <w:szCs w:val="20"/>
        </w:rPr>
        <w:t xml:space="preserve">p </w:t>
      </w:r>
      <w:r w:rsidRPr="00EB4547">
        <w:rPr>
          <w:bCs/>
          <w:sz w:val="20"/>
          <w:szCs w:val="20"/>
        </w:rPr>
        <w:t>&lt; .001</w:t>
      </w:r>
      <w:r w:rsidR="00845DA7" w:rsidRPr="00EB4547">
        <w:rPr>
          <w:bCs/>
          <w:sz w:val="20"/>
          <w:szCs w:val="20"/>
        </w:rPr>
        <w:t>)</w:t>
      </w:r>
      <w:r w:rsidRPr="00EB4547">
        <w:rPr>
          <w:bCs/>
          <w:sz w:val="20"/>
          <w:szCs w:val="20"/>
        </w:rPr>
        <w:t xml:space="preserve"> and QOL (</w:t>
      </w:r>
      <w:r w:rsidRPr="00EB4547">
        <w:rPr>
          <w:bCs/>
          <w:i/>
          <w:iCs/>
          <w:sz w:val="20"/>
          <w:szCs w:val="20"/>
        </w:rPr>
        <w:t>ρ</w:t>
      </w:r>
      <w:r w:rsidRPr="00EB4547">
        <w:rPr>
          <w:bCs/>
          <w:sz w:val="20"/>
          <w:szCs w:val="20"/>
        </w:rPr>
        <w:t xml:space="preserve"> = -.4</w:t>
      </w:r>
      <w:r w:rsidR="006058A1">
        <w:rPr>
          <w:bCs/>
          <w:sz w:val="20"/>
          <w:szCs w:val="20"/>
        </w:rPr>
        <w:t>39</w:t>
      </w:r>
      <w:r w:rsidRPr="00EB4547">
        <w:rPr>
          <w:bCs/>
          <w:sz w:val="20"/>
          <w:szCs w:val="20"/>
        </w:rPr>
        <w:t xml:space="preserve">, </w:t>
      </w:r>
      <w:r w:rsidRPr="00EB4547">
        <w:rPr>
          <w:bCs/>
          <w:i/>
          <w:iCs/>
          <w:sz w:val="20"/>
          <w:szCs w:val="20"/>
        </w:rPr>
        <w:t xml:space="preserve">p </w:t>
      </w:r>
      <w:r w:rsidRPr="00EB4547">
        <w:rPr>
          <w:bCs/>
          <w:sz w:val="20"/>
          <w:szCs w:val="20"/>
        </w:rPr>
        <w:t>&lt; .001)</w:t>
      </w:r>
      <w:r w:rsidR="006461DA" w:rsidRPr="00EB4547">
        <w:rPr>
          <w:bCs/>
          <w:sz w:val="20"/>
          <w:szCs w:val="20"/>
        </w:rPr>
        <w:t>. S</w:t>
      </w:r>
      <w:r w:rsidRPr="00EB4547">
        <w:rPr>
          <w:bCs/>
          <w:sz w:val="20"/>
          <w:szCs w:val="20"/>
        </w:rPr>
        <w:t>elf-determination and QOL were positively correlated (</w:t>
      </w:r>
      <w:r w:rsidRPr="00EB4547">
        <w:rPr>
          <w:bCs/>
          <w:i/>
          <w:iCs/>
          <w:sz w:val="20"/>
          <w:szCs w:val="20"/>
        </w:rPr>
        <w:t>ρ</w:t>
      </w:r>
      <w:r w:rsidRPr="00EB4547">
        <w:rPr>
          <w:bCs/>
          <w:sz w:val="20"/>
          <w:szCs w:val="20"/>
        </w:rPr>
        <w:t xml:space="preserve"> = .6</w:t>
      </w:r>
      <w:r w:rsidR="006058A1">
        <w:rPr>
          <w:bCs/>
          <w:sz w:val="20"/>
          <w:szCs w:val="20"/>
        </w:rPr>
        <w:t>68</w:t>
      </w:r>
      <w:r w:rsidRPr="00EB4547">
        <w:rPr>
          <w:bCs/>
          <w:sz w:val="20"/>
          <w:szCs w:val="20"/>
        </w:rPr>
        <w:t xml:space="preserve">, </w:t>
      </w:r>
      <w:r w:rsidRPr="00EB4547">
        <w:rPr>
          <w:bCs/>
          <w:i/>
          <w:iCs/>
          <w:sz w:val="20"/>
          <w:szCs w:val="20"/>
        </w:rPr>
        <w:t>p</w:t>
      </w:r>
      <w:r w:rsidRPr="00EB4547">
        <w:rPr>
          <w:bCs/>
          <w:sz w:val="20"/>
          <w:szCs w:val="20"/>
        </w:rPr>
        <w:t xml:space="preserve"> &lt; .001). </w:t>
      </w:r>
      <w:r w:rsidR="00822AD8" w:rsidRPr="00EB4547">
        <w:rPr>
          <w:bCs/>
          <w:sz w:val="20"/>
          <w:szCs w:val="20"/>
        </w:rPr>
        <w:t>M</w:t>
      </w:r>
      <w:r w:rsidRPr="00EB4547">
        <w:rPr>
          <w:bCs/>
          <w:sz w:val="20"/>
          <w:szCs w:val="20"/>
        </w:rPr>
        <w:t>ediation analys</w:t>
      </w:r>
      <w:r w:rsidR="00822AD8" w:rsidRPr="00EB4547">
        <w:rPr>
          <w:bCs/>
          <w:sz w:val="20"/>
          <w:szCs w:val="20"/>
        </w:rPr>
        <w:t>i</w:t>
      </w:r>
      <w:r w:rsidRPr="00EB4547">
        <w:rPr>
          <w:bCs/>
          <w:sz w:val="20"/>
          <w:szCs w:val="20"/>
        </w:rPr>
        <w:t xml:space="preserve">s </w:t>
      </w:r>
      <w:r w:rsidR="00A71F0E" w:rsidRPr="00EB4547">
        <w:rPr>
          <w:bCs/>
          <w:sz w:val="20"/>
          <w:szCs w:val="20"/>
        </w:rPr>
        <w:t>revealed</w:t>
      </w:r>
      <w:r w:rsidRPr="00EB4547">
        <w:rPr>
          <w:bCs/>
          <w:sz w:val="20"/>
          <w:szCs w:val="20"/>
        </w:rPr>
        <w:t xml:space="preserve"> that weaker EF </w:t>
      </w:r>
      <w:r w:rsidR="00822AD8" w:rsidRPr="00EB4547">
        <w:rPr>
          <w:bCs/>
          <w:sz w:val="20"/>
          <w:szCs w:val="20"/>
        </w:rPr>
        <w:t>predicted</w:t>
      </w:r>
      <w:r w:rsidRPr="00EB4547">
        <w:rPr>
          <w:bCs/>
          <w:sz w:val="20"/>
          <w:szCs w:val="20"/>
        </w:rPr>
        <w:t xml:space="preserve"> lower QOL (</w:t>
      </w:r>
      <w:r w:rsidRPr="00EB4547">
        <w:rPr>
          <w:bCs/>
          <w:i/>
          <w:iCs/>
          <w:sz w:val="20"/>
          <w:szCs w:val="20"/>
        </w:rPr>
        <w:t>B</w:t>
      </w:r>
      <w:r w:rsidR="006461DA" w:rsidRPr="00EB4547">
        <w:rPr>
          <w:bCs/>
          <w:i/>
          <w:iCs/>
          <w:sz w:val="20"/>
          <w:szCs w:val="20"/>
        </w:rPr>
        <w:t xml:space="preserve"> </w:t>
      </w:r>
      <w:r w:rsidRPr="00EB4547">
        <w:rPr>
          <w:bCs/>
          <w:i/>
          <w:iCs/>
          <w:sz w:val="20"/>
          <w:szCs w:val="20"/>
        </w:rPr>
        <w:t>=</w:t>
      </w:r>
      <w:r w:rsidR="006461DA" w:rsidRPr="00EB4547">
        <w:rPr>
          <w:bCs/>
          <w:i/>
          <w:i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>-.022, 95%</w:t>
      </w:r>
      <w:r w:rsidR="005A2564" w:rsidRPr="00EB4547">
        <w:rPr>
          <w:b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>CI</w:t>
      </w:r>
      <w:r w:rsidR="005A2564" w:rsidRPr="00EB4547">
        <w:rPr>
          <w:b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 xml:space="preserve">[-.033, -.011], </w:t>
      </w:r>
      <w:r w:rsidRPr="00EB4547">
        <w:rPr>
          <w:bCs/>
          <w:i/>
          <w:iCs/>
          <w:sz w:val="20"/>
          <w:szCs w:val="20"/>
        </w:rPr>
        <w:t xml:space="preserve">p </w:t>
      </w:r>
      <w:r w:rsidRPr="00EB4547">
        <w:rPr>
          <w:bCs/>
          <w:sz w:val="20"/>
          <w:szCs w:val="20"/>
        </w:rPr>
        <w:t>&lt;</w:t>
      </w:r>
      <w:r w:rsidR="006461DA" w:rsidRPr="00EB4547">
        <w:rPr>
          <w:b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>.001</w:t>
      </w:r>
      <w:r w:rsidR="000D4E84">
        <w:rPr>
          <w:bCs/>
          <w:sz w:val="20"/>
          <w:szCs w:val="20"/>
        </w:rPr>
        <w:t>), but s</w:t>
      </w:r>
      <w:r w:rsidRPr="00EB4547">
        <w:rPr>
          <w:bCs/>
          <w:sz w:val="20"/>
          <w:szCs w:val="20"/>
        </w:rPr>
        <w:t>elf-determination mediated this relationship</w:t>
      </w:r>
      <w:r w:rsidR="00FC4A07">
        <w:rPr>
          <w:bCs/>
          <w:sz w:val="20"/>
          <w:szCs w:val="20"/>
        </w:rPr>
        <w:t>. The indirect effect was significant</w:t>
      </w:r>
      <w:r w:rsidR="000D4E84">
        <w:rPr>
          <w:b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>(</w:t>
      </w:r>
      <w:r w:rsidRPr="00EB4547">
        <w:rPr>
          <w:bCs/>
          <w:i/>
          <w:iCs/>
          <w:sz w:val="20"/>
          <w:szCs w:val="20"/>
        </w:rPr>
        <w:t>B</w:t>
      </w:r>
      <w:r w:rsidR="006461DA" w:rsidRPr="00EB4547">
        <w:rPr>
          <w:bCs/>
          <w:i/>
          <w:i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>=</w:t>
      </w:r>
      <w:r w:rsidR="006461DA" w:rsidRPr="00EB4547">
        <w:rPr>
          <w:b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>-.016, 95%</w:t>
      </w:r>
      <w:r w:rsidR="005A2564" w:rsidRPr="00EB4547">
        <w:rPr>
          <w:b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>CI</w:t>
      </w:r>
      <w:r w:rsidR="005A2564" w:rsidRPr="00EB4547">
        <w:rPr>
          <w:b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 xml:space="preserve">[-.024, -.009], </w:t>
      </w:r>
      <w:r w:rsidRPr="00EB4547">
        <w:rPr>
          <w:bCs/>
          <w:i/>
          <w:iCs/>
          <w:sz w:val="20"/>
          <w:szCs w:val="20"/>
        </w:rPr>
        <w:t xml:space="preserve">p </w:t>
      </w:r>
      <w:r w:rsidRPr="00EB4547">
        <w:rPr>
          <w:bCs/>
          <w:sz w:val="20"/>
          <w:szCs w:val="20"/>
        </w:rPr>
        <w:t>&lt; .001)</w:t>
      </w:r>
      <w:r w:rsidR="000D4E84">
        <w:rPr>
          <w:bCs/>
          <w:sz w:val="20"/>
          <w:szCs w:val="20"/>
        </w:rPr>
        <w:t xml:space="preserve"> and </w:t>
      </w:r>
      <w:r w:rsidRPr="00EB4547">
        <w:rPr>
          <w:bCs/>
          <w:sz w:val="20"/>
          <w:szCs w:val="20"/>
        </w:rPr>
        <w:t xml:space="preserve">the direct effect of EF was </w:t>
      </w:r>
      <w:r w:rsidR="000D4E84">
        <w:rPr>
          <w:bCs/>
          <w:sz w:val="20"/>
          <w:szCs w:val="20"/>
        </w:rPr>
        <w:t>no longer</w:t>
      </w:r>
      <w:r w:rsidR="00FA4053" w:rsidRPr="00EB4547">
        <w:rPr>
          <w:b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 xml:space="preserve">significant </w:t>
      </w:r>
      <w:r w:rsidR="000D4E84">
        <w:rPr>
          <w:bCs/>
          <w:sz w:val="20"/>
          <w:szCs w:val="20"/>
        </w:rPr>
        <w:t>when</w:t>
      </w:r>
      <w:r w:rsidRPr="00EB4547">
        <w:rPr>
          <w:bCs/>
          <w:sz w:val="20"/>
          <w:szCs w:val="20"/>
        </w:rPr>
        <w:t xml:space="preserve"> </w:t>
      </w:r>
      <w:r w:rsidR="00FA4053" w:rsidRPr="00EB4547">
        <w:rPr>
          <w:bCs/>
          <w:sz w:val="20"/>
          <w:szCs w:val="20"/>
        </w:rPr>
        <w:t>self-determination</w:t>
      </w:r>
      <w:r w:rsidRPr="00EB4547">
        <w:rPr>
          <w:bCs/>
          <w:sz w:val="20"/>
          <w:szCs w:val="20"/>
        </w:rPr>
        <w:t xml:space="preserve"> </w:t>
      </w:r>
      <w:r w:rsidR="000D4E84">
        <w:rPr>
          <w:bCs/>
          <w:sz w:val="20"/>
          <w:szCs w:val="20"/>
        </w:rPr>
        <w:t xml:space="preserve">was </w:t>
      </w:r>
      <w:r w:rsidRPr="00EB4547">
        <w:rPr>
          <w:bCs/>
          <w:sz w:val="20"/>
          <w:szCs w:val="20"/>
        </w:rPr>
        <w:t>included (</w:t>
      </w:r>
      <w:r w:rsidRPr="00EB4547">
        <w:rPr>
          <w:bCs/>
          <w:i/>
          <w:iCs/>
          <w:sz w:val="20"/>
          <w:szCs w:val="20"/>
        </w:rPr>
        <w:t xml:space="preserve">B </w:t>
      </w:r>
      <w:r w:rsidRPr="00EB4547">
        <w:rPr>
          <w:bCs/>
          <w:sz w:val="20"/>
          <w:szCs w:val="20"/>
        </w:rPr>
        <w:t>= -.006, 95%</w:t>
      </w:r>
      <w:r w:rsidR="005A2564" w:rsidRPr="00EB4547">
        <w:rPr>
          <w:b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>CI</w:t>
      </w:r>
      <w:r w:rsidR="005A2564" w:rsidRPr="00EB4547">
        <w:rPr>
          <w:b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 xml:space="preserve">[-.017, .005], </w:t>
      </w:r>
      <w:r w:rsidRPr="00EB4547">
        <w:rPr>
          <w:bCs/>
          <w:i/>
          <w:iCs/>
          <w:sz w:val="20"/>
          <w:szCs w:val="20"/>
        </w:rPr>
        <w:t xml:space="preserve">p </w:t>
      </w:r>
      <w:r w:rsidRPr="00EB4547">
        <w:rPr>
          <w:bCs/>
          <w:sz w:val="20"/>
          <w:szCs w:val="20"/>
        </w:rPr>
        <w:t>= .307).</w:t>
      </w:r>
    </w:p>
    <w:p w14:paraId="54E0294E" w14:textId="77777777" w:rsidR="00A96FC4" w:rsidRDefault="00E14099" w:rsidP="00A96FC4">
      <w:pPr>
        <w:spacing w:after="80"/>
        <w:jc w:val="both"/>
        <w:rPr>
          <w:bCs/>
          <w:sz w:val="20"/>
          <w:szCs w:val="20"/>
        </w:rPr>
      </w:pPr>
      <w:r w:rsidRPr="00EB4547">
        <w:rPr>
          <w:b/>
          <w:bCs/>
          <w:sz w:val="20"/>
          <w:szCs w:val="20"/>
        </w:rPr>
        <w:t>Discussion:</w:t>
      </w:r>
      <w:r w:rsidRPr="00EB4547">
        <w:rPr>
          <w:b/>
          <w:sz w:val="20"/>
          <w:szCs w:val="20"/>
        </w:rPr>
        <w:t xml:space="preserve"> </w:t>
      </w:r>
      <w:r w:rsidR="002177AA" w:rsidRPr="00EB4547">
        <w:rPr>
          <w:bCs/>
          <w:sz w:val="20"/>
          <w:szCs w:val="20"/>
        </w:rPr>
        <w:t>These f</w:t>
      </w:r>
      <w:r w:rsidRPr="00EB4547">
        <w:rPr>
          <w:bCs/>
          <w:sz w:val="20"/>
          <w:szCs w:val="20"/>
        </w:rPr>
        <w:t>indings highlight an important potential pathway to improv</w:t>
      </w:r>
      <w:r w:rsidR="002835F1" w:rsidRPr="00EB4547">
        <w:rPr>
          <w:bCs/>
          <w:sz w:val="20"/>
          <w:szCs w:val="20"/>
        </w:rPr>
        <w:t>e</w:t>
      </w:r>
      <w:r w:rsidRPr="00EB4547">
        <w:rPr>
          <w:bCs/>
          <w:sz w:val="20"/>
          <w:szCs w:val="20"/>
        </w:rPr>
        <w:t xml:space="preserve"> QOL via EF and self-determination. Intervention to increase EF skills is likely to improve self-determination when teens have opportunities to demonstrate to themselves that they can successfully apply EF skills in daily life and</w:t>
      </w:r>
      <w:r w:rsidR="00E147E6" w:rsidRPr="00EB4547">
        <w:rPr>
          <w:bCs/>
          <w:sz w:val="20"/>
          <w:szCs w:val="20"/>
        </w:rPr>
        <w:t xml:space="preserve"> ultimately</w:t>
      </w:r>
      <w:r w:rsidR="0046092F" w:rsidRPr="00EB4547">
        <w:rPr>
          <w:bCs/>
          <w:sz w:val="20"/>
          <w:szCs w:val="20"/>
        </w:rPr>
        <w:t xml:space="preserve"> </w:t>
      </w:r>
      <w:r w:rsidRPr="00EB4547">
        <w:rPr>
          <w:bCs/>
          <w:sz w:val="20"/>
          <w:szCs w:val="20"/>
        </w:rPr>
        <w:t>achieve their goals more autonomously. Self-determination supports and strengths-based approaches may further augment EF treatment to facilitate self-determination and, in turn, improve QOL.</w:t>
      </w:r>
      <w:r w:rsidR="002177AA" w:rsidRPr="00EB4547">
        <w:rPr>
          <w:bCs/>
          <w:sz w:val="20"/>
          <w:szCs w:val="20"/>
        </w:rPr>
        <w:t xml:space="preserve"> Future </w:t>
      </w:r>
      <w:r w:rsidR="003B573C" w:rsidRPr="00EB4547">
        <w:rPr>
          <w:bCs/>
          <w:sz w:val="20"/>
          <w:szCs w:val="20"/>
        </w:rPr>
        <w:t>analyses</w:t>
      </w:r>
      <w:r w:rsidR="002177AA" w:rsidRPr="00EB4547">
        <w:rPr>
          <w:bCs/>
          <w:sz w:val="20"/>
          <w:szCs w:val="20"/>
        </w:rPr>
        <w:t xml:space="preserve"> will evaluate these potential treatment mechanisms and mediators longitudinally in response to EF </w:t>
      </w:r>
      <w:r w:rsidR="00D86972" w:rsidRPr="00EB4547">
        <w:rPr>
          <w:bCs/>
          <w:sz w:val="20"/>
          <w:szCs w:val="20"/>
        </w:rPr>
        <w:t>intervention.</w:t>
      </w:r>
    </w:p>
    <w:p w14:paraId="460412FE" w14:textId="21FBFCB9" w:rsidR="00886FBA" w:rsidRPr="00A96FC4" w:rsidRDefault="00585B4B" w:rsidP="00585B4B">
      <w:pPr>
        <w:spacing w:after="80"/>
        <w:jc w:val="center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inline distT="0" distB="0" distL="0" distR="0" wp14:anchorId="73C44A13" wp14:editId="483B77BF">
            <wp:extent cx="3799840" cy="1353006"/>
            <wp:effectExtent l="0" t="0" r="0" b="6350"/>
            <wp:docPr id="8928438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43832" name="Picture 89284383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3967" cy="139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239CF" w14:textId="0F763CB8" w:rsidR="00866DE7" w:rsidRPr="00EB4547" w:rsidRDefault="003D6244" w:rsidP="00166F50">
      <w:pPr>
        <w:pStyle w:val="FootnoteText"/>
        <w:spacing w:line="276" w:lineRule="auto"/>
        <w:rPr>
          <w:b/>
          <w:bCs/>
        </w:rPr>
      </w:pPr>
      <w:r w:rsidRPr="00EB4547">
        <w:rPr>
          <w:b/>
          <w:color w:val="000000"/>
          <w:lang w:val="en-GB"/>
        </w:rPr>
        <w:lastRenderedPageBreak/>
        <w:t xml:space="preserve">References: </w:t>
      </w:r>
    </w:p>
    <w:p w14:paraId="67B39673" w14:textId="0B9E2BC9" w:rsidR="0018239A" w:rsidRPr="00EB4547" w:rsidRDefault="00845DA7" w:rsidP="00166F50">
      <w:pPr>
        <w:ind w:left="360" w:hanging="360"/>
        <w:rPr>
          <w:color w:val="000000" w:themeColor="text1"/>
          <w:sz w:val="20"/>
          <w:szCs w:val="20"/>
        </w:rPr>
      </w:pPr>
      <w:r w:rsidRPr="00EB4547">
        <w:rPr>
          <w:color w:val="000000" w:themeColor="text1"/>
          <w:sz w:val="20"/>
          <w:szCs w:val="20"/>
        </w:rPr>
        <w:t>Kenworthy</w:t>
      </w:r>
      <w:r w:rsidR="00866DE7" w:rsidRPr="00EB4547">
        <w:rPr>
          <w:color w:val="000000" w:themeColor="text1"/>
          <w:sz w:val="20"/>
          <w:szCs w:val="20"/>
        </w:rPr>
        <w:t xml:space="preserve">, L., </w:t>
      </w:r>
      <w:proofErr w:type="spellStart"/>
      <w:r w:rsidR="00866DE7" w:rsidRPr="00EB4547">
        <w:rPr>
          <w:color w:val="000000" w:themeColor="text1"/>
          <w:sz w:val="20"/>
          <w:szCs w:val="20"/>
        </w:rPr>
        <w:t>Verbalis</w:t>
      </w:r>
      <w:proofErr w:type="spellEnd"/>
      <w:r w:rsidR="00866DE7" w:rsidRPr="00EB4547">
        <w:rPr>
          <w:color w:val="000000" w:themeColor="text1"/>
          <w:sz w:val="20"/>
          <w:szCs w:val="20"/>
        </w:rPr>
        <w:t xml:space="preserve">, A., Bascom, J., </w:t>
      </w:r>
      <w:proofErr w:type="spellStart"/>
      <w:r w:rsidR="00866DE7" w:rsidRPr="00EB4547">
        <w:rPr>
          <w:color w:val="000000" w:themeColor="text1"/>
          <w:sz w:val="20"/>
          <w:szCs w:val="20"/>
        </w:rPr>
        <w:t>daVanport</w:t>
      </w:r>
      <w:proofErr w:type="spellEnd"/>
      <w:r w:rsidR="00866DE7" w:rsidRPr="00EB4547">
        <w:rPr>
          <w:color w:val="000000" w:themeColor="text1"/>
          <w:sz w:val="20"/>
          <w:szCs w:val="20"/>
        </w:rPr>
        <w:t xml:space="preserve">, S., Strang, J.F., Pugliese, C., Freeman, A., </w:t>
      </w:r>
      <w:proofErr w:type="spellStart"/>
      <w:r w:rsidR="00866DE7" w:rsidRPr="00EB4547">
        <w:rPr>
          <w:color w:val="000000" w:themeColor="text1"/>
          <w:sz w:val="20"/>
          <w:szCs w:val="20"/>
        </w:rPr>
        <w:t>Jeppsen</w:t>
      </w:r>
      <w:proofErr w:type="spellEnd"/>
      <w:r w:rsidR="00866DE7" w:rsidRPr="00EB4547">
        <w:rPr>
          <w:color w:val="000000" w:themeColor="text1"/>
          <w:sz w:val="20"/>
          <w:szCs w:val="20"/>
        </w:rPr>
        <w:t xml:space="preserve">., C., </w:t>
      </w:r>
      <w:proofErr w:type="spellStart"/>
      <w:r w:rsidR="00866DE7" w:rsidRPr="00EB4547">
        <w:rPr>
          <w:color w:val="000000" w:themeColor="text1"/>
          <w:sz w:val="20"/>
          <w:szCs w:val="20"/>
        </w:rPr>
        <w:t>Armour</w:t>
      </w:r>
      <w:proofErr w:type="spellEnd"/>
      <w:r w:rsidR="00866DE7" w:rsidRPr="00EB4547">
        <w:rPr>
          <w:color w:val="000000" w:themeColor="text1"/>
          <w:sz w:val="20"/>
          <w:szCs w:val="20"/>
        </w:rPr>
        <w:t xml:space="preserve">, A.C., </w:t>
      </w:r>
      <w:proofErr w:type="spellStart"/>
      <w:r w:rsidR="00866DE7" w:rsidRPr="00EB4547">
        <w:rPr>
          <w:color w:val="000000" w:themeColor="text1"/>
          <w:sz w:val="20"/>
          <w:szCs w:val="20"/>
        </w:rPr>
        <w:t>Jost</w:t>
      </w:r>
      <w:proofErr w:type="spellEnd"/>
      <w:r w:rsidR="00866DE7" w:rsidRPr="00EB4547">
        <w:rPr>
          <w:color w:val="000000" w:themeColor="text1"/>
          <w:sz w:val="20"/>
          <w:szCs w:val="20"/>
        </w:rPr>
        <w:t>, G., Hardy, K., &amp; Wallace, G.L. (2022). Adding the missing voice: How autistic youth self-report on an executive functioning rating scale compares to parent report and that of youth with ADHD or neurotypical development</w:t>
      </w:r>
      <w:r w:rsidR="00C2409E" w:rsidRPr="00EB4547">
        <w:rPr>
          <w:color w:val="000000" w:themeColor="text1"/>
          <w:sz w:val="20"/>
          <w:szCs w:val="20"/>
        </w:rPr>
        <w:t xml:space="preserve">. </w:t>
      </w:r>
      <w:r w:rsidR="00C2409E" w:rsidRPr="00EB4547">
        <w:rPr>
          <w:i/>
          <w:iCs/>
          <w:color w:val="000000" w:themeColor="text1"/>
          <w:sz w:val="20"/>
          <w:szCs w:val="20"/>
        </w:rPr>
        <w:t>Autism, 26</w:t>
      </w:r>
      <w:r w:rsidR="00C2409E" w:rsidRPr="00EB4547">
        <w:rPr>
          <w:color w:val="000000" w:themeColor="text1"/>
          <w:sz w:val="20"/>
          <w:szCs w:val="20"/>
        </w:rPr>
        <w:t xml:space="preserve">(2), 422-433. </w:t>
      </w:r>
      <w:hyperlink r:id="rId11" w:history="1">
        <w:r w:rsidR="002A78AB" w:rsidRPr="00EB4547">
          <w:rPr>
            <w:rStyle w:val="Hyperlink"/>
            <w:color w:val="000000" w:themeColor="text1"/>
            <w:sz w:val="20"/>
            <w:szCs w:val="20"/>
          </w:rPr>
          <w:t>https://doi.org/10.1177/13623613211029117</w:t>
        </w:r>
      </w:hyperlink>
      <w:r w:rsidR="002A78AB" w:rsidRPr="00EB4547">
        <w:rPr>
          <w:color w:val="000000" w:themeColor="text1"/>
          <w:sz w:val="20"/>
          <w:szCs w:val="20"/>
        </w:rPr>
        <w:t xml:space="preserve"> </w:t>
      </w:r>
    </w:p>
    <w:p w14:paraId="01D267AE" w14:textId="352F8F50" w:rsidR="0018239A" w:rsidRPr="00EB4547" w:rsidRDefault="00845DA7" w:rsidP="00166F50">
      <w:pPr>
        <w:ind w:left="360" w:hanging="360"/>
        <w:rPr>
          <w:color w:val="000000" w:themeColor="text1"/>
          <w:sz w:val="20"/>
          <w:szCs w:val="20"/>
        </w:rPr>
      </w:pPr>
      <w:proofErr w:type="spellStart"/>
      <w:r w:rsidRPr="00EB4547">
        <w:rPr>
          <w:bCs/>
          <w:color w:val="000000" w:themeColor="text1"/>
          <w:sz w:val="20"/>
          <w:szCs w:val="20"/>
        </w:rPr>
        <w:t>Shogren</w:t>
      </w:r>
      <w:proofErr w:type="spellEnd"/>
      <w:r w:rsidR="00D9204C" w:rsidRPr="00EB4547">
        <w:rPr>
          <w:bCs/>
          <w:color w:val="000000" w:themeColor="text1"/>
          <w:sz w:val="20"/>
          <w:szCs w:val="20"/>
        </w:rPr>
        <w:t xml:space="preserve">, K.A., Mosconi, M.W., </w:t>
      </w:r>
      <w:proofErr w:type="spellStart"/>
      <w:r w:rsidR="00D9204C" w:rsidRPr="00EB4547">
        <w:rPr>
          <w:bCs/>
          <w:color w:val="000000" w:themeColor="text1"/>
          <w:sz w:val="20"/>
          <w:szCs w:val="20"/>
        </w:rPr>
        <w:t>Raley</w:t>
      </w:r>
      <w:proofErr w:type="spellEnd"/>
      <w:r w:rsidR="00D9204C" w:rsidRPr="00EB4547">
        <w:rPr>
          <w:bCs/>
          <w:color w:val="000000" w:themeColor="text1"/>
          <w:sz w:val="20"/>
          <w:szCs w:val="20"/>
        </w:rPr>
        <w:t xml:space="preserve">, S.K., Dean, E.E., Edwards, B., </w:t>
      </w:r>
      <w:proofErr w:type="spellStart"/>
      <w:r w:rsidR="00D9204C" w:rsidRPr="00EB4547">
        <w:rPr>
          <w:bCs/>
          <w:color w:val="000000" w:themeColor="text1"/>
          <w:sz w:val="20"/>
          <w:szCs w:val="20"/>
        </w:rPr>
        <w:t>Wallisch</w:t>
      </w:r>
      <w:proofErr w:type="spellEnd"/>
      <w:r w:rsidR="00D9204C" w:rsidRPr="00EB4547">
        <w:rPr>
          <w:bCs/>
          <w:color w:val="000000" w:themeColor="text1"/>
          <w:sz w:val="20"/>
          <w:szCs w:val="20"/>
        </w:rPr>
        <w:t xml:space="preserve">, A., Boyd, B., &amp; </w:t>
      </w:r>
      <w:proofErr w:type="spellStart"/>
      <w:r w:rsidR="00D9204C" w:rsidRPr="00EB4547">
        <w:rPr>
          <w:bCs/>
          <w:color w:val="000000" w:themeColor="text1"/>
          <w:sz w:val="20"/>
          <w:szCs w:val="20"/>
        </w:rPr>
        <w:t>Kiblen</w:t>
      </w:r>
      <w:proofErr w:type="spellEnd"/>
      <w:r w:rsidR="00D9204C" w:rsidRPr="00EB4547">
        <w:rPr>
          <w:bCs/>
          <w:color w:val="000000" w:themeColor="text1"/>
          <w:sz w:val="20"/>
          <w:szCs w:val="20"/>
        </w:rPr>
        <w:t>, J.C.</w:t>
      </w:r>
      <w:r w:rsidRPr="00EB4547">
        <w:rPr>
          <w:bCs/>
          <w:color w:val="000000" w:themeColor="text1"/>
          <w:sz w:val="20"/>
          <w:szCs w:val="20"/>
        </w:rPr>
        <w:t xml:space="preserve"> </w:t>
      </w:r>
      <w:r w:rsidR="00D9204C" w:rsidRPr="00EB4547">
        <w:rPr>
          <w:bCs/>
          <w:color w:val="000000" w:themeColor="text1"/>
          <w:sz w:val="20"/>
          <w:szCs w:val="20"/>
        </w:rPr>
        <w:t>(</w:t>
      </w:r>
      <w:r w:rsidR="003D2DD8" w:rsidRPr="00EB4547">
        <w:rPr>
          <w:bCs/>
          <w:color w:val="000000" w:themeColor="text1"/>
          <w:sz w:val="20"/>
          <w:szCs w:val="20"/>
        </w:rPr>
        <w:t>2021</w:t>
      </w:r>
      <w:r w:rsidR="00D9204C" w:rsidRPr="00EB4547">
        <w:rPr>
          <w:bCs/>
          <w:color w:val="000000" w:themeColor="text1"/>
          <w:sz w:val="20"/>
          <w:szCs w:val="20"/>
        </w:rPr>
        <w:t xml:space="preserve">). Advancing the personalization of assessment and intervention in autistic adolescents and young adults by targeting self-determination and executive processes. </w:t>
      </w:r>
      <w:r w:rsidR="00D9204C" w:rsidRPr="00EB4547">
        <w:rPr>
          <w:bCs/>
          <w:i/>
          <w:iCs/>
          <w:color w:val="000000" w:themeColor="text1"/>
          <w:sz w:val="20"/>
          <w:szCs w:val="20"/>
        </w:rPr>
        <w:t>Autism in Adulthood, 3</w:t>
      </w:r>
      <w:r w:rsidR="00D9204C" w:rsidRPr="00EB4547">
        <w:rPr>
          <w:bCs/>
          <w:color w:val="000000" w:themeColor="text1"/>
          <w:sz w:val="20"/>
          <w:szCs w:val="20"/>
        </w:rPr>
        <w:t xml:space="preserve">(4), </w:t>
      </w:r>
      <w:r w:rsidR="0018239A" w:rsidRPr="00EB4547">
        <w:rPr>
          <w:bCs/>
          <w:color w:val="000000" w:themeColor="text1"/>
          <w:sz w:val="20"/>
          <w:szCs w:val="20"/>
        </w:rPr>
        <w:t xml:space="preserve">289-299, </w:t>
      </w:r>
      <w:hyperlink r:id="rId12" w:history="1">
        <w:r w:rsidR="002529BA" w:rsidRPr="00EB4547">
          <w:rPr>
            <w:rStyle w:val="Hyperlink"/>
            <w:bCs/>
            <w:color w:val="000000" w:themeColor="text1"/>
            <w:sz w:val="20"/>
            <w:szCs w:val="20"/>
          </w:rPr>
          <w:t>https://doi.org/10.1089/aut.2021.0010</w:t>
        </w:r>
      </w:hyperlink>
      <w:r w:rsidR="002529BA" w:rsidRPr="00EB4547">
        <w:rPr>
          <w:bCs/>
          <w:color w:val="000000" w:themeColor="text1"/>
          <w:sz w:val="20"/>
          <w:szCs w:val="20"/>
        </w:rPr>
        <w:t xml:space="preserve"> </w:t>
      </w:r>
    </w:p>
    <w:p w14:paraId="0511420A" w14:textId="77777777" w:rsidR="00E311CA" w:rsidRPr="00EB4547" w:rsidRDefault="0018239A" w:rsidP="00166F50">
      <w:pPr>
        <w:ind w:left="360" w:hanging="360"/>
        <w:rPr>
          <w:color w:val="000000" w:themeColor="text1"/>
          <w:sz w:val="20"/>
          <w:szCs w:val="20"/>
        </w:rPr>
      </w:pPr>
      <w:proofErr w:type="spellStart"/>
      <w:r w:rsidRPr="00EB4547">
        <w:rPr>
          <w:color w:val="000000" w:themeColor="text1"/>
          <w:sz w:val="20"/>
          <w:szCs w:val="20"/>
        </w:rPr>
        <w:t>Shogren</w:t>
      </w:r>
      <w:proofErr w:type="spellEnd"/>
      <w:r w:rsidRPr="00EB4547">
        <w:rPr>
          <w:color w:val="000000" w:themeColor="text1"/>
          <w:sz w:val="20"/>
          <w:szCs w:val="20"/>
        </w:rPr>
        <w:t xml:space="preserve">, K.A., </w:t>
      </w:r>
      <w:proofErr w:type="spellStart"/>
      <w:r w:rsidRPr="00EB4547">
        <w:rPr>
          <w:color w:val="000000" w:themeColor="text1"/>
          <w:sz w:val="20"/>
          <w:szCs w:val="20"/>
        </w:rPr>
        <w:t>Wehmeyer</w:t>
      </w:r>
      <w:proofErr w:type="spellEnd"/>
      <w:r w:rsidRPr="00EB4547">
        <w:rPr>
          <w:color w:val="000000" w:themeColor="text1"/>
          <w:sz w:val="20"/>
          <w:szCs w:val="20"/>
        </w:rPr>
        <w:t xml:space="preserve">, M.L., Palmer, S.B., </w:t>
      </w:r>
      <w:proofErr w:type="spellStart"/>
      <w:r w:rsidRPr="00EB4547">
        <w:rPr>
          <w:color w:val="000000" w:themeColor="text1"/>
          <w:sz w:val="20"/>
          <w:szCs w:val="20"/>
        </w:rPr>
        <w:t>Forber</w:t>
      </w:r>
      <w:proofErr w:type="spellEnd"/>
      <w:r w:rsidRPr="00EB4547">
        <w:rPr>
          <w:color w:val="000000" w:themeColor="text1"/>
          <w:sz w:val="20"/>
          <w:szCs w:val="20"/>
        </w:rPr>
        <w:t>-Pratt</w:t>
      </w:r>
      <w:r w:rsidR="00F52602" w:rsidRPr="00EB4547">
        <w:rPr>
          <w:color w:val="000000" w:themeColor="text1"/>
          <w:sz w:val="20"/>
          <w:szCs w:val="20"/>
        </w:rPr>
        <w:t>,</w:t>
      </w:r>
      <w:r w:rsidRPr="00EB4547">
        <w:rPr>
          <w:color w:val="000000" w:themeColor="text1"/>
          <w:sz w:val="20"/>
          <w:szCs w:val="20"/>
        </w:rPr>
        <w:t xml:space="preserve"> A</w:t>
      </w:r>
      <w:r w:rsidR="00F52602" w:rsidRPr="00EB4547">
        <w:rPr>
          <w:color w:val="000000" w:themeColor="text1"/>
          <w:sz w:val="20"/>
          <w:szCs w:val="20"/>
        </w:rPr>
        <w:t>.</w:t>
      </w:r>
      <w:r w:rsidRPr="00EB4547">
        <w:rPr>
          <w:color w:val="000000" w:themeColor="text1"/>
          <w:sz w:val="20"/>
          <w:szCs w:val="20"/>
        </w:rPr>
        <w:t>J</w:t>
      </w:r>
      <w:r w:rsidR="00F52602" w:rsidRPr="00EB4547">
        <w:rPr>
          <w:color w:val="000000" w:themeColor="text1"/>
          <w:sz w:val="20"/>
          <w:szCs w:val="20"/>
        </w:rPr>
        <w:t>.</w:t>
      </w:r>
      <w:r w:rsidRPr="00EB4547">
        <w:rPr>
          <w:color w:val="000000" w:themeColor="text1"/>
          <w:sz w:val="20"/>
          <w:szCs w:val="20"/>
        </w:rPr>
        <w:t>, Little</w:t>
      </w:r>
      <w:r w:rsidR="00F52602" w:rsidRPr="00EB4547">
        <w:rPr>
          <w:color w:val="000000" w:themeColor="text1"/>
          <w:sz w:val="20"/>
          <w:szCs w:val="20"/>
        </w:rPr>
        <w:t>,</w:t>
      </w:r>
      <w:r w:rsidRPr="00EB4547">
        <w:rPr>
          <w:color w:val="000000" w:themeColor="text1"/>
          <w:sz w:val="20"/>
          <w:szCs w:val="20"/>
        </w:rPr>
        <w:t xml:space="preserve"> T</w:t>
      </w:r>
      <w:r w:rsidR="00F52602" w:rsidRPr="00EB4547">
        <w:rPr>
          <w:color w:val="000000" w:themeColor="text1"/>
          <w:sz w:val="20"/>
          <w:szCs w:val="20"/>
        </w:rPr>
        <w:t>.</w:t>
      </w:r>
      <w:r w:rsidRPr="00EB4547">
        <w:rPr>
          <w:color w:val="000000" w:themeColor="text1"/>
          <w:sz w:val="20"/>
          <w:szCs w:val="20"/>
        </w:rPr>
        <w:t>J</w:t>
      </w:r>
      <w:r w:rsidR="00F52602" w:rsidRPr="00EB4547">
        <w:rPr>
          <w:color w:val="000000" w:themeColor="text1"/>
          <w:sz w:val="20"/>
          <w:szCs w:val="20"/>
        </w:rPr>
        <w:t>.</w:t>
      </w:r>
      <w:r w:rsidRPr="00EB4547">
        <w:rPr>
          <w:color w:val="000000" w:themeColor="text1"/>
          <w:sz w:val="20"/>
          <w:szCs w:val="20"/>
        </w:rPr>
        <w:t xml:space="preserve">, </w:t>
      </w:r>
      <w:r w:rsidR="00F52602" w:rsidRPr="00EB4547">
        <w:rPr>
          <w:color w:val="000000" w:themeColor="text1"/>
          <w:sz w:val="20"/>
          <w:szCs w:val="20"/>
        </w:rPr>
        <w:t xml:space="preserve">&amp; </w:t>
      </w:r>
      <w:r w:rsidRPr="00EB4547">
        <w:rPr>
          <w:color w:val="000000" w:themeColor="text1"/>
          <w:sz w:val="20"/>
          <w:szCs w:val="20"/>
        </w:rPr>
        <w:t>Lopez</w:t>
      </w:r>
      <w:r w:rsidR="00F52602" w:rsidRPr="00EB4547">
        <w:rPr>
          <w:color w:val="000000" w:themeColor="text1"/>
          <w:sz w:val="20"/>
          <w:szCs w:val="20"/>
        </w:rPr>
        <w:t>,</w:t>
      </w:r>
      <w:r w:rsidRPr="00EB4547">
        <w:rPr>
          <w:color w:val="000000" w:themeColor="text1"/>
          <w:sz w:val="20"/>
          <w:szCs w:val="20"/>
        </w:rPr>
        <w:t xml:space="preserve"> S. </w:t>
      </w:r>
      <w:r w:rsidR="00F52602" w:rsidRPr="00EB4547">
        <w:rPr>
          <w:color w:val="000000" w:themeColor="text1"/>
          <w:sz w:val="20"/>
          <w:szCs w:val="20"/>
        </w:rPr>
        <w:t xml:space="preserve">(2015). </w:t>
      </w:r>
      <w:r w:rsidRPr="00EB4547">
        <w:rPr>
          <w:color w:val="000000" w:themeColor="text1"/>
          <w:sz w:val="20"/>
          <w:szCs w:val="20"/>
        </w:rPr>
        <w:t xml:space="preserve">Causal agency theory: Reconceptualizing a functional model of self-determination. </w:t>
      </w:r>
      <w:r w:rsidRPr="00EB4547">
        <w:rPr>
          <w:i/>
          <w:iCs/>
          <w:color w:val="000000" w:themeColor="text1"/>
          <w:sz w:val="20"/>
          <w:szCs w:val="20"/>
        </w:rPr>
        <w:t>Educ</w:t>
      </w:r>
      <w:r w:rsidR="00132371" w:rsidRPr="00EB4547">
        <w:rPr>
          <w:i/>
          <w:iCs/>
          <w:color w:val="000000" w:themeColor="text1"/>
          <w:sz w:val="20"/>
          <w:szCs w:val="20"/>
        </w:rPr>
        <w:t>ation and</w:t>
      </w:r>
      <w:r w:rsidRPr="00EB4547">
        <w:rPr>
          <w:i/>
          <w:iCs/>
          <w:color w:val="000000" w:themeColor="text1"/>
          <w:sz w:val="20"/>
          <w:szCs w:val="20"/>
        </w:rPr>
        <w:t xml:space="preserve"> Train</w:t>
      </w:r>
      <w:r w:rsidR="00132371" w:rsidRPr="00EB4547">
        <w:rPr>
          <w:i/>
          <w:iCs/>
          <w:color w:val="000000" w:themeColor="text1"/>
          <w:sz w:val="20"/>
          <w:szCs w:val="20"/>
        </w:rPr>
        <w:t>ing in</w:t>
      </w:r>
      <w:r w:rsidRPr="00EB4547">
        <w:rPr>
          <w:i/>
          <w:iCs/>
          <w:color w:val="000000" w:themeColor="text1"/>
          <w:sz w:val="20"/>
          <w:szCs w:val="20"/>
        </w:rPr>
        <w:t xml:space="preserve"> Autism </w:t>
      </w:r>
      <w:r w:rsidR="00132371" w:rsidRPr="00EB4547">
        <w:rPr>
          <w:i/>
          <w:iCs/>
          <w:color w:val="000000" w:themeColor="text1"/>
          <w:sz w:val="20"/>
          <w:szCs w:val="20"/>
        </w:rPr>
        <w:t>and Developmental</w:t>
      </w:r>
      <w:r w:rsidRPr="00EB4547">
        <w:rPr>
          <w:i/>
          <w:iCs/>
          <w:color w:val="000000" w:themeColor="text1"/>
          <w:sz w:val="20"/>
          <w:szCs w:val="20"/>
        </w:rPr>
        <w:t xml:space="preserve"> Disabil</w:t>
      </w:r>
      <w:r w:rsidR="00132371" w:rsidRPr="00EB4547">
        <w:rPr>
          <w:i/>
          <w:iCs/>
          <w:color w:val="000000" w:themeColor="text1"/>
          <w:sz w:val="20"/>
          <w:szCs w:val="20"/>
        </w:rPr>
        <w:t>ities, 50</w:t>
      </w:r>
      <w:r w:rsidR="00132371" w:rsidRPr="00EB4547">
        <w:rPr>
          <w:color w:val="000000" w:themeColor="text1"/>
          <w:sz w:val="20"/>
          <w:szCs w:val="20"/>
        </w:rPr>
        <w:t xml:space="preserve">(3), </w:t>
      </w:r>
      <w:r w:rsidRPr="00EB4547">
        <w:rPr>
          <w:color w:val="000000" w:themeColor="text1"/>
          <w:sz w:val="20"/>
          <w:szCs w:val="20"/>
        </w:rPr>
        <w:t>251</w:t>
      </w:r>
      <w:r w:rsidR="00132371" w:rsidRPr="00EB4547">
        <w:rPr>
          <w:color w:val="000000" w:themeColor="text1"/>
          <w:sz w:val="20"/>
          <w:szCs w:val="20"/>
        </w:rPr>
        <w:t>-263</w:t>
      </w:r>
      <w:r w:rsidRPr="00EB4547">
        <w:rPr>
          <w:color w:val="000000" w:themeColor="text1"/>
          <w:sz w:val="20"/>
          <w:szCs w:val="20"/>
        </w:rPr>
        <w:t>.</w:t>
      </w:r>
    </w:p>
    <w:p w14:paraId="3EE2E14D" w14:textId="7BC626A3" w:rsidR="00746565" w:rsidRPr="00EB4547" w:rsidRDefault="00E311CA" w:rsidP="00114064">
      <w:pPr>
        <w:ind w:left="360" w:hanging="360"/>
        <w:rPr>
          <w:color w:val="000000" w:themeColor="text1"/>
          <w:sz w:val="20"/>
          <w:szCs w:val="20"/>
        </w:rPr>
      </w:pPr>
      <w:r w:rsidRPr="00EB4547">
        <w:rPr>
          <w:bCs/>
          <w:color w:val="000000" w:themeColor="text1"/>
          <w:sz w:val="20"/>
          <w:szCs w:val="20"/>
        </w:rPr>
        <w:t xml:space="preserve">Test, D. W., </w:t>
      </w:r>
      <w:proofErr w:type="spellStart"/>
      <w:r w:rsidRPr="00EB4547">
        <w:rPr>
          <w:bCs/>
          <w:color w:val="000000" w:themeColor="text1"/>
          <w:sz w:val="20"/>
          <w:szCs w:val="20"/>
        </w:rPr>
        <w:t>Mazzotti</w:t>
      </w:r>
      <w:proofErr w:type="spellEnd"/>
      <w:r w:rsidRPr="00EB4547">
        <w:rPr>
          <w:bCs/>
          <w:color w:val="000000" w:themeColor="text1"/>
          <w:sz w:val="20"/>
          <w:szCs w:val="20"/>
        </w:rPr>
        <w:t xml:space="preserve">, V. L., </w:t>
      </w:r>
      <w:proofErr w:type="spellStart"/>
      <w:r w:rsidRPr="00EB4547">
        <w:rPr>
          <w:bCs/>
          <w:color w:val="000000" w:themeColor="text1"/>
          <w:sz w:val="20"/>
          <w:szCs w:val="20"/>
        </w:rPr>
        <w:t>Mustian</w:t>
      </w:r>
      <w:proofErr w:type="spellEnd"/>
      <w:r w:rsidRPr="00EB4547">
        <w:rPr>
          <w:bCs/>
          <w:color w:val="000000" w:themeColor="text1"/>
          <w:sz w:val="20"/>
          <w:szCs w:val="20"/>
        </w:rPr>
        <w:t xml:space="preserve">, A. L., Fowler, C. H., </w:t>
      </w:r>
      <w:proofErr w:type="spellStart"/>
      <w:r w:rsidRPr="00EB4547">
        <w:rPr>
          <w:bCs/>
          <w:color w:val="000000" w:themeColor="text1"/>
          <w:sz w:val="20"/>
          <w:szCs w:val="20"/>
        </w:rPr>
        <w:t>Kortering</w:t>
      </w:r>
      <w:proofErr w:type="spellEnd"/>
      <w:r w:rsidRPr="00EB4547">
        <w:rPr>
          <w:bCs/>
          <w:color w:val="000000" w:themeColor="text1"/>
          <w:sz w:val="20"/>
          <w:szCs w:val="20"/>
        </w:rPr>
        <w:t>, L., &amp; Kohler, P. (2009). Evidence-based secondary transition predictors for improving postschool outcomes for students with disabilities. </w:t>
      </w:r>
      <w:r w:rsidRPr="00EB4547">
        <w:rPr>
          <w:bCs/>
          <w:i/>
          <w:iCs/>
          <w:color w:val="000000" w:themeColor="text1"/>
          <w:sz w:val="20"/>
          <w:szCs w:val="20"/>
        </w:rPr>
        <w:t>Career Development for Exceptional Individuals, 32</w:t>
      </w:r>
      <w:r w:rsidRPr="00EB4547">
        <w:rPr>
          <w:bCs/>
          <w:color w:val="000000" w:themeColor="text1"/>
          <w:sz w:val="20"/>
          <w:szCs w:val="20"/>
        </w:rPr>
        <w:t>(3), 160–181.</w:t>
      </w:r>
      <w:r w:rsidR="002529BA" w:rsidRPr="00EB4547">
        <w:rPr>
          <w:bCs/>
          <w:color w:val="000000" w:themeColor="text1"/>
          <w:sz w:val="20"/>
          <w:szCs w:val="20"/>
        </w:rPr>
        <w:t xml:space="preserve"> </w:t>
      </w:r>
      <w:hyperlink r:id="rId13" w:history="1">
        <w:r w:rsidR="002529BA" w:rsidRPr="00EB4547">
          <w:rPr>
            <w:rStyle w:val="Hyperlink"/>
            <w:bCs/>
            <w:color w:val="000000" w:themeColor="text1"/>
            <w:sz w:val="20"/>
            <w:szCs w:val="20"/>
          </w:rPr>
          <w:t>https://doi.org/10.1177/0885728809346960</w:t>
        </w:r>
      </w:hyperlink>
      <w:r w:rsidR="002529BA" w:rsidRPr="00EB4547">
        <w:rPr>
          <w:bCs/>
          <w:color w:val="000000" w:themeColor="text1"/>
          <w:sz w:val="20"/>
          <w:szCs w:val="20"/>
        </w:rPr>
        <w:t xml:space="preserve"> </w:t>
      </w:r>
      <w:r w:rsidRPr="00EB4547">
        <w:rPr>
          <w:bCs/>
          <w:color w:val="000000" w:themeColor="text1"/>
          <w:sz w:val="20"/>
          <w:szCs w:val="20"/>
        </w:rPr>
        <w:t> </w:t>
      </w:r>
      <w:r w:rsidR="002529BA" w:rsidRPr="00EB4547">
        <w:rPr>
          <w:color w:val="000000" w:themeColor="text1"/>
          <w:sz w:val="20"/>
          <w:szCs w:val="20"/>
        </w:rPr>
        <w:t xml:space="preserve"> </w:t>
      </w:r>
    </w:p>
    <w:p w14:paraId="7AC50377" w14:textId="413B8CA4" w:rsidR="003D6244" w:rsidRPr="00EB4547" w:rsidRDefault="003D6244" w:rsidP="00166F50">
      <w:pPr>
        <w:pStyle w:val="FootnoteText"/>
        <w:spacing w:line="276" w:lineRule="auto"/>
        <w:rPr>
          <w:lang w:val="en-CA"/>
        </w:rPr>
      </w:pPr>
      <w:r w:rsidRPr="00EB4547">
        <w:rPr>
          <w:rStyle w:val="FootnoteReference"/>
        </w:rPr>
        <w:footnoteRef/>
      </w:r>
      <w:r w:rsidRPr="00EB4547">
        <w:t xml:space="preserve"> </w:t>
      </w:r>
      <w:r w:rsidR="00B378C4" w:rsidRPr="00EB4547">
        <w:rPr>
          <w:lang w:val="en-CA"/>
        </w:rPr>
        <w:t>Center for Autism Spectrum Disorders, Children’s National Hospital, Washington, DC</w:t>
      </w:r>
    </w:p>
    <w:p w14:paraId="7AC50379" w14:textId="53BF0CAF" w:rsidR="003D6244" w:rsidRPr="00EB4547" w:rsidRDefault="003D6244" w:rsidP="00166F50">
      <w:pPr>
        <w:pStyle w:val="FootnoteText"/>
        <w:spacing w:line="276" w:lineRule="auto"/>
        <w:rPr>
          <w:lang w:val="en-CA"/>
        </w:rPr>
      </w:pPr>
      <w:r w:rsidRPr="00EB4547">
        <w:rPr>
          <w:rStyle w:val="FootnoteReference"/>
        </w:rPr>
        <w:t>2</w:t>
      </w:r>
      <w:r w:rsidRPr="00EB4547">
        <w:t xml:space="preserve"> </w:t>
      </w:r>
      <w:r w:rsidR="00DF647E" w:rsidRPr="00EB4547">
        <w:rPr>
          <w:lang w:val="en-CA"/>
        </w:rPr>
        <w:t>Laboratory of Brain and Cognition, National Institute of Mental Health, Bethesda, MD</w:t>
      </w:r>
    </w:p>
    <w:p w14:paraId="46099B50" w14:textId="28A35F5C" w:rsidR="00B378C4" w:rsidRPr="00EB4547" w:rsidRDefault="00B378C4" w:rsidP="00166F50">
      <w:pPr>
        <w:pStyle w:val="FootnoteText"/>
        <w:spacing w:line="276" w:lineRule="auto"/>
        <w:rPr>
          <w:lang w:val="en-CA"/>
        </w:rPr>
      </w:pPr>
      <w:r w:rsidRPr="00EB4547">
        <w:rPr>
          <w:vertAlign w:val="superscript"/>
          <w:lang w:val="en-CA"/>
        </w:rPr>
        <w:t>3</w:t>
      </w:r>
      <w:r w:rsidRPr="00EB4547">
        <w:rPr>
          <w:lang w:val="en-CA"/>
        </w:rPr>
        <w:t xml:space="preserve"> </w:t>
      </w:r>
      <w:r w:rsidR="005B4A1F" w:rsidRPr="00EB4547">
        <w:rPr>
          <w:lang w:val="en-CA"/>
        </w:rPr>
        <w:t xml:space="preserve">Developmental Cognitive Neuroscience Laboratory, </w:t>
      </w:r>
      <w:r w:rsidR="00280FF3" w:rsidRPr="00EB4547">
        <w:rPr>
          <w:lang w:val="en-CA"/>
        </w:rPr>
        <w:t>George Washington University, Washington, DC</w:t>
      </w:r>
    </w:p>
    <w:p w14:paraId="4DAAC3D9" w14:textId="7AC9A3FB" w:rsidR="00B378C4" w:rsidRPr="00EB4547" w:rsidRDefault="00B378C4" w:rsidP="00166F50">
      <w:pPr>
        <w:pStyle w:val="FootnoteText"/>
        <w:spacing w:line="276" w:lineRule="auto"/>
        <w:rPr>
          <w:rFonts w:cs="Calibri"/>
          <w:lang w:val="en-CA"/>
        </w:rPr>
      </w:pPr>
      <w:r w:rsidRPr="00EB4547">
        <w:rPr>
          <w:vertAlign w:val="superscript"/>
          <w:lang w:val="en-CA"/>
        </w:rPr>
        <w:t>4</w:t>
      </w:r>
      <w:r w:rsidRPr="00EB4547">
        <w:rPr>
          <w:lang w:val="en-CA"/>
        </w:rPr>
        <w:t xml:space="preserve"> </w:t>
      </w:r>
      <w:r w:rsidR="00DF647E" w:rsidRPr="00EB4547">
        <w:rPr>
          <w:rFonts w:cs="Calibri"/>
          <w:color w:val="000000"/>
        </w:rPr>
        <w:t>School of Education, Indiana University Bloomington, Bloomington, IN</w:t>
      </w:r>
    </w:p>
    <w:p w14:paraId="44C09411" w14:textId="06BE0D6F" w:rsidR="00040368" w:rsidRPr="00EB4547" w:rsidRDefault="00040368" w:rsidP="00166F50">
      <w:pPr>
        <w:pStyle w:val="FootnoteText"/>
        <w:spacing w:line="276" w:lineRule="auto"/>
        <w:rPr>
          <w:lang w:val="en-CA"/>
        </w:rPr>
      </w:pPr>
    </w:p>
    <w:sectPr w:rsidR="00040368" w:rsidRPr="00EB4547" w:rsidSect="00585B4B">
      <w:headerReference w:type="default" r:id="rId14"/>
      <w:footerReference w:type="default" r:id="rId15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3F76" w14:textId="77777777" w:rsidR="007E1F12" w:rsidRDefault="007E1F12" w:rsidP="00A16498">
      <w:pPr>
        <w:spacing w:after="0" w:line="240" w:lineRule="auto"/>
      </w:pPr>
      <w:r>
        <w:separator/>
      </w:r>
    </w:p>
  </w:endnote>
  <w:endnote w:type="continuationSeparator" w:id="0">
    <w:p w14:paraId="68FF012C" w14:textId="77777777" w:rsidR="007E1F12" w:rsidRDefault="007E1F12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panose1 w:val="02000506000000020004"/>
    <w:charset w:val="00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FC1C" w14:textId="77777777" w:rsidR="007E1F12" w:rsidRDefault="007E1F12" w:rsidP="00A16498">
      <w:pPr>
        <w:spacing w:after="0" w:line="240" w:lineRule="auto"/>
      </w:pPr>
      <w:r>
        <w:separator/>
      </w:r>
    </w:p>
  </w:footnote>
  <w:footnote w:type="continuationSeparator" w:id="0">
    <w:p w14:paraId="13B0D8F5" w14:textId="77777777" w:rsidR="007E1F12" w:rsidRDefault="007E1F12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037F" w14:textId="53A49BBE" w:rsidR="00A16498" w:rsidRDefault="00B378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F7A0E3" wp14:editId="3E058183">
              <wp:simplePos x="0" y="0"/>
              <wp:positionH relativeFrom="column">
                <wp:posOffset>-23474</wp:posOffset>
              </wp:positionH>
              <wp:positionV relativeFrom="paragraph">
                <wp:posOffset>-233485</wp:posOffset>
              </wp:positionV>
              <wp:extent cx="6659405" cy="457200"/>
              <wp:effectExtent l="12700" t="12700" r="8255" b="12700"/>
              <wp:wrapNone/>
              <wp:docPr id="22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405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AC50385" w14:textId="77E815E7" w:rsidR="00A16498" w:rsidRPr="007B4CE7" w:rsidRDefault="00A16498" w:rsidP="00E14099">
                              <w:pPr>
                                <w:pStyle w:val="Header"/>
                                <w:jc w:val="cent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3C4D59"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59601C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CF7A0E3" id="Rectangle 197" o:spid="_x0000_s1026" style="position:absolute;margin-left:-1.85pt;margin-top:-18.4pt;width:524.3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&#13;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7AC50385" w14:textId="77E815E7" w:rsidR="00A16498" w:rsidRPr="007B4CE7" w:rsidRDefault="00A16498" w:rsidP="00E14099">
                        <w:pPr>
                          <w:pStyle w:val="Header"/>
                          <w:jc w:val="cent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</w:t>
                        </w:r>
                        <w:r w:rsidR="003C4D59"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</w:t>
                        </w:r>
                        <w:r w:rsidR="0059601C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5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04EDF"/>
    <w:rsid w:val="000130DA"/>
    <w:rsid w:val="0003625B"/>
    <w:rsid w:val="00040368"/>
    <w:rsid w:val="000A7B35"/>
    <w:rsid w:val="000B6569"/>
    <w:rsid w:val="000D0162"/>
    <w:rsid w:val="000D4E84"/>
    <w:rsid w:val="000F7EA4"/>
    <w:rsid w:val="00114064"/>
    <w:rsid w:val="00115C9F"/>
    <w:rsid w:val="00132371"/>
    <w:rsid w:val="0013682C"/>
    <w:rsid w:val="001459DE"/>
    <w:rsid w:val="00166F50"/>
    <w:rsid w:val="0018239A"/>
    <w:rsid w:val="0018242A"/>
    <w:rsid w:val="001C112F"/>
    <w:rsid w:val="001C735E"/>
    <w:rsid w:val="002177AA"/>
    <w:rsid w:val="00220D6D"/>
    <w:rsid w:val="00226854"/>
    <w:rsid w:val="00244C29"/>
    <w:rsid w:val="0024707B"/>
    <w:rsid w:val="002529BA"/>
    <w:rsid w:val="002651ED"/>
    <w:rsid w:val="0028079B"/>
    <w:rsid w:val="00280FF3"/>
    <w:rsid w:val="002835F1"/>
    <w:rsid w:val="002872AA"/>
    <w:rsid w:val="002963AA"/>
    <w:rsid w:val="002A78AB"/>
    <w:rsid w:val="002D705B"/>
    <w:rsid w:val="00300310"/>
    <w:rsid w:val="003056FA"/>
    <w:rsid w:val="00312417"/>
    <w:rsid w:val="00316B3B"/>
    <w:rsid w:val="0032171F"/>
    <w:rsid w:val="00324E6F"/>
    <w:rsid w:val="0033415B"/>
    <w:rsid w:val="00394E2C"/>
    <w:rsid w:val="003A5FA4"/>
    <w:rsid w:val="003B0285"/>
    <w:rsid w:val="003B573C"/>
    <w:rsid w:val="003C2A0A"/>
    <w:rsid w:val="003C4D59"/>
    <w:rsid w:val="003D2DD8"/>
    <w:rsid w:val="003D6244"/>
    <w:rsid w:val="003F558A"/>
    <w:rsid w:val="003F7A15"/>
    <w:rsid w:val="00412A17"/>
    <w:rsid w:val="00444D82"/>
    <w:rsid w:val="004473AC"/>
    <w:rsid w:val="00451863"/>
    <w:rsid w:val="00452576"/>
    <w:rsid w:val="0045428A"/>
    <w:rsid w:val="0046092F"/>
    <w:rsid w:val="004D35EE"/>
    <w:rsid w:val="00550360"/>
    <w:rsid w:val="00567C76"/>
    <w:rsid w:val="00577DC4"/>
    <w:rsid w:val="005826E2"/>
    <w:rsid w:val="00585B4B"/>
    <w:rsid w:val="0059601C"/>
    <w:rsid w:val="005A2564"/>
    <w:rsid w:val="005B4A1F"/>
    <w:rsid w:val="005F3158"/>
    <w:rsid w:val="006058A1"/>
    <w:rsid w:val="00607595"/>
    <w:rsid w:val="00625543"/>
    <w:rsid w:val="006461DA"/>
    <w:rsid w:val="006535AF"/>
    <w:rsid w:val="006605FC"/>
    <w:rsid w:val="0066168C"/>
    <w:rsid w:val="0066313C"/>
    <w:rsid w:val="006637E7"/>
    <w:rsid w:val="0069448E"/>
    <w:rsid w:val="006C05DD"/>
    <w:rsid w:val="006C3600"/>
    <w:rsid w:val="00746565"/>
    <w:rsid w:val="00751FEE"/>
    <w:rsid w:val="007722E4"/>
    <w:rsid w:val="0077649B"/>
    <w:rsid w:val="00777D73"/>
    <w:rsid w:val="007B177F"/>
    <w:rsid w:val="007B4CE7"/>
    <w:rsid w:val="007E1F12"/>
    <w:rsid w:val="008015DE"/>
    <w:rsid w:val="00801D2A"/>
    <w:rsid w:val="00803BAF"/>
    <w:rsid w:val="00817FE3"/>
    <w:rsid w:val="00822AD8"/>
    <w:rsid w:val="00836756"/>
    <w:rsid w:val="00845DA7"/>
    <w:rsid w:val="0085456A"/>
    <w:rsid w:val="00866DE7"/>
    <w:rsid w:val="0087492A"/>
    <w:rsid w:val="00886FBA"/>
    <w:rsid w:val="008938D8"/>
    <w:rsid w:val="008A6D1E"/>
    <w:rsid w:val="008C250E"/>
    <w:rsid w:val="00913351"/>
    <w:rsid w:val="00914161"/>
    <w:rsid w:val="009462E3"/>
    <w:rsid w:val="009668EE"/>
    <w:rsid w:val="009B1DAB"/>
    <w:rsid w:val="009B67AC"/>
    <w:rsid w:val="009C1B36"/>
    <w:rsid w:val="009E1B56"/>
    <w:rsid w:val="009F32F6"/>
    <w:rsid w:val="00A0120D"/>
    <w:rsid w:val="00A03A0A"/>
    <w:rsid w:val="00A16498"/>
    <w:rsid w:val="00A32DEA"/>
    <w:rsid w:val="00A71F0E"/>
    <w:rsid w:val="00A96FC4"/>
    <w:rsid w:val="00A97AD4"/>
    <w:rsid w:val="00AB7B37"/>
    <w:rsid w:val="00AC6D03"/>
    <w:rsid w:val="00AE4ADB"/>
    <w:rsid w:val="00B03193"/>
    <w:rsid w:val="00B226B4"/>
    <w:rsid w:val="00B378C4"/>
    <w:rsid w:val="00B71AFF"/>
    <w:rsid w:val="00BA2D2D"/>
    <w:rsid w:val="00BF101A"/>
    <w:rsid w:val="00C2409E"/>
    <w:rsid w:val="00C44FE7"/>
    <w:rsid w:val="00C45F03"/>
    <w:rsid w:val="00C6243D"/>
    <w:rsid w:val="00C80718"/>
    <w:rsid w:val="00C92757"/>
    <w:rsid w:val="00C96F4F"/>
    <w:rsid w:val="00CF3CDF"/>
    <w:rsid w:val="00D46241"/>
    <w:rsid w:val="00D50132"/>
    <w:rsid w:val="00D514CA"/>
    <w:rsid w:val="00D60D08"/>
    <w:rsid w:val="00D86972"/>
    <w:rsid w:val="00D875EE"/>
    <w:rsid w:val="00D9204C"/>
    <w:rsid w:val="00D95A56"/>
    <w:rsid w:val="00DC15FA"/>
    <w:rsid w:val="00DC1646"/>
    <w:rsid w:val="00DF647E"/>
    <w:rsid w:val="00E006E2"/>
    <w:rsid w:val="00E14099"/>
    <w:rsid w:val="00E147E6"/>
    <w:rsid w:val="00E15391"/>
    <w:rsid w:val="00E311CA"/>
    <w:rsid w:val="00E34365"/>
    <w:rsid w:val="00E5385C"/>
    <w:rsid w:val="00E620D5"/>
    <w:rsid w:val="00EA5FC1"/>
    <w:rsid w:val="00EB4547"/>
    <w:rsid w:val="00EC065D"/>
    <w:rsid w:val="00EC1345"/>
    <w:rsid w:val="00F023E6"/>
    <w:rsid w:val="00F03D41"/>
    <w:rsid w:val="00F2162A"/>
    <w:rsid w:val="00F32E04"/>
    <w:rsid w:val="00F52602"/>
    <w:rsid w:val="00F84644"/>
    <w:rsid w:val="00F9122D"/>
    <w:rsid w:val="00FA4053"/>
    <w:rsid w:val="00FB5FCA"/>
    <w:rsid w:val="00FB6520"/>
    <w:rsid w:val="00FC35DF"/>
    <w:rsid w:val="00FC4A07"/>
    <w:rsid w:val="00FE3DAD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E140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0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409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2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40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0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40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177/088572880934696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89/aut.2021.001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177/13623613211029117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Gatlinburg Conference Poster Submission</vt:lpstr>
    </vt:vector>
  </TitlesOfParts>
  <Company>UCDHS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creator>BSHELTON</dc:creator>
  <cp:lastModifiedBy>Jennifer Bertollo</cp:lastModifiedBy>
  <cp:revision>48</cp:revision>
  <dcterms:created xsi:type="dcterms:W3CDTF">2024-11-04T21:45:00Z</dcterms:created>
  <dcterms:modified xsi:type="dcterms:W3CDTF">2024-11-05T04:01:00Z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