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00A7" w:rsidR="003D6244" w:rsidP="333BDD50" w:rsidRDefault="003D6244" w14:paraId="7AC50370" w14:textId="10FD46C9">
      <w:pPr>
        <w:pStyle w:val="Normal"/>
        <w:rPr>
          <w:rFonts w:ascii="Calibri" w:hAnsi="Calibri" w:eastAsia="Calibri" w:cs="Calibri" w:asciiTheme="minorAscii" w:hAnsiTheme="minorAscii" w:eastAsiaTheme="minorAscii" w:cstheme="minorAscii"/>
          <w:color w:val="FF0000"/>
          <w:sz w:val="20"/>
          <w:szCs w:val="20"/>
        </w:rPr>
      </w:pPr>
      <w:r w:rsidRPr="333BDD50" w:rsidR="333BDD50">
        <w:rPr>
          <w:rFonts w:ascii="Calibri" w:hAnsi="Calibri" w:eastAsia="Calibri" w:cs="Calibri" w:asciiTheme="minorAscii" w:hAnsiTheme="minorAscii" w:eastAsiaTheme="minorAscii" w:cstheme="minorAscii"/>
          <w:b w:val="1"/>
          <w:bCs w:val="1"/>
          <w:sz w:val="20"/>
          <w:szCs w:val="20"/>
        </w:rPr>
        <w:t>Title</w:t>
      </w:r>
      <w:r w:rsidRPr="333BDD50" w:rsidR="333BDD50">
        <w:rPr>
          <w:rFonts w:ascii="Calibri" w:hAnsi="Calibri" w:eastAsia="Calibri" w:cs="Calibri" w:asciiTheme="minorAscii" w:hAnsiTheme="minorAscii" w:eastAsiaTheme="minorAscii" w:cstheme="minorAscii"/>
          <w:sz w:val="20"/>
          <w:szCs w:val="20"/>
        </w:rPr>
        <w:t xml:space="preserve">: </w:t>
      </w:r>
      <w:r w:rsidRPr="333BDD50" w:rsidR="333BDD50">
        <w:rPr>
          <w:rFonts w:ascii="Calibri" w:hAnsi="Calibri" w:eastAsia="Calibri" w:cs="Calibri" w:asciiTheme="minorAscii" w:hAnsiTheme="minorAscii" w:eastAsiaTheme="minorAscii" w:cstheme="minorAscii"/>
          <w:noProof w:val="0"/>
          <w:sz w:val="20"/>
          <w:szCs w:val="20"/>
          <w:lang w:val="en-US"/>
        </w:rPr>
        <w:t>User Experience and Acceptability of the Parent-Assisted Neurodevelopmental Assessment Box (PANDABox) Tool</w:t>
      </w:r>
    </w:p>
    <w:p w:rsidRPr="008B1E03" w:rsidR="003D6244" w:rsidP="333BDD50" w:rsidRDefault="003D6244" w14:paraId="7AC50371" w14:textId="66DABBFF">
      <w:pPr>
        <w:rPr>
          <w:rFonts w:ascii="Calibri" w:hAnsi="Calibri" w:eastAsia="Calibri" w:cs="Calibri" w:asciiTheme="minorAscii" w:hAnsiTheme="minorAscii" w:eastAsiaTheme="minorAscii" w:cstheme="minorAscii"/>
          <w:sz w:val="20"/>
          <w:szCs w:val="20"/>
          <w:vertAlign w:val="superscript"/>
        </w:rPr>
      </w:pPr>
      <w:r w:rsidRPr="0B40A138" w:rsidR="0B40A138">
        <w:rPr>
          <w:rFonts w:ascii="Calibri" w:hAnsi="Calibri" w:eastAsia="Calibri" w:cs="Calibri" w:asciiTheme="minorAscii" w:hAnsiTheme="minorAscii" w:eastAsiaTheme="minorAscii" w:cstheme="minorAscii"/>
          <w:b w:val="1"/>
          <w:bCs w:val="1"/>
          <w:sz w:val="20"/>
          <w:szCs w:val="20"/>
        </w:rPr>
        <w:t>Authors</w:t>
      </w:r>
      <w:r w:rsidRPr="0B40A138" w:rsidR="0B40A138">
        <w:rPr>
          <w:rFonts w:ascii="Calibri" w:hAnsi="Calibri" w:eastAsia="Calibri" w:cs="Calibri" w:asciiTheme="minorAscii" w:hAnsiTheme="minorAscii" w:eastAsiaTheme="minorAscii" w:cstheme="minorAscii"/>
          <w:sz w:val="20"/>
          <w:szCs w:val="20"/>
        </w:rPr>
        <w:t>: Riley M. Naughton</w:t>
      </w:r>
      <w:r w:rsidRPr="0B40A138" w:rsidR="0B40A138">
        <w:rPr>
          <w:rFonts w:ascii="Calibri" w:hAnsi="Calibri" w:eastAsia="Calibri" w:cs="Calibri" w:asciiTheme="minorAscii" w:hAnsiTheme="minorAscii" w:eastAsiaTheme="minorAscii" w:cstheme="minorAscii"/>
          <w:sz w:val="20"/>
          <w:szCs w:val="20"/>
          <w:vertAlign w:val="superscript"/>
        </w:rPr>
        <w:t>1*</w:t>
      </w:r>
      <w:r w:rsidRPr="0B40A138" w:rsidR="0B40A138">
        <w:rPr>
          <w:rFonts w:ascii="Calibri" w:hAnsi="Calibri" w:eastAsia="Calibri" w:cs="Calibri" w:asciiTheme="minorAscii" w:hAnsiTheme="minorAscii" w:eastAsiaTheme="minorAscii" w:cstheme="minorAscii"/>
          <w:sz w:val="20"/>
          <w:szCs w:val="20"/>
        </w:rPr>
        <w:t>, Bridgette L. Kelleher</w:t>
      </w:r>
      <w:r w:rsidRPr="0B40A138" w:rsidR="0B40A138">
        <w:rPr>
          <w:rFonts w:ascii="Calibri" w:hAnsi="Calibri" w:eastAsia="Calibri" w:cs="Calibri" w:asciiTheme="minorAscii" w:hAnsiTheme="minorAscii" w:eastAsiaTheme="minorAscii" w:cstheme="minorAscii"/>
          <w:sz w:val="20"/>
          <w:szCs w:val="20"/>
          <w:vertAlign w:val="superscript"/>
        </w:rPr>
        <w:t xml:space="preserve"> 1</w:t>
      </w:r>
      <w:r w:rsidRPr="0B40A138" w:rsidR="0B40A138">
        <w:rPr>
          <w:rFonts w:ascii="Calibri" w:hAnsi="Calibri" w:eastAsia="Calibri" w:cs="Calibri" w:asciiTheme="minorAscii" w:hAnsiTheme="minorAscii" w:eastAsiaTheme="minorAscii" w:cstheme="minorAscii"/>
          <w:sz w:val="20"/>
          <w:szCs w:val="20"/>
          <w:vertAlign w:val="baseline"/>
        </w:rPr>
        <w:t>, Lyndsey N. Graham</w:t>
      </w:r>
      <w:r w:rsidRPr="0B40A138" w:rsidR="0B40A138">
        <w:rPr>
          <w:rFonts w:ascii="Calibri" w:hAnsi="Calibri" w:eastAsia="Calibri" w:cs="Calibri" w:asciiTheme="minorAscii" w:hAnsiTheme="minorAscii" w:eastAsiaTheme="minorAscii" w:cstheme="minorAscii"/>
          <w:sz w:val="20"/>
          <w:szCs w:val="20"/>
          <w:vertAlign w:val="superscript"/>
        </w:rPr>
        <w:t>1</w:t>
      </w:r>
    </w:p>
    <w:p w:rsidR="333BDD50" w:rsidP="0B40A138" w:rsidRDefault="333BDD50" w14:paraId="0B6383E6" w14:textId="713D7AC4">
      <w:pPr>
        <w:pStyle w:val="Normal"/>
        <w:rPr>
          <w:noProof w:val="0"/>
          <w:sz w:val="20"/>
          <w:szCs w:val="20"/>
          <w:lang w:val="en-GB"/>
        </w:rPr>
      </w:pPr>
      <w:r w:rsidRPr="0B40A138" w:rsidR="0B40A138">
        <w:rPr>
          <w:rFonts w:ascii="Calibri" w:hAnsi="Calibri" w:eastAsia="Calibri" w:cs="Calibri" w:asciiTheme="minorAscii" w:hAnsiTheme="minorAscii" w:eastAsiaTheme="minorAscii" w:cstheme="minorAscii"/>
          <w:b w:val="1"/>
          <w:bCs w:val="1"/>
          <w:sz w:val="20"/>
          <w:szCs w:val="20"/>
        </w:rPr>
        <w:t>Introduction</w:t>
      </w:r>
      <w:r w:rsidRPr="0B40A138" w:rsidR="0B40A138">
        <w:rPr>
          <w:rFonts w:ascii="Calibri" w:hAnsi="Calibri" w:eastAsia="Calibri" w:cs="Calibri" w:asciiTheme="minorAscii" w:hAnsiTheme="minorAscii" w:eastAsiaTheme="minorAscii" w:cstheme="minorAscii"/>
          <w:sz w:val="20"/>
          <w:szCs w:val="20"/>
        </w:rPr>
        <w:t xml:space="preserve">: For parents of children with neurodevelopmental disorders (NDDs, e.g. Down syndrome), the clinical assessment, while necessary, is often a source of stress. Many existing assessments are often not sensitive enough to measure the abilities of a child with developmental disabilities, particularly as they change over time. The PANDABox (Parent-Assisted Neurodevelopmental Assessment; Kelleher et al., 2020b) is a standardized protocol for collecting laboratory-grade behavioral and psychophysiological data remotely, without a technician on-site. PANDABox was designed to be accessible to children with a variety of neurodevelopmental conditions that require frequent surveillance, including children with neurogenetic conditions typically characterized by developmental delays and sensorimotor impairments. </w:t>
      </w:r>
      <w:r w:rsidRPr="0B40A138" w:rsidR="0B40A1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An initial publication applying the PANDABox approach to a small cohort of children with Down syndrome indicated that PANDABox is highly feasible and acceptable to caregivers (Kelleher et al., 2020a). Here, we examined PANDABox performance in a broader cohort of participants with Angelman syndrome, Down syndrome, fragile X syndrome, and typical development. Specifically, we examined caregiver-rated acceptability of the PANDABox experience across three domains: Process, Technical Factors, and Assessment. </w:t>
      </w:r>
      <w:r w:rsidRPr="0B40A138" w:rsidR="0B40A138">
        <w:rPr>
          <w:rFonts w:ascii="Calibri" w:hAnsi="Calibri" w:eastAsia="Calibri" w:cs="Calibri" w:asciiTheme="minorAscii" w:hAnsiTheme="minorAscii" w:eastAsiaTheme="minorAscii" w:cstheme="minorAscii"/>
          <w:noProof w:val="0"/>
          <w:sz w:val="20"/>
          <w:szCs w:val="20"/>
          <w:lang w:val="en-GB"/>
        </w:rPr>
        <w:t xml:space="preserve">Our research questions were: [1] Do at least 80% of participants exhibit “positive” scores—where average score is “good” or greater—across each domain (Process, Technical, Assessment)?  [2] Are there specific gaps in the protocol, as indicated by poor ratings on any specific acceptability items?  [3] Do average acceptability scores across each domain differ between syndrome groups? </w:t>
      </w:r>
    </w:p>
    <w:p w:rsidR="333BDD50" w:rsidP="0B40A138" w:rsidRDefault="333BDD50" w14:paraId="308DAA5E" w14:textId="00513053">
      <w:pPr>
        <w:pStyle w:val="Normal"/>
        <w:rPr>
          <w:noProof w:val="0"/>
          <w:sz w:val="20"/>
          <w:szCs w:val="20"/>
          <w:lang w:val="en-GB"/>
        </w:rPr>
      </w:pPr>
      <w:r w:rsidRPr="0B40A138" w:rsidR="0B40A138">
        <w:rPr>
          <w:rFonts w:ascii="Calibri" w:hAnsi="Calibri" w:eastAsia="Calibri" w:cs="Calibri" w:asciiTheme="minorAscii" w:hAnsiTheme="minorAscii" w:eastAsiaTheme="minorAscii" w:cstheme="minorAscii"/>
          <w:b w:val="1"/>
          <w:bCs w:val="1"/>
          <w:color w:val="000000" w:themeColor="text1" w:themeTint="FF" w:themeShade="FF"/>
          <w:sz w:val="20"/>
          <w:szCs w:val="20"/>
          <w:lang w:val="en-US"/>
        </w:rPr>
        <w:t>Method</w:t>
      </w:r>
      <w:r w:rsidRPr="0B40A138" w:rsidR="0B40A138">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Following the completion of their first telehealth assessment, parent participants were encouraged to report their experience with PANDABox using a brief, anonymous survey—72 participants with children diagnosed with Angelman syndrome (n = 16), Down syndrome (n = 21), and fragile X syndrome (n = 11), as well as nonsyndromic controls (n = 24), completed this survey. </w:t>
      </w:r>
      <w:r w:rsidRPr="0B40A138" w:rsidR="0B40A138">
        <w:rPr>
          <w:rFonts w:ascii="Calibri" w:hAnsi="Calibri" w:eastAsia="Calibri" w:cs="Calibri" w:asciiTheme="minorAscii" w:hAnsiTheme="minorAscii" w:eastAsiaTheme="minorAscii" w:cstheme="minorAscii"/>
          <w:color w:val="000000" w:themeColor="text1" w:themeTint="FF" w:themeShade="FF"/>
          <w:sz w:val="20"/>
          <w:szCs w:val="20"/>
          <w:lang w:val="en-GB"/>
        </w:rPr>
        <w:t>Respondents rated their satisfaction on 16 items using a Likert scale (1-Poor, 2-Fair, 3-Good, 4-Excellent); t</w:t>
      </w:r>
      <w:r w:rsidRPr="0B40A138" w:rsidR="0B40A138">
        <w:rPr>
          <w:rFonts w:ascii="Calibri" w:hAnsi="Calibri" w:eastAsia="Calibri" w:cs="Calibri" w:asciiTheme="minorAscii" w:hAnsiTheme="minorAscii" w:eastAsiaTheme="minorAscii" w:cstheme="minorAscii"/>
          <w:noProof w:val="0"/>
          <w:sz w:val="20"/>
          <w:szCs w:val="20"/>
          <w:lang w:val="en-GB"/>
        </w:rPr>
        <w:t>hese questions have been grouped into three domains: Process (e.g., clarity of instructions, interactions with research team), Technical (e.g., telehealth visual quality, length of time), and Assessment (e.g. personal comfort with the assessment, assessment’s ability to capture child’s abilities). Preliminary psychometric testing indicated that these items have high internal consistency and content validity for measuring acceptability among neurodevelopmental disorder caregiver populations.</w:t>
      </w:r>
    </w:p>
    <w:p w:rsidR="333BDD50" w:rsidP="0B40A138" w:rsidRDefault="333BDD50" w14:paraId="114FB51F" w14:textId="6B53F9CB">
      <w:pPr>
        <w:pStyle w:val="Normal"/>
        <w:rPr>
          <w:noProof w:val="0"/>
          <w:color w:val="auto" w:themeColor="text1" w:themeTint="FF" w:themeShade="FF"/>
          <w:sz w:val="20"/>
          <w:szCs w:val="20"/>
          <w:lang w:val="en-GB"/>
        </w:rPr>
      </w:pPr>
      <w:r w:rsidRPr="0B40A138" w:rsidR="0B40A138">
        <w:rPr>
          <w:rFonts w:ascii="Calibri" w:hAnsi="Calibri" w:eastAsia="Calibri" w:cs="Calibri" w:asciiTheme="minorAscii" w:hAnsiTheme="minorAscii" w:eastAsiaTheme="minorAscii" w:cstheme="minorAscii"/>
          <w:b w:val="1"/>
          <w:bCs w:val="1"/>
          <w:noProof w:val="0"/>
          <w:sz w:val="20"/>
          <w:szCs w:val="20"/>
          <w:lang w:val="en-GB"/>
        </w:rPr>
        <w:t>Results:</w:t>
      </w:r>
      <w:r w:rsidRPr="0B40A138" w:rsidR="0B40A138">
        <w:rPr>
          <w:rFonts w:ascii="Calibri" w:hAnsi="Calibri" w:eastAsia="Calibri" w:cs="Calibri" w:asciiTheme="minorAscii" w:hAnsiTheme="minorAscii" w:eastAsiaTheme="minorAscii" w:cstheme="minorAscii"/>
          <w:b w:val="0"/>
          <w:bCs w:val="0"/>
          <w:noProof w:val="0"/>
          <w:sz w:val="20"/>
          <w:szCs w:val="20"/>
          <w:lang w:val="en-GB"/>
        </w:rPr>
        <w:t xml:space="preserve"> For question 1, descriptive analyses indicated that we exceeded our threshold; at least 94%</w:t>
      </w:r>
      <w:r w:rsidRPr="0B40A138" w:rsidR="0B40A138">
        <w:rPr>
          <w:rFonts w:ascii="Calibri" w:hAnsi="Calibri" w:eastAsia="Calibri" w:cs="Calibri" w:asciiTheme="minorAscii" w:hAnsiTheme="minorAscii" w:eastAsiaTheme="minorAscii" w:cstheme="minorAscii"/>
          <w:noProof w:val="0"/>
          <w:color w:val="FF0000"/>
          <w:sz w:val="20"/>
          <w:szCs w:val="20"/>
          <w:lang w:val="en-GB"/>
        </w:rPr>
        <w:t xml:space="preserve"> </w:t>
      </w:r>
      <w:r w:rsidRPr="0B40A138" w:rsidR="0B40A138">
        <w:rPr>
          <w:rFonts w:ascii="Calibri" w:hAnsi="Calibri" w:eastAsia="Calibri" w:cs="Calibri" w:asciiTheme="minorAscii" w:hAnsiTheme="minorAscii" w:eastAsiaTheme="minorAscii" w:cstheme="minorAscii"/>
          <w:noProof w:val="0"/>
          <w:sz w:val="20"/>
          <w:szCs w:val="20"/>
          <w:lang w:val="en-GB"/>
        </w:rPr>
        <w:t>of participants’ scores were “good” or greater in each domain (Process = 98.6%, Technical = 94.4%, Assessment = 94.4%).</w:t>
      </w:r>
      <w:r w:rsidRPr="0B40A138" w:rsidR="0B40A138">
        <w:rPr>
          <w:rFonts w:ascii="Calibri" w:hAnsi="Calibri" w:eastAsia="Calibri" w:cs="Calibri" w:asciiTheme="minorAscii" w:hAnsiTheme="minorAscii" w:eastAsiaTheme="minorAscii" w:cstheme="minorAscii"/>
          <w:color w:val="000000" w:themeColor="text1" w:themeTint="FF" w:themeShade="FF"/>
          <w:sz w:val="20"/>
          <w:szCs w:val="20"/>
        </w:rPr>
        <w:t xml:space="preserve"> For question 2, positive </w:t>
      </w:r>
      <w:r w:rsidRPr="0B40A138" w:rsidR="0B40A138">
        <w:rPr>
          <w:rFonts w:ascii="Calibri" w:hAnsi="Calibri" w:eastAsia="Calibri" w:cs="Calibri" w:asciiTheme="minorAscii" w:hAnsiTheme="minorAscii" w:eastAsiaTheme="minorAscii" w:cstheme="minorAscii"/>
          <w:b w:val="0"/>
          <w:bCs w:val="0"/>
          <w:noProof w:val="0"/>
          <w:color w:val="auto"/>
          <w:sz w:val="20"/>
          <w:szCs w:val="20"/>
          <w:lang w:val="en-GB"/>
        </w:rPr>
        <w:t>responses across all 16 items also reached our pre-set threshold, varying from 90.2-100% positive. To address research question 3, we performed a one-way ANOVA to compare the effect of syndrome group on acceptability scores for each of the three domains. Results indicated</w:t>
      </w:r>
      <w:r w:rsidRPr="0B40A138" w:rsidR="0B40A138">
        <w:rPr>
          <w:noProof w:val="0"/>
          <w:sz w:val="20"/>
          <w:szCs w:val="20"/>
          <w:lang w:val="en-GB"/>
        </w:rPr>
        <w:t xml:space="preserve"> a statistically significant difference in mean score between groups for the </w:t>
      </w:r>
      <w:bookmarkStart w:name="_Int_dXhRmTNK" w:id="29232665"/>
      <w:r w:rsidRPr="0B40A138" w:rsidR="0B40A138">
        <w:rPr>
          <w:noProof w:val="0"/>
          <w:sz w:val="20"/>
          <w:szCs w:val="20"/>
          <w:lang w:val="en-GB"/>
        </w:rPr>
        <w:t>Technical</w:t>
      </w:r>
      <w:bookmarkEnd w:id="29232665"/>
      <w:r w:rsidRPr="0B40A138" w:rsidR="0B40A138">
        <w:rPr>
          <w:noProof w:val="0"/>
          <w:sz w:val="20"/>
          <w:szCs w:val="20"/>
          <w:lang w:val="en-GB"/>
        </w:rPr>
        <w:t xml:space="preserve"> domain (p = .005), while the Process domain approached significance (p = 0.063). The Assessment domain was not significant (p = .735). We then used two-sample t-tests to compare each syndrome group across both the Process and Technical domains respectively. Results indicated that when compared to controls, each syndromic group had significantly higher Process and Technical scores (p’s &lt; .05). Angelman syndrome caregivers also reported significantly lower Process scores compared to fragile X caregivers (p = .037). </w:t>
      </w:r>
    </w:p>
    <w:p w:rsidR="0B40A138" w:rsidP="0B40A138" w:rsidRDefault="0B40A138" w14:paraId="47FB75D5" w14:textId="0B8347AF">
      <w:pPr>
        <w:pStyle w:val="Normal"/>
        <w:suppressLineNumbers w:val="0"/>
        <w:bidi w:val="0"/>
        <w:spacing w:before="0" w:beforeAutospacing="off" w:after="200" w:afterAutospacing="off" w:line="276"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0"/>
          <w:szCs w:val="20"/>
          <w:lang w:val="en-GB"/>
        </w:rPr>
      </w:pPr>
      <w:r w:rsidRPr="0B40A138" w:rsidR="0B40A138">
        <w:rPr>
          <w:rFonts w:ascii="Calibri" w:hAnsi="Calibri" w:eastAsia="Calibri" w:cs="Calibri" w:asciiTheme="minorAscii" w:hAnsiTheme="minorAscii" w:eastAsiaTheme="minorAscii" w:cstheme="minorAscii"/>
          <w:b w:val="1"/>
          <w:bCs w:val="1"/>
          <w:color w:val="000000" w:themeColor="text1" w:themeTint="FF" w:themeShade="FF"/>
          <w:sz w:val="20"/>
          <w:szCs w:val="20"/>
          <w:lang w:val="en-GB"/>
        </w:rPr>
        <w:t>Discussion</w:t>
      </w:r>
      <w:r w:rsidRPr="0B40A138" w:rsidR="0B40A138">
        <w:rPr>
          <w:rFonts w:ascii="Calibri" w:hAnsi="Calibri" w:eastAsia="Calibri" w:cs="Calibri" w:asciiTheme="minorAscii" w:hAnsiTheme="minorAscii" w:eastAsiaTheme="minorAscii" w:cstheme="minorAscii"/>
          <w:b w:val="1"/>
          <w:bCs w:val="1"/>
          <w:color w:val="000000" w:themeColor="text1" w:themeTint="FF" w:themeShade="FF"/>
          <w:sz w:val="20"/>
          <w:szCs w:val="20"/>
          <w:lang w:val="en-GB"/>
        </w:rPr>
        <w:t>:</w:t>
      </w:r>
      <w:r w:rsidRPr="0B40A138" w:rsidR="0B40A138">
        <w:rPr>
          <w:rFonts w:ascii="Calibri" w:hAnsi="Calibri" w:eastAsia="Calibri" w:cs="Calibri"/>
          <w:noProof w:val="0"/>
          <w:sz w:val="20"/>
          <w:szCs w:val="20"/>
          <w:lang w:val="en-GB"/>
        </w:rPr>
        <w:t xml:space="preserve"> Remote assessments offer promise for easing clinical access for rare disorder families, however procedures must first be shown to be acceptable to caregiver users. Our findings suggest that PANDABox is an acceptable tool for remotely assessing children with NDDs, potentially providing an accessible alternative to traditional in-person assessments. Caregiver satisfaction was robust across surveyed domains and tasks and achieved our pre-set threshold across all syndromic and non-syndromic groups. Now that PANDABox has been shown to be acceptable, a next step will be to examine the clinical utility of PANDABox-collected data in improving phenotypic information about neurogenetic conditions. </w:t>
      </w:r>
    </w:p>
    <w:p w:rsidR="0B40A138" w:rsidP="0B40A138" w:rsidRDefault="0B40A138" w14:paraId="54BA1F9E" w14:textId="787D457E">
      <w:pPr>
        <w:pStyle w:val="Normal"/>
        <w:suppressLineNumbers w:val="0"/>
        <w:bidi w:val="0"/>
        <w:spacing w:before="0" w:beforeAutospacing="off" w:after="200" w:afterAutospacing="off" w:line="276" w:lineRule="auto"/>
        <w:ind w:left="0" w:right="0"/>
        <w:jc w:val="left"/>
        <w:rPr>
          <w:rFonts w:ascii="Calibri" w:hAnsi="Calibri" w:eastAsia="Calibri" w:cs="Calibri"/>
          <w:noProof w:val="0"/>
          <w:sz w:val="20"/>
          <w:szCs w:val="20"/>
          <w:lang w:val="en-GB"/>
        </w:rPr>
      </w:pPr>
    </w:p>
    <w:p w:rsidR="0B40A138" w:rsidP="0B40A138" w:rsidRDefault="0B40A138" w14:paraId="7DCF8C52" w14:textId="586C40C3">
      <w:pPr>
        <w:pStyle w:val="Normal"/>
        <w:suppressLineNumbers w:val="0"/>
        <w:bidi w:val="0"/>
        <w:spacing w:before="0" w:beforeAutospacing="off" w:after="200" w:afterAutospacing="off" w:line="276" w:lineRule="auto"/>
        <w:ind w:left="0" w:right="0"/>
        <w:jc w:val="left"/>
        <w:rPr>
          <w:rFonts w:ascii="Calibri" w:hAnsi="Calibri" w:eastAsia="Calibri" w:cs="Calibri"/>
          <w:noProof w:val="0"/>
          <w:sz w:val="20"/>
          <w:szCs w:val="20"/>
          <w:lang w:val="en-GB"/>
        </w:rPr>
      </w:pPr>
    </w:p>
    <w:p w:rsidRPr="009E00A7" w:rsidR="003D6244" w:rsidP="333BDD50" w:rsidRDefault="003D6244" w14:paraId="7AC50376" w14:textId="3E6CB512">
      <w:pPr>
        <w:rPr>
          <w:rFonts w:ascii="Calibri" w:hAnsi="Calibri" w:eastAsia="Calibri" w:cs="Calibri" w:asciiTheme="minorAscii" w:hAnsiTheme="minorAscii" w:eastAsiaTheme="minorAscii" w:cstheme="minorAscii"/>
          <w:b w:val="1"/>
          <w:bCs w:val="1"/>
          <w:color w:val="000000"/>
          <w:sz w:val="20"/>
          <w:szCs w:val="20"/>
          <w:lang w:val="en-GB"/>
        </w:rPr>
      </w:pPr>
      <w:r w:rsidRPr="333BDD50" w:rsidR="333BDD50">
        <w:rPr>
          <w:rFonts w:ascii="Calibri" w:hAnsi="Calibri" w:eastAsia="Calibri" w:cs="Calibri" w:asciiTheme="minorAscii" w:hAnsiTheme="minorAscii" w:eastAsiaTheme="minorAscii" w:cstheme="minorAscii"/>
          <w:b w:val="1"/>
          <w:bCs w:val="1"/>
          <w:color w:val="000000" w:themeColor="text1" w:themeTint="FF" w:themeShade="FF"/>
          <w:sz w:val="20"/>
          <w:szCs w:val="20"/>
          <w:lang w:val="en-GB"/>
        </w:rPr>
        <w:t>References:</w:t>
      </w:r>
    </w:p>
    <w:p w:rsidR="001C735E" w:rsidP="333BDD50" w:rsidRDefault="003D6244" w14:paraId="130E5BCB" w14:textId="6BC4646A">
      <w:pPr>
        <w:pStyle w:val="Normal"/>
        <w:spacing w:line="276" w:lineRule="auto"/>
        <w:rPr>
          <w:rFonts w:ascii="Calibri" w:hAnsi="Calibri" w:eastAsia="Calibri" w:cs="Calibri" w:asciiTheme="minorAscii" w:hAnsiTheme="minorAscii" w:eastAsiaTheme="minorAscii" w:cstheme="minorAscii"/>
        </w:rPr>
      </w:pPr>
      <w:r w:rsidRPr="333BDD50" w:rsidR="333BD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Kelleher, B. L., Halligan, T., Witthuhn, N., Neo, W. S., Hamrick, L., &amp; </w:t>
      </w:r>
      <w:proofErr w:type="spellStart"/>
      <w:r w:rsidRPr="333BDD50" w:rsidR="333BD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Abbeduto</w:t>
      </w:r>
      <w:proofErr w:type="spellEnd"/>
      <w:r w:rsidRPr="333BDD50" w:rsidR="333BD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L. (2020). Bringing the laboratory home: PANDABox telehealth-based assessment of neurodevelopmental risk in children. </w:t>
      </w:r>
      <w:r w:rsidRPr="333BDD50" w:rsidR="333BD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en-US"/>
        </w:rPr>
        <w:t>Frontiers in Psychology</w:t>
      </w:r>
      <w:r w:rsidRPr="333BDD50" w:rsidR="333BD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en-US"/>
        </w:rPr>
        <w:t xml:space="preserve">, </w:t>
      </w:r>
      <w:r w:rsidRPr="333BDD50" w:rsidR="333BDD5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en-US"/>
        </w:rPr>
        <w:t>11</w:t>
      </w:r>
      <w:r w:rsidRPr="333BDD50" w:rsidR="333BDD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(1634). </w:t>
      </w:r>
      <w:hyperlink r:id="R2566b8773d494917">
        <w:r w:rsidRPr="333BDD50" w:rsidR="333BDD50">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0"/>
            <w:szCs w:val="20"/>
            <w:u w:val="none"/>
            <w:lang w:val="en-US"/>
          </w:rPr>
          <w:t>https://doi.org/10.3389/fpsyg.2020.01634</w:t>
        </w:r>
      </w:hyperlink>
    </w:p>
    <w:p w:rsidR="001C735E" w:rsidP="0B40A138" w:rsidRDefault="003D6244" w14:paraId="7C12D444" w14:textId="59AC4253">
      <w:pPr>
        <w:pStyle w:val="Normal"/>
        <w:rPr>
          <w:rFonts w:ascii="Calibri" w:hAnsi="Calibri" w:eastAsia="Calibri" w:cs="Calibri" w:asciiTheme="minorAscii" w:hAnsiTheme="minorAscii" w:eastAsiaTheme="minorAscii" w:cstheme="minorAscii"/>
          <w:sz w:val="20"/>
          <w:szCs w:val="20"/>
          <w:lang w:val="en-CA"/>
        </w:rPr>
      </w:pPr>
      <w:r w:rsidRPr="0B40A138" w:rsidR="0B40A138">
        <w:rPr>
          <w:rFonts w:ascii="Calibri" w:hAnsi="Calibri" w:eastAsia="Calibri" w:cs="Calibri" w:asciiTheme="minorAscii" w:hAnsiTheme="minorAscii" w:eastAsiaTheme="minorAscii" w:cstheme="minorAscii"/>
          <w:b w:val="0"/>
          <w:bCs w:val="0"/>
          <w:i w:val="0"/>
          <w:iCs w:val="0"/>
          <w:caps w:val="0"/>
          <w:smallCaps w:val="0"/>
          <w:noProof w:val="0"/>
          <w:color w:val="222222"/>
          <w:sz w:val="20"/>
          <w:szCs w:val="20"/>
          <w:lang w:val="en-US"/>
        </w:rPr>
        <w:t>Kelleher, B. L., Halligan, T., Garwood, T. Howell, S., Martin-O'Dell, B., Swint, A., Shelton, L., &amp; Shin, J. (2020)</w:t>
      </w:r>
      <w:r w:rsidRPr="0B40A138" w:rsidR="0B40A138">
        <w:rPr>
          <w:rFonts w:ascii="Calibri" w:hAnsi="Calibri" w:eastAsia="Calibri" w:cs="Calibri" w:asciiTheme="minorAscii" w:hAnsiTheme="minorAscii" w:eastAsiaTheme="minorAscii" w:cstheme="minorAscii"/>
          <w:b w:val="0"/>
          <w:bCs w:val="0"/>
          <w:i w:val="1"/>
          <w:iCs w:val="1"/>
          <w:caps w:val="0"/>
          <w:smallCaps w:val="0"/>
          <w:noProof w:val="0"/>
          <w:color w:val="222222"/>
          <w:sz w:val="20"/>
          <w:szCs w:val="20"/>
          <w:lang w:val="en-US"/>
        </w:rPr>
        <w:t>.</w:t>
      </w:r>
      <w:r w:rsidRPr="0B40A138" w:rsidR="0B40A138">
        <w:rPr>
          <w:rFonts w:ascii="Calibri" w:hAnsi="Calibri" w:eastAsia="Calibri" w:cs="Calibri" w:asciiTheme="minorAscii" w:hAnsiTheme="minorAscii" w:eastAsiaTheme="minorAscii" w:cstheme="minorAscii"/>
          <w:b w:val="0"/>
          <w:bCs w:val="0"/>
          <w:i w:val="0"/>
          <w:iCs w:val="0"/>
          <w:caps w:val="0"/>
          <w:smallCaps w:val="0"/>
          <w:noProof w:val="0"/>
          <w:color w:val="222222"/>
          <w:sz w:val="20"/>
          <w:szCs w:val="20"/>
          <w:lang w:val="en-US"/>
        </w:rPr>
        <w:t xml:space="preserve"> Brief report: Assessment experiences of children with neurogenetic syndromes: Caregivers’ perceptions and suggestions for improvement. </w:t>
      </w:r>
      <w:r w:rsidRPr="0B40A138" w:rsidR="0B40A138">
        <w:rPr>
          <w:rFonts w:ascii="Calibri" w:hAnsi="Calibri" w:eastAsia="Calibri" w:cs="Calibri" w:asciiTheme="minorAscii" w:hAnsiTheme="minorAscii" w:eastAsiaTheme="minorAscii" w:cstheme="minorAscii"/>
          <w:b w:val="0"/>
          <w:bCs w:val="0"/>
          <w:i w:val="1"/>
          <w:iCs w:val="1"/>
          <w:caps w:val="0"/>
          <w:smallCaps w:val="0"/>
          <w:noProof w:val="0"/>
          <w:color w:val="222222"/>
          <w:sz w:val="20"/>
          <w:szCs w:val="20"/>
          <w:lang w:val="en-US"/>
        </w:rPr>
        <w:t>Journal of Autism and Developmental Disorders</w:t>
      </w:r>
      <w:r w:rsidRPr="0B40A138" w:rsidR="0B40A138">
        <w:rPr>
          <w:rFonts w:ascii="Calibri" w:hAnsi="Calibri" w:eastAsia="Calibri" w:cs="Calibri" w:asciiTheme="minorAscii" w:hAnsiTheme="minorAscii" w:eastAsiaTheme="minorAscii" w:cstheme="minorAscii"/>
          <w:b w:val="0"/>
          <w:bCs w:val="0"/>
          <w:i w:val="0"/>
          <w:iCs w:val="0"/>
          <w:caps w:val="0"/>
          <w:smallCaps w:val="0"/>
          <w:noProof w:val="0"/>
          <w:color w:val="222222"/>
          <w:sz w:val="20"/>
          <w:szCs w:val="20"/>
          <w:lang w:val="en-US"/>
        </w:rPr>
        <w:t xml:space="preserve">, </w:t>
      </w:r>
      <w:r w:rsidRPr="0B40A138" w:rsidR="0B40A138">
        <w:rPr>
          <w:rFonts w:ascii="Calibri" w:hAnsi="Calibri" w:eastAsia="Calibri" w:cs="Calibri" w:asciiTheme="minorAscii" w:hAnsiTheme="minorAscii" w:eastAsiaTheme="minorAscii" w:cstheme="minorAscii"/>
          <w:b w:val="0"/>
          <w:bCs w:val="0"/>
          <w:i w:val="1"/>
          <w:iCs w:val="1"/>
          <w:caps w:val="0"/>
          <w:smallCaps w:val="0"/>
          <w:noProof w:val="0"/>
          <w:color w:val="222222"/>
          <w:sz w:val="20"/>
          <w:szCs w:val="20"/>
          <w:lang w:val="en-US"/>
        </w:rPr>
        <w:t>50</w:t>
      </w:r>
      <w:r w:rsidRPr="0B40A138" w:rsidR="0B40A138">
        <w:rPr>
          <w:rFonts w:ascii="Calibri" w:hAnsi="Calibri" w:eastAsia="Calibri" w:cs="Calibri" w:asciiTheme="minorAscii" w:hAnsiTheme="minorAscii" w:eastAsiaTheme="minorAscii" w:cstheme="minorAscii"/>
          <w:b w:val="0"/>
          <w:bCs w:val="0"/>
          <w:i w:val="0"/>
          <w:iCs w:val="0"/>
          <w:caps w:val="0"/>
          <w:smallCaps w:val="0"/>
          <w:noProof w:val="0"/>
          <w:color w:val="222222"/>
          <w:sz w:val="20"/>
          <w:szCs w:val="20"/>
          <w:lang w:val="en-US"/>
        </w:rPr>
        <w:t xml:space="preserve">, pp. 1443–1450. </w:t>
      </w:r>
      <w:hyperlink r:id="R704069ed3dc141a0">
        <w:r w:rsidRPr="0B40A138" w:rsidR="0B40A138">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0"/>
            <w:szCs w:val="20"/>
            <w:u w:val="none"/>
            <w:lang w:val="en-US"/>
          </w:rPr>
          <w:t>https://doi.org/10.1007/s10803-020-04363-0</w:t>
        </w:r>
      </w:hyperlink>
    </w:p>
    <w:p w:rsidR="001C735E" w:rsidP="0B40A138" w:rsidRDefault="003D6244" w14:paraId="2202CF4C" w14:textId="53A55E76">
      <w:pPr>
        <w:pStyle w:val="Normal"/>
        <w:rPr>
          <w:sz w:val="20"/>
          <w:szCs w:val="20"/>
        </w:rPr>
      </w:pPr>
    </w:p>
    <w:p w:rsidR="001C735E" w:rsidP="333BDD50" w:rsidRDefault="003D6244" w14:paraId="7423669F" w14:textId="5293B985">
      <w:pPr>
        <w:pStyle w:val="Normal"/>
        <w:rPr>
          <w:rFonts w:ascii="Calibri" w:hAnsi="Calibri" w:eastAsia="Calibri" w:cs="Calibri" w:asciiTheme="minorAscii" w:hAnsiTheme="minorAscii" w:eastAsiaTheme="minorAscii" w:cstheme="minorAscii"/>
          <w:sz w:val="20"/>
          <w:szCs w:val="20"/>
          <w:lang w:val="en-CA"/>
        </w:rPr>
      </w:pPr>
      <w:r w:rsidRPr="0B40A138" w:rsidR="0B40A138">
        <w:rPr>
          <w:sz w:val="20"/>
          <w:szCs w:val="20"/>
        </w:rPr>
        <w:t>*Presenting author</w:t>
      </w:r>
      <w:r>
        <w:br/>
      </w:r>
      <w:r w:rsidRPr="333BDD50">
        <w:rPr>
          <w:rStyle w:val="FootnoteReference"/>
          <w:rFonts w:ascii="Calibri" w:hAnsi="Calibri" w:eastAsia="Calibri" w:cs="Calibri" w:asciiTheme="minorAscii" w:hAnsiTheme="minorAscii" w:eastAsiaTheme="minorAscii" w:cstheme="minorAscii"/>
          <w:sz w:val="20"/>
          <w:szCs w:val="20"/>
        </w:rPr>
        <w:footnoteRef/>
      </w:r>
      <w:r w:rsidRPr="333BDD50">
        <w:rPr>
          <w:rFonts w:ascii="Calibri" w:hAnsi="Calibri" w:eastAsia="Calibri" w:cs="Calibri" w:asciiTheme="minorAscii" w:hAnsiTheme="minorAscii" w:eastAsiaTheme="minorAscii" w:cstheme="minorAscii"/>
          <w:sz w:val="20"/>
          <w:szCs w:val="20"/>
        </w:rPr>
        <w:t xml:space="preserve"> </w:t>
      </w:r>
      <w:r w:rsidRPr="333BDD50" w:rsidR="008A7672">
        <w:rPr>
          <w:rFonts w:ascii="Calibri" w:hAnsi="Calibri" w:eastAsia="Calibri" w:cs="Calibri" w:asciiTheme="minorAscii" w:hAnsiTheme="minorAscii" w:eastAsiaTheme="minorAscii" w:cstheme="minorAscii"/>
          <w:sz w:val="20"/>
          <w:szCs w:val="20"/>
          <w:lang w:val="en-CA"/>
        </w:rPr>
        <w:t>Purdue University</w:t>
      </w:r>
    </w:p>
    <w:sectPr w:rsidRPr="008A7672" w:rsidR="00CF65C8" w:rsidSect="00394E2C">
      <w:headerReference w:type="default" r:id="rId10"/>
      <w:footerReference w:type="default" r:id="rId11"/>
      <w:pgSz w:w="12240" w:h="15840" w:orient="portrait"/>
      <w:pgMar w:top="1440" w:right="864" w:bottom="1440" w:left="864"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B9E" w:rsidP="00A16498" w:rsidRDefault="00185B9E" w14:paraId="5A95558A" w14:textId="77777777">
      <w:pPr>
        <w:spacing w:after="0" w:line="240" w:lineRule="auto"/>
      </w:pPr>
      <w:r>
        <w:separator/>
      </w:r>
    </w:p>
  </w:endnote>
  <w:endnote w:type="continuationSeparator" w:id="0">
    <w:p w:rsidR="00185B9E" w:rsidP="00A16498" w:rsidRDefault="00185B9E" w14:paraId="3A70A9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6244" w:rsidP="0B40A138" w:rsidRDefault="003D6244" w14:paraId="7AC50382" w14:textId="54263AAD">
    <w:pPr>
      <w:pStyle w:val="Footer"/>
      <w:jc w:val="center"/>
      <w:rPr>
        <w:b w:val="1"/>
        <w:bCs w:val="1"/>
        <w:noProof/>
      </w:rPr>
    </w:pPr>
    <w:sdt>
      <w:sdtPr>
        <w:id w:val="-1316035048"/>
        <w:docPartObj>
          <w:docPartGallery w:val="Page Numbers (Bottom of Page)"/>
          <w:docPartUnique/>
        </w:docPartObj>
        <w:rPr>
          <w:b w:val="1"/>
          <w:bCs w:val="1"/>
        </w:rPr>
      </w:sdtPr>
      <w:sdtContent>
        <w:r w:rsidRPr="0B40A138" w:rsidR="0B40A138">
          <w:rPr>
            <w:b w:val="1"/>
            <w:bCs w:val="1"/>
          </w:rPr>
          <w:t>​</w:t>
        </w:r>
        <w:sdt>
          <w:sdtPr>
            <w:id w:val="-1669238322"/>
            <w:docPartObj>
              <w:docPartGallery w:val="Page Numbers (Top of Page)"/>
              <w:docPartUnique/>
            </w:docPartObj>
            <w:rPr>
              <w:b w:val="1"/>
              <w:bCs w:val="1"/>
            </w:rPr>
          </w:sdtPr>
          <w:sdtContent>
            <w:r w:rsidRPr="0B40A138" w:rsidR="0B40A138">
              <w:rPr>
                <w:b w:val="1"/>
                <w:bCs w:val="1"/>
                <w:sz w:val="20"/>
                <w:szCs w:val="20"/>
              </w:rPr>
              <w:t xml:space="preserve">Page </w:t>
            </w:r>
            <w:r w:rsidRPr="0B40A138">
              <w:rPr>
                <w:b w:val="1"/>
                <w:bCs w:val="1"/>
                <w:noProof/>
              </w:rPr>
              <w:fldChar w:fldCharType="begin"/>
            </w:r>
            <w:r w:rsidRPr="0B40A138">
              <w:rPr>
                <w:b w:val="1"/>
                <w:bCs w:val="1"/>
              </w:rPr>
              <w:instrText xml:space="preserve"> PAGE </w:instrText>
            </w:r>
            <w:r w:rsidRPr="0B40A138">
              <w:rPr>
                <w:b w:val="1"/>
                <w:bCs w:val="1"/>
              </w:rPr>
              <w:fldChar w:fldCharType="separate"/>
            </w:r>
            <w:r w:rsidRPr="0B40A138" w:rsidR="0B40A138">
              <w:rPr>
                <w:b w:val="1"/>
                <w:bCs w:val="1"/>
                <w:noProof/>
              </w:rPr>
              <w:t>1</w:t>
            </w:r>
            <w:r w:rsidRPr="0B40A138">
              <w:rPr>
                <w:b w:val="1"/>
                <w:bCs w:val="1"/>
                <w:noProof/>
              </w:rPr>
              <w:fldChar w:fldCharType="end"/>
            </w:r>
            <w:r w:rsidRPr="0B40A138" w:rsidR="0B40A138">
              <w:rPr>
                <w:b w:val="1"/>
                <w:bCs w:val="1"/>
                <w:sz w:val="20"/>
                <w:szCs w:val="20"/>
              </w:rPr>
              <w:t xml:space="preserve"> of </w:t>
            </w:r>
            <w:r w:rsidRPr="0B40A138" w:rsidR="0B40A138">
              <w:rPr>
                <w:b w:val="1"/>
                <w:bCs w:val="1"/>
                <w:sz w:val="22"/>
                <w:szCs w:val="22"/>
              </w:rPr>
              <w:t>2</w:t>
            </w:r>
          </w:sdtContent>
          <w:sdtEndPr>
            <w:rPr>
              <w:b w:val="1"/>
              <w:bCs w:val="1"/>
            </w:rPr>
          </w:sdtEndPr>
        </w:sdt>
      </w:sdtContent>
      <w:sdtEndPr>
        <w:rPr>
          <w:b w:val="1"/>
          <w:bCs w:val="1"/>
          <w:sz w:val="20"/>
          <w:szCs w:val="20"/>
        </w:rPr>
      </w:sdtEndPr>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B9E" w:rsidP="00A16498" w:rsidRDefault="00185B9E" w14:paraId="7A7F8AA5" w14:textId="77777777">
      <w:pPr>
        <w:spacing w:after="0" w:line="240" w:lineRule="auto"/>
      </w:pPr>
      <w:r>
        <w:separator/>
      </w:r>
    </w:p>
  </w:footnote>
  <w:footnote w:type="continuationSeparator" w:id="0">
    <w:p w:rsidR="00185B9E" w:rsidP="00A16498" w:rsidRDefault="00185B9E" w14:paraId="5C09C4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A16498" w:rsidRDefault="008A7672" w14:paraId="7AC5037F" w14:textId="7429BEAD">
    <w:pPr>
      <w:pStyle w:val="Header"/>
    </w:pPr>
    <w:r>
      <w:rPr>
        <w:noProof/>
      </w:rPr>
      <mc:AlternateContent>
        <mc:Choice Requires="wps">
          <w:drawing>
            <wp:anchor distT="0" distB="0" distL="114300" distR="114300" simplePos="0" relativeHeight="251658240" behindDoc="0" locked="0" layoutInCell="1" allowOverlap="1" wp14:anchorId="7AA1BEF6" wp14:editId="19BE4520">
              <wp:simplePos x="0" y="0"/>
              <wp:positionH relativeFrom="margin">
                <wp:align>right</wp:align>
              </wp:positionH>
              <wp:positionV relativeFrom="paragraph">
                <wp:posOffset>-228600</wp:posOffset>
              </wp:positionV>
              <wp:extent cx="6677025" cy="457200"/>
              <wp:effectExtent l="0" t="0" r="28575" b="19050"/>
              <wp:wrapNone/>
              <wp:docPr id="121570615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rsidRPr="007B4CE7" w:rsidR="00A16498" w:rsidP="008A7672" w:rsidRDefault="00A16498" w14:paraId="7AC50385" w14:textId="751B136E">
                              <w:pPr>
                                <w:pStyle w:val="Header"/>
                                <w:jc w:val="center"/>
                                <w:rPr>
                                  <w:rFonts w:ascii="Kefa" w:hAnsi="Kefa"/>
                                  <w:b/>
                                  <w:color w:val="444C6A"/>
                                  <w:sz w:val="36"/>
                                  <w:szCs w:val="36"/>
                                </w:rPr>
                              </w:pPr>
                              <w:r w:rsidRPr="007B4CE7">
                                <w:rPr>
                                  <w:rFonts w:ascii="Kefa" w:hAnsi="Kefa"/>
                                  <w:b/>
                                  <w:color w:val="444C6A"/>
                                  <w:sz w:val="36"/>
                                  <w:szCs w:val="36"/>
                                </w:rPr>
                                <w:t>20</w:t>
                              </w:r>
                              <w:r w:rsidRPr="007B4CE7" w:rsidR="003C4D59">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a="http://schemas.openxmlformats.org/drawingml/2006/main">
          <w:pict>
            <v:rect id="Rectangle 197" style="position:absolute;margin-left:474.55pt;margin-top:-18pt;width:525.75pt;height:36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ed="f" strokecolor="#444c6a" strokeweight="2pt" w14:anchorId="7AA1B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">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rsidRPr="007B4CE7" w:rsidR="00A16498" w:rsidP="008A7672" w:rsidRDefault="00A16498" w14:paraId="7AC50385" w14:textId="751B136E">
                        <w:pPr>
                          <w:pStyle w:val="Header"/>
                          <w:jc w:val="center"/>
                          <w:rPr>
                            <w:rFonts w:ascii="Kefa" w:hAnsi="Kefa"/>
                            <w:b/>
                            <w:color w:val="444C6A"/>
                            <w:sz w:val="36"/>
                            <w:szCs w:val="36"/>
                          </w:rPr>
                        </w:pPr>
                        <w:r w:rsidRPr="007B4CE7">
                          <w:rPr>
                            <w:rFonts w:ascii="Kefa" w:hAnsi="Kefa"/>
                            <w:b/>
                            <w:color w:val="444C6A"/>
                            <w:sz w:val="36"/>
                            <w:szCs w:val="36"/>
                          </w:rPr>
                          <w:t>20</w:t>
                        </w:r>
                        <w:r w:rsidRPr="007B4CE7" w:rsidR="003C4D59">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w10:wrap anchorx="margin"/>
            </v:rect>
          </w:pict>
        </mc:Fallback>
      </mc:AlternateContent>
    </w:r>
  </w:p>
  <w:p w:rsidR="00A16498" w:rsidRDefault="00A16498" w14:paraId="7AC50380" w14:textId="77777777">
    <w:pPr>
      <w:pStyle w:val="Header"/>
    </w:pPr>
  </w:p>
</w:hdr>
</file>

<file path=word/intelligence2.xml><?xml version="1.0" encoding="utf-8"?>
<int2:intelligence xmlns:int2="http://schemas.microsoft.com/office/intelligence/2020/intelligence">
  <int2:observations>
    <int2:textHash int2:hashCode="ewnzblLx/mgkkY" int2:id="obV2JdPZ">
      <int2:state int2:type="LegacyProofing" int2:value="Rejected"/>
    </int2:textHash>
    <int2:textHash int2:hashCode="5geq28HMO/fpR8" int2:id="snobfmUv">
      <int2:state int2:type="LegacyProofing" int2:value="Rejected"/>
    </int2:textHash>
    <int2:textHash int2:hashCode="LXSBhf2HbAPCuK" int2:id="f4lz4XH1">
      <int2:state int2:type="LegacyProofing" int2:value="Rejected"/>
    </int2:textHash>
    <int2:bookmark int2:bookmarkName="_Int_dXhRmTNK" int2:invalidationBookmarkName="" int2:hashCode="QfwIYIhqawSF3X" int2:id="u3O0tqM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8065262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14D95"/>
    <w:rsid w:val="00022FAB"/>
    <w:rsid w:val="000D0162"/>
    <w:rsid w:val="0010AA0A"/>
    <w:rsid w:val="00185B9E"/>
    <w:rsid w:val="001C735E"/>
    <w:rsid w:val="001F0986"/>
    <w:rsid w:val="00226854"/>
    <w:rsid w:val="00244C29"/>
    <w:rsid w:val="002872AA"/>
    <w:rsid w:val="00300310"/>
    <w:rsid w:val="00312417"/>
    <w:rsid w:val="00316B3B"/>
    <w:rsid w:val="0032171F"/>
    <w:rsid w:val="00324E6F"/>
    <w:rsid w:val="0033415B"/>
    <w:rsid w:val="00394E2C"/>
    <w:rsid w:val="003B0285"/>
    <w:rsid w:val="003C2A0A"/>
    <w:rsid w:val="003C4D59"/>
    <w:rsid w:val="003D5DDB"/>
    <w:rsid w:val="003D6244"/>
    <w:rsid w:val="003F558A"/>
    <w:rsid w:val="00412A17"/>
    <w:rsid w:val="004473AC"/>
    <w:rsid w:val="00452576"/>
    <w:rsid w:val="0045428A"/>
    <w:rsid w:val="00550360"/>
    <w:rsid w:val="00577DC4"/>
    <w:rsid w:val="005F3158"/>
    <w:rsid w:val="00625543"/>
    <w:rsid w:val="006535AF"/>
    <w:rsid w:val="006637E7"/>
    <w:rsid w:val="006C05DD"/>
    <w:rsid w:val="00751FEE"/>
    <w:rsid w:val="007722E4"/>
    <w:rsid w:val="0077649B"/>
    <w:rsid w:val="00777D73"/>
    <w:rsid w:val="007B4CE7"/>
    <w:rsid w:val="00801D2A"/>
    <w:rsid w:val="00817FE3"/>
    <w:rsid w:val="0087492A"/>
    <w:rsid w:val="008938D8"/>
    <w:rsid w:val="008A7672"/>
    <w:rsid w:val="0092C143"/>
    <w:rsid w:val="009462E3"/>
    <w:rsid w:val="009B1DAB"/>
    <w:rsid w:val="009E1B56"/>
    <w:rsid w:val="00A16498"/>
    <w:rsid w:val="00AB7B37"/>
    <w:rsid w:val="00AE4ADB"/>
    <w:rsid w:val="00B226B4"/>
    <w:rsid w:val="00B71AFF"/>
    <w:rsid w:val="00B81B1B"/>
    <w:rsid w:val="00BA2D2D"/>
    <w:rsid w:val="00C6243D"/>
    <w:rsid w:val="00C80718"/>
    <w:rsid w:val="00CF3CDF"/>
    <w:rsid w:val="00CF65C8"/>
    <w:rsid w:val="00D46241"/>
    <w:rsid w:val="00D60D08"/>
    <w:rsid w:val="00DC15FA"/>
    <w:rsid w:val="00E15391"/>
    <w:rsid w:val="00EC1345"/>
    <w:rsid w:val="00F023E6"/>
    <w:rsid w:val="00F2162A"/>
    <w:rsid w:val="00FF5F04"/>
    <w:rsid w:val="0438E954"/>
    <w:rsid w:val="047C3D9F"/>
    <w:rsid w:val="05C0D375"/>
    <w:rsid w:val="079998C8"/>
    <w:rsid w:val="07BF9CE4"/>
    <w:rsid w:val="09B653C3"/>
    <w:rsid w:val="0B40A138"/>
    <w:rsid w:val="0DF2E764"/>
    <w:rsid w:val="0F649FEF"/>
    <w:rsid w:val="1AF8142C"/>
    <w:rsid w:val="1F919654"/>
    <w:rsid w:val="2084881C"/>
    <w:rsid w:val="210D1FE8"/>
    <w:rsid w:val="2151F9BA"/>
    <w:rsid w:val="246FD1B3"/>
    <w:rsid w:val="266FDA60"/>
    <w:rsid w:val="26D8682B"/>
    <w:rsid w:val="2916C580"/>
    <w:rsid w:val="296BB765"/>
    <w:rsid w:val="2972614B"/>
    <w:rsid w:val="2F7E57F4"/>
    <w:rsid w:val="2FBEDDCB"/>
    <w:rsid w:val="318CB685"/>
    <w:rsid w:val="333BDD50"/>
    <w:rsid w:val="366AD54B"/>
    <w:rsid w:val="38091707"/>
    <w:rsid w:val="3EE12400"/>
    <w:rsid w:val="435910D3"/>
    <w:rsid w:val="43615138"/>
    <w:rsid w:val="4BCABFEC"/>
    <w:rsid w:val="4F5E879D"/>
    <w:rsid w:val="52E51223"/>
    <w:rsid w:val="5620CEB5"/>
    <w:rsid w:val="569AE604"/>
    <w:rsid w:val="57D9623C"/>
    <w:rsid w:val="5800606C"/>
    <w:rsid w:val="5BC1332D"/>
    <w:rsid w:val="5BD98A17"/>
    <w:rsid w:val="5F8EC042"/>
    <w:rsid w:val="5FC2EDC9"/>
    <w:rsid w:val="6422B6FF"/>
    <w:rsid w:val="6823A7A4"/>
    <w:rsid w:val="6D415C73"/>
    <w:rsid w:val="73EEF07C"/>
    <w:rsid w:val="79821A43"/>
    <w:rsid w:val="7A2DFAE4"/>
    <w:rsid w:val="7AEB2DFA"/>
    <w:rsid w:val="7B4E6CAB"/>
    <w:rsid w:val="7C0382BF"/>
    <w:rsid w:val="7C6456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rsid w:val="003D6244"/>
    <w:rPr>
      <w:rFonts w:ascii="Calibri" w:hAnsi="Calibri" w:eastAsia="Calibri" w:cs="Times New Roman"/>
      <w:sz w:val="20"/>
      <w:szCs w:val="20"/>
    </w:rPr>
  </w:style>
  <w:style w:type="character" w:styleId="FootnoteReference">
    <w:name w:val="footnote reference"/>
    <w:uiPriority w:val="99"/>
    <w:semiHidden/>
    <w:unhideWhenUsed/>
    <w:rsid w:val="003D6244"/>
    <w:rPr>
      <w:vertAlign w:val="superscript"/>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8560">
      <w:bodyDiv w:val="1"/>
      <w:marLeft w:val="0"/>
      <w:marRight w:val="0"/>
      <w:marTop w:val="0"/>
      <w:marBottom w:val="0"/>
      <w:divBdr>
        <w:top w:val="none" w:sz="0" w:space="0" w:color="auto"/>
        <w:left w:val="none" w:sz="0" w:space="0" w:color="auto"/>
        <w:bottom w:val="none" w:sz="0" w:space="0" w:color="auto"/>
        <w:right w:val="none" w:sz="0" w:space="0" w:color="auto"/>
      </w:divBdr>
      <w:divsChild>
        <w:div w:id="113325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6f03bed8b3304367" /><Relationship Type="http://schemas.microsoft.com/office/2011/relationships/people" Target="people.xml" Id="R2e48589f04d04ee3" /><Relationship Type="http://schemas.microsoft.com/office/2011/relationships/commentsExtended" Target="commentsExtended.xml" Id="Rf64e2f43844443ac" /><Relationship Type="http://schemas.microsoft.com/office/2016/09/relationships/commentsIds" Target="commentsIds.xml" Id="Rd03efa6102214ca2" /><Relationship Type="http://schemas.openxmlformats.org/officeDocument/2006/relationships/hyperlink" Target="https://doi.org/10.3389/fpsyg.2020.01634" TargetMode="External" Id="R2566b8773d494917" /><Relationship Type="http://schemas.openxmlformats.org/officeDocument/2006/relationships/hyperlink" Target="https://doi.org/10.1007/s10803-020-04363-0" TargetMode="External" Id="R704069ed3dc141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UCDHS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 Gatlinburg Conference Poster Submission</dc:title>
  <dc:creator>BSHELTON</dc:creator>
  <lastModifiedBy>Riley M Naughton</lastModifiedBy>
  <revision>9</revision>
  <dcterms:created xsi:type="dcterms:W3CDTF">2024-10-22T17:09:00.0000000Z</dcterms:created>
  <dcterms:modified xsi:type="dcterms:W3CDTF">2024-11-05T03:06:38.7239697Z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MSIP_Label_4044bd30-2ed7-4c9d-9d12-46200872a97b_Enabled">
    <vt:lpwstr>true</vt:lpwstr>
  </property>
  <property fmtid="{D5CDD505-2E9C-101B-9397-08002B2CF9AE}" pid="4" name="MSIP_Label_4044bd30-2ed7-4c9d-9d12-46200872a97b_SetDate">
    <vt:lpwstr>2024-10-22T17:09:07Z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7eed0562-961a-47f2-baa9-22df045fec0c</vt:lpwstr>
  </property>
  <property fmtid="{D5CDD505-2E9C-101B-9397-08002B2CF9AE}" pid="9" name="MSIP_Label_4044bd30-2ed7-4c9d-9d12-46200872a97b_ContentBits">
    <vt:lpwstr>0</vt:lpwstr>
  </property>
</Properties>
</file>