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3DEEA238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2B5DBF">
        <w:rPr>
          <w:sz w:val="20"/>
          <w:szCs w:val="20"/>
        </w:rPr>
        <w:t>Language dysfluency and working memory among mothers of children with fragile X syndrome and autism spectrum disorder</w:t>
      </w:r>
    </w:p>
    <w:p w14:paraId="7AC50371" w14:textId="0F73F11D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="008E7F21">
        <w:rPr>
          <w:sz w:val="20"/>
          <w:szCs w:val="20"/>
        </w:rPr>
        <w:t>: Amy Banasik</w:t>
      </w:r>
      <w:r>
        <w:rPr>
          <w:sz w:val="20"/>
          <w:szCs w:val="20"/>
          <w:vertAlign w:val="superscript"/>
        </w:rPr>
        <w:t>1</w:t>
      </w:r>
      <w:r w:rsidRPr="009E00A7">
        <w:rPr>
          <w:sz w:val="20"/>
          <w:szCs w:val="20"/>
        </w:rPr>
        <w:t xml:space="preserve">, </w:t>
      </w:r>
      <w:r w:rsidR="008E7F21">
        <w:rPr>
          <w:sz w:val="20"/>
          <w:szCs w:val="20"/>
        </w:rPr>
        <w:t xml:space="preserve">Marianne </w:t>
      </w:r>
      <w:proofErr w:type="spellStart"/>
      <w:r w:rsidR="008E7F21">
        <w:rPr>
          <w:sz w:val="20"/>
          <w:szCs w:val="20"/>
        </w:rPr>
        <w:t>Elmquist</w:t>
      </w:r>
      <w:proofErr w:type="spellEnd"/>
      <w:r w:rsidR="005F3158">
        <w:rPr>
          <w:sz w:val="20"/>
          <w:szCs w:val="20"/>
          <w:vertAlign w:val="superscript"/>
        </w:rPr>
        <w:t xml:space="preserve"> </w:t>
      </w:r>
      <w:r w:rsidR="008E7F2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, </w:t>
      </w:r>
      <w:r w:rsidR="008E7F21">
        <w:rPr>
          <w:sz w:val="20"/>
          <w:szCs w:val="20"/>
        </w:rPr>
        <w:t>Danny Variano</w:t>
      </w:r>
      <w:r w:rsidR="008E7F21" w:rsidRPr="008E7F21">
        <w:rPr>
          <w:sz w:val="20"/>
          <w:szCs w:val="20"/>
          <w:vertAlign w:val="superscript"/>
        </w:rPr>
        <w:t>1</w:t>
      </w:r>
      <w:r w:rsidR="00141EFF">
        <w:rPr>
          <w:sz w:val="20"/>
          <w:szCs w:val="20"/>
        </w:rPr>
        <w:t>, Emma Libersky</w:t>
      </w:r>
      <w:r w:rsidR="00141EFF">
        <w:rPr>
          <w:sz w:val="20"/>
          <w:szCs w:val="20"/>
          <w:vertAlign w:val="superscript"/>
        </w:rPr>
        <w:t xml:space="preserve">1, 2 </w:t>
      </w:r>
      <w:r>
        <w:rPr>
          <w:sz w:val="20"/>
          <w:szCs w:val="20"/>
        </w:rPr>
        <w:t xml:space="preserve">&amp; </w:t>
      </w:r>
      <w:r w:rsidR="008E7F21">
        <w:rPr>
          <w:sz w:val="20"/>
          <w:szCs w:val="20"/>
        </w:rPr>
        <w:t>Audra Sterling</w:t>
      </w:r>
      <w:r w:rsidR="008E7F21">
        <w:rPr>
          <w:sz w:val="20"/>
          <w:szCs w:val="20"/>
          <w:vertAlign w:val="superscript"/>
        </w:rPr>
        <w:t>1,2</w:t>
      </w:r>
    </w:p>
    <w:p w14:paraId="77FE6733" w14:textId="6E37A01F" w:rsidR="00452576" w:rsidRPr="00C973F2" w:rsidRDefault="003D6244" w:rsidP="003D6244">
      <w:pPr>
        <w:rPr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>:</w:t>
      </w:r>
      <w:r w:rsidR="00C973F2">
        <w:rPr>
          <w:sz w:val="20"/>
          <w:szCs w:val="20"/>
        </w:rPr>
        <w:t xml:space="preserve"> </w:t>
      </w:r>
      <w:r w:rsidR="00C973F2" w:rsidRPr="00C973F2">
        <w:rPr>
          <w:color w:val="000000"/>
          <w:sz w:val="20"/>
          <w:szCs w:val="20"/>
          <w:lang w:val="en-GB"/>
        </w:rPr>
        <w:t xml:space="preserve">Research aiming to characterize the language and cognitive profile of females with the </w:t>
      </w:r>
      <w:r w:rsidR="00C973F2" w:rsidRPr="00C973F2">
        <w:rPr>
          <w:i/>
          <w:color w:val="000000"/>
          <w:sz w:val="20"/>
          <w:szCs w:val="20"/>
          <w:lang w:val="en-GB"/>
        </w:rPr>
        <w:t>FMR1</w:t>
      </w:r>
      <w:r w:rsidR="00C973F2" w:rsidRPr="00C973F2">
        <w:rPr>
          <w:color w:val="000000"/>
          <w:sz w:val="20"/>
          <w:szCs w:val="20"/>
          <w:lang w:val="en-GB"/>
        </w:rPr>
        <w:t xml:space="preserve"> premutation is growing, with studies suggesting that the </w:t>
      </w:r>
      <w:r w:rsidR="00C973F2" w:rsidRPr="00C973F2">
        <w:rPr>
          <w:i/>
          <w:color w:val="000000"/>
          <w:sz w:val="20"/>
          <w:szCs w:val="20"/>
          <w:lang w:val="en-GB"/>
        </w:rPr>
        <w:t>FMR1</w:t>
      </w:r>
      <w:r w:rsidR="00C973F2" w:rsidRPr="00C973F2">
        <w:rPr>
          <w:color w:val="000000"/>
          <w:sz w:val="20"/>
          <w:szCs w:val="20"/>
          <w:lang w:val="en-GB"/>
        </w:rPr>
        <w:t xml:space="preserve"> premutation is associated with deficits in executive function</w:t>
      </w:r>
      <w:r w:rsidR="00C973F2">
        <w:rPr>
          <w:color w:val="000000"/>
          <w:sz w:val="20"/>
          <w:szCs w:val="20"/>
          <w:lang w:val="en-GB"/>
        </w:rPr>
        <w:t xml:space="preserve"> (EF)</w:t>
      </w:r>
      <w:r w:rsidR="00C973F2" w:rsidRPr="00C973F2">
        <w:rPr>
          <w:color w:val="000000"/>
          <w:sz w:val="20"/>
          <w:szCs w:val="20"/>
          <w:lang w:val="en-GB"/>
        </w:rPr>
        <w:t xml:space="preserve"> skills (</w:t>
      </w:r>
      <w:r w:rsidR="006A2AD1">
        <w:rPr>
          <w:color w:val="000000"/>
          <w:sz w:val="20"/>
          <w:szCs w:val="20"/>
          <w:lang w:val="en-GB"/>
        </w:rPr>
        <w:t>Shelton et al., 2016</w:t>
      </w:r>
      <w:r w:rsidR="00C973F2" w:rsidRPr="00C973F2">
        <w:rPr>
          <w:color w:val="000000"/>
          <w:sz w:val="20"/>
          <w:szCs w:val="20"/>
          <w:lang w:val="en-GB"/>
        </w:rPr>
        <w:t>) and language (Sterling et al., 2013; Maltman et al., 2021). Some studies have investigated differences in performance on behavioral tasks measuring working memory (Shelton et al., 2015) or on self-reported measures of EF (Movaghar et al., 2017), but few have looked at both performance on behavioral tasks and self-reported skills in the same group. Regarding languag</w:t>
      </w:r>
      <w:r w:rsidR="00C973F2">
        <w:rPr>
          <w:color w:val="000000"/>
          <w:sz w:val="20"/>
          <w:szCs w:val="20"/>
          <w:lang w:val="en-GB"/>
        </w:rPr>
        <w:t>e</w:t>
      </w:r>
      <w:r w:rsidR="00C973F2" w:rsidRPr="00C973F2">
        <w:rPr>
          <w:color w:val="000000"/>
          <w:sz w:val="20"/>
          <w:szCs w:val="20"/>
          <w:lang w:val="en-GB"/>
        </w:rPr>
        <w:t xml:space="preserve">, prior research </w:t>
      </w:r>
      <w:r w:rsidR="00C973F2">
        <w:rPr>
          <w:color w:val="000000"/>
          <w:sz w:val="20"/>
          <w:szCs w:val="20"/>
          <w:lang w:val="en-GB"/>
        </w:rPr>
        <w:t xml:space="preserve">indicates </w:t>
      </w:r>
      <w:r w:rsidR="00C973F2" w:rsidRPr="00C973F2">
        <w:rPr>
          <w:color w:val="000000"/>
          <w:sz w:val="20"/>
          <w:szCs w:val="20"/>
          <w:lang w:val="en-GB"/>
        </w:rPr>
        <w:t xml:space="preserve">that females with the </w:t>
      </w:r>
      <w:r w:rsidR="00C973F2" w:rsidRPr="00C973F2">
        <w:rPr>
          <w:i/>
          <w:color w:val="000000"/>
          <w:sz w:val="20"/>
          <w:szCs w:val="20"/>
          <w:lang w:val="en-GB"/>
        </w:rPr>
        <w:t>FMR1</w:t>
      </w:r>
      <w:r w:rsidR="00C973F2" w:rsidRPr="00C973F2">
        <w:rPr>
          <w:color w:val="000000"/>
          <w:sz w:val="20"/>
          <w:szCs w:val="20"/>
          <w:lang w:val="en-GB"/>
        </w:rPr>
        <w:t xml:space="preserve"> premutation demonstrate differences in lexical diversity (Schmitt et al., 2022), word-retrieval (Brendin-Oja, 2021), and dysfluency (Movaghar et al., 2017; Sterling et al., 2013)</w:t>
      </w:r>
      <w:r w:rsidR="00BE4EB5">
        <w:rPr>
          <w:color w:val="000000"/>
          <w:sz w:val="20"/>
          <w:szCs w:val="20"/>
          <w:lang w:val="en-GB"/>
        </w:rPr>
        <w:t xml:space="preserve"> </w:t>
      </w:r>
      <w:r w:rsidR="00DE43F9">
        <w:rPr>
          <w:color w:val="000000"/>
          <w:sz w:val="20"/>
          <w:szCs w:val="20"/>
          <w:lang w:val="en-GB"/>
        </w:rPr>
        <w:t>compared to control</w:t>
      </w:r>
      <w:r w:rsidR="004E1657">
        <w:rPr>
          <w:color w:val="000000"/>
          <w:sz w:val="20"/>
          <w:szCs w:val="20"/>
          <w:lang w:val="en-GB"/>
        </w:rPr>
        <w:t>s</w:t>
      </w:r>
      <w:r w:rsidR="00C973F2" w:rsidRPr="00C973F2">
        <w:rPr>
          <w:color w:val="000000"/>
          <w:sz w:val="20"/>
          <w:szCs w:val="20"/>
          <w:lang w:val="en-GB"/>
        </w:rPr>
        <w:t>.</w:t>
      </w:r>
      <w:r w:rsidR="007E5814">
        <w:rPr>
          <w:color w:val="000000"/>
          <w:sz w:val="20"/>
          <w:szCs w:val="20"/>
          <w:lang w:val="en-GB"/>
        </w:rPr>
        <w:t xml:space="preserve"> Critically, EF deficits have been related to dysfluency production in other populations (Engelhardt et al., 2010, 2019).</w:t>
      </w:r>
      <w:r w:rsidR="00BE4EB5">
        <w:rPr>
          <w:color w:val="000000"/>
          <w:sz w:val="20"/>
          <w:szCs w:val="20"/>
          <w:lang w:val="en-GB"/>
        </w:rPr>
        <w:t xml:space="preserve"> Few studies have examined the relationship between language and EF in p</w:t>
      </w:r>
      <w:r w:rsidR="006D0BAF">
        <w:rPr>
          <w:color w:val="000000"/>
          <w:sz w:val="20"/>
          <w:szCs w:val="20"/>
          <w:lang w:val="en-GB"/>
        </w:rPr>
        <w:t>re</w:t>
      </w:r>
      <w:r w:rsidR="00BE4EB5">
        <w:rPr>
          <w:color w:val="000000"/>
          <w:sz w:val="20"/>
          <w:szCs w:val="20"/>
          <w:lang w:val="en-GB"/>
        </w:rPr>
        <w:t>mutation carriers or have considered the effect of different language sampling procedures</w:t>
      </w:r>
      <w:r w:rsidR="00ED0779">
        <w:rPr>
          <w:color w:val="000000"/>
          <w:sz w:val="20"/>
          <w:szCs w:val="20"/>
          <w:lang w:val="en-GB"/>
        </w:rPr>
        <w:t xml:space="preserve">. </w:t>
      </w:r>
      <w:r w:rsidR="00C973F2" w:rsidRPr="00C973F2">
        <w:rPr>
          <w:color w:val="000000"/>
          <w:sz w:val="20"/>
          <w:szCs w:val="20"/>
          <w:lang w:val="en-GB"/>
        </w:rPr>
        <w:t xml:space="preserve">Thus, </w:t>
      </w:r>
      <w:r w:rsidR="00B80429" w:rsidRPr="00C973F2">
        <w:rPr>
          <w:color w:val="000000"/>
          <w:sz w:val="20"/>
          <w:szCs w:val="20"/>
          <w:lang w:val="en-GB"/>
        </w:rPr>
        <w:t>the aims of the current study are</w:t>
      </w:r>
      <w:r w:rsidR="006D0BAF">
        <w:rPr>
          <w:color w:val="000000"/>
          <w:sz w:val="20"/>
          <w:szCs w:val="20"/>
          <w:lang w:val="en-GB"/>
        </w:rPr>
        <w:t>:</w:t>
      </w:r>
      <w:r w:rsidR="00B80429" w:rsidRPr="00C973F2">
        <w:rPr>
          <w:color w:val="000000"/>
          <w:sz w:val="20"/>
          <w:szCs w:val="20"/>
          <w:lang w:val="en-GB"/>
        </w:rPr>
        <w:t xml:space="preserve"> 1) examine differences </w:t>
      </w:r>
      <w:r w:rsidR="007D6CAE">
        <w:rPr>
          <w:color w:val="000000"/>
          <w:sz w:val="20"/>
          <w:szCs w:val="20"/>
          <w:lang w:val="en-GB"/>
        </w:rPr>
        <w:t xml:space="preserve">in </w:t>
      </w:r>
      <w:r w:rsidR="00DE43F9">
        <w:rPr>
          <w:color w:val="000000"/>
          <w:sz w:val="20"/>
          <w:szCs w:val="20"/>
          <w:lang w:val="en-GB"/>
        </w:rPr>
        <w:t>dysfluency</w:t>
      </w:r>
      <w:r w:rsidR="00B80429" w:rsidRPr="00C973F2">
        <w:rPr>
          <w:color w:val="000000"/>
          <w:sz w:val="20"/>
          <w:szCs w:val="20"/>
          <w:lang w:val="en-GB"/>
        </w:rPr>
        <w:t xml:space="preserve"> across </w:t>
      </w:r>
      <w:r w:rsidR="00BE4EB5">
        <w:rPr>
          <w:color w:val="000000"/>
          <w:sz w:val="20"/>
          <w:szCs w:val="20"/>
          <w:lang w:val="en-GB"/>
        </w:rPr>
        <w:t xml:space="preserve">language sampling </w:t>
      </w:r>
      <w:r w:rsidR="00B80429" w:rsidRPr="00C973F2">
        <w:rPr>
          <w:color w:val="000000"/>
          <w:sz w:val="20"/>
          <w:szCs w:val="20"/>
          <w:lang w:val="en-GB"/>
        </w:rPr>
        <w:t xml:space="preserve">contexts between females premutation carriers and </w:t>
      </w:r>
      <w:r w:rsidR="005D3F93" w:rsidRPr="00C973F2">
        <w:rPr>
          <w:color w:val="000000"/>
          <w:sz w:val="20"/>
          <w:szCs w:val="20"/>
          <w:lang w:val="en-GB"/>
        </w:rPr>
        <w:t xml:space="preserve">a control group of </w:t>
      </w:r>
      <w:r w:rsidR="00DE43F9">
        <w:rPr>
          <w:color w:val="000000"/>
          <w:sz w:val="20"/>
          <w:szCs w:val="20"/>
          <w:lang w:val="en-GB"/>
        </w:rPr>
        <w:t xml:space="preserve">age-matched </w:t>
      </w:r>
      <w:r w:rsidR="00B80429" w:rsidRPr="00C973F2">
        <w:rPr>
          <w:color w:val="000000"/>
          <w:sz w:val="20"/>
          <w:szCs w:val="20"/>
          <w:lang w:val="en-GB"/>
        </w:rPr>
        <w:t xml:space="preserve">mothers of autistic children and 2) examine how </w:t>
      </w:r>
      <w:r w:rsidR="0069375A" w:rsidRPr="00C973F2">
        <w:rPr>
          <w:color w:val="000000"/>
          <w:sz w:val="20"/>
          <w:szCs w:val="20"/>
          <w:lang w:val="en-GB"/>
        </w:rPr>
        <w:t>executive function skills</w:t>
      </w:r>
      <w:r w:rsidR="00B80429" w:rsidRPr="00C973F2">
        <w:rPr>
          <w:color w:val="000000"/>
          <w:sz w:val="20"/>
          <w:szCs w:val="20"/>
          <w:lang w:val="en-GB"/>
        </w:rPr>
        <w:t xml:space="preserve">, </w:t>
      </w:r>
      <w:r w:rsidR="00E1356A">
        <w:rPr>
          <w:color w:val="000000"/>
          <w:sz w:val="20"/>
          <w:szCs w:val="20"/>
          <w:lang w:val="en-GB"/>
        </w:rPr>
        <w:t>namely</w:t>
      </w:r>
      <w:r w:rsidR="00B80429" w:rsidRPr="00C973F2">
        <w:rPr>
          <w:color w:val="000000"/>
          <w:sz w:val="20"/>
          <w:szCs w:val="20"/>
          <w:lang w:val="en-GB"/>
        </w:rPr>
        <w:t xml:space="preserve"> working memory, impact </w:t>
      </w:r>
      <w:r w:rsidR="00DE43F9">
        <w:rPr>
          <w:color w:val="000000"/>
          <w:sz w:val="20"/>
          <w:szCs w:val="20"/>
          <w:lang w:val="en-GB"/>
        </w:rPr>
        <w:t xml:space="preserve">dysfluency </w:t>
      </w:r>
      <w:r w:rsidR="00DC5247" w:rsidRPr="00C973F2">
        <w:rPr>
          <w:color w:val="000000"/>
          <w:sz w:val="20"/>
          <w:szCs w:val="20"/>
          <w:lang w:val="en-GB"/>
        </w:rPr>
        <w:t xml:space="preserve">in these two groups across </w:t>
      </w:r>
      <w:r w:rsidR="00BE4EB5">
        <w:rPr>
          <w:color w:val="000000"/>
          <w:sz w:val="20"/>
          <w:szCs w:val="20"/>
          <w:lang w:val="en-GB"/>
        </w:rPr>
        <w:t xml:space="preserve">language sampling </w:t>
      </w:r>
      <w:r w:rsidR="00DC5247" w:rsidRPr="00C973F2">
        <w:rPr>
          <w:color w:val="000000"/>
          <w:sz w:val="20"/>
          <w:szCs w:val="20"/>
          <w:lang w:val="en-GB"/>
        </w:rPr>
        <w:t>contexts.</w:t>
      </w:r>
      <w:r w:rsidR="00B80429" w:rsidRPr="00C973F2">
        <w:rPr>
          <w:color w:val="000000"/>
          <w:sz w:val="20"/>
          <w:szCs w:val="20"/>
          <w:lang w:val="en-GB"/>
        </w:rPr>
        <w:t xml:space="preserve">  </w:t>
      </w:r>
    </w:p>
    <w:p w14:paraId="7AC50373" w14:textId="6A558216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B95C37">
        <w:rPr>
          <w:color w:val="000000"/>
          <w:sz w:val="20"/>
          <w:szCs w:val="20"/>
          <w:lang w:val="en-GB"/>
        </w:rPr>
        <w:t xml:space="preserve">Participants included </w:t>
      </w:r>
      <w:r w:rsidR="00991099">
        <w:rPr>
          <w:color w:val="000000"/>
          <w:sz w:val="20"/>
          <w:szCs w:val="20"/>
          <w:lang w:val="en-GB"/>
        </w:rPr>
        <w:t>18</w:t>
      </w:r>
      <w:r w:rsidR="00B95C37" w:rsidRPr="00BD094D">
        <w:rPr>
          <w:i/>
          <w:color w:val="000000"/>
          <w:sz w:val="20"/>
          <w:szCs w:val="20"/>
          <w:lang w:val="en-GB"/>
        </w:rPr>
        <w:t xml:space="preserve"> FMR1</w:t>
      </w:r>
      <w:r w:rsidR="00B95C37">
        <w:rPr>
          <w:color w:val="000000"/>
          <w:sz w:val="20"/>
          <w:szCs w:val="20"/>
          <w:lang w:val="en-GB"/>
        </w:rPr>
        <w:t xml:space="preserve"> female premutation carriers and </w:t>
      </w:r>
      <w:r w:rsidR="00991099">
        <w:rPr>
          <w:color w:val="000000"/>
          <w:sz w:val="20"/>
          <w:szCs w:val="20"/>
          <w:lang w:val="en-GB"/>
        </w:rPr>
        <w:t>17</w:t>
      </w:r>
      <w:r w:rsidR="00B95C37">
        <w:rPr>
          <w:color w:val="000000"/>
          <w:sz w:val="20"/>
          <w:szCs w:val="20"/>
          <w:lang w:val="en-GB"/>
        </w:rPr>
        <w:t xml:space="preserve"> biological mothers of autistic children. </w:t>
      </w:r>
      <w:r w:rsidR="00007F5A">
        <w:rPr>
          <w:color w:val="000000"/>
          <w:sz w:val="20"/>
          <w:szCs w:val="20"/>
          <w:lang w:val="en-GB"/>
        </w:rPr>
        <w:t>Participants</w:t>
      </w:r>
      <w:r w:rsidR="00007F5A">
        <w:rPr>
          <w:color w:val="000000"/>
          <w:sz w:val="20"/>
          <w:szCs w:val="20"/>
          <w:lang w:val="en-GB"/>
        </w:rPr>
        <w:t xml:space="preserve"> </w:t>
      </w:r>
      <w:r w:rsidR="00B95C37">
        <w:rPr>
          <w:color w:val="000000"/>
          <w:sz w:val="20"/>
          <w:szCs w:val="20"/>
          <w:lang w:val="en-GB"/>
        </w:rPr>
        <w:t>were matched on chronological age (</w:t>
      </w:r>
      <w:r w:rsidR="00B95C37" w:rsidRPr="00403706">
        <w:rPr>
          <w:i/>
          <w:iCs/>
          <w:color w:val="000000"/>
          <w:sz w:val="20"/>
          <w:szCs w:val="20"/>
          <w:lang w:val="en-GB"/>
        </w:rPr>
        <w:t>d</w:t>
      </w:r>
      <w:r w:rsidR="00B95C37">
        <w:rPr>
          <w:color w:val="000000"/>
          <w:sz w:val="20"/>
          <w:szCs w:val="20"/>
          <w:lang w:val="en-GB"/>
        </w:rPr>
        <w:t xml:space="preserve"> = </w:t>
      </w:r>
      <w:r w:rsidR="00B95C37" w:rsidRPr="00472417">
        <w:rPr>
          <w:color w:val="000000"/>
          <w:sz w:val="20"/>
          <w:szCs w:val="20"/>
          <w:lang w:val="en-GB"/>
        </w:rPr>
        <w:t>-0.02</w:t>
      </w:r>
      <w:r w:rsidR="00B95C37">
        <w:rPr>
          <w:color w:val="000000"/>
          <w:sz w:val="20"/>
          <w:szCs w:val="20"/>
          <w:lang w:val="en-GB"/>
        </w:rPr>
        <w:t xml:space="preserve">, variance ratio = 1.88, </w:t>
      </w:r>
      <w:r w:rsidR="00B95C37" w:rsidRPr="00403706">
        <w:rPr>
          <w:i/>
          <w:iCs/>
          <w:color w:val="000000"/>
          <w:sz w:val="20"/>
          <w:szCs w:val="20"/>
          <w:lang w:val="en-GB"/>
        </w:rPr>
        <w:t>p</w:t>
      </w:r>
      <w:r w:rsidR="00B95C37">
        <w:rPr>
          <w:color w:val="000000"/>
          <w:sz w:val="20"/>
          <w:szCs w:val="20"/>
          <w:lang w:val="en-GB"/>
        </w:rPr>
        <w:t xml:space="preserve"> = </w:t>
      </w:r>
      <w:r w:rsidR="00B95C37" w:rsidRPr="00472417">
        <w:rPr>
          <w:color w:val="000000"/>
          <w:sz w:val="20"/>
          <w:szCs w:val="20"/>
          <w:lang w:val="en-GB"/>
        </w:rPr>
        <w:t>0.94</w:t>
      </w:r>
      <w:r w:rsidR="00B95C37">
        <w:rPr>
          <w:color w:val="000000"/>
          <w:sz w:val="20"/>
          <w:szCs w:val="20"/>
          <w:lang w:val="en-GB"/>
        </w:rPr>
        <w:t>5) and education (</w:t>
      </w:r>
      <w:r w:rsidR="00B95C37" w:rsidRPr="00403706">
        <w:rPr>
          <w:i/>
          <w:iCs/>
          <w:color w:val="000000"/>
          <w:sz w:val="20"/>
          <w:szCs w:val="20"/>
          <w:lang w:val="en-GB"/>
        </w:rPr>
        <w:t>d</w:t>
      </w:r>
      <w:r w:rsidR="00B95C37">
        <w:rPr>
          <w:color w:val="000000"/>
          <w:sz w:val="20"/>
          <w:szCs w:val="20"/>
          <w:lang w:val="en-GB"/>
        </w:rPr>
        <w:t xml:space="preserve"> = </w:t>
      </w:r>
      <w:r w:rsidR="00B95C37" w:rsidRPr="00472417">
        <w:rPr>
          <w:color w:val="000000"/>
          <w:sz w:val="20"/>
          <w:szCs w:val="20"/>
          <w:lang w:val="en-GB"/>
        </w:rPr>
        <w:t>-0.</w:t>
      </w:r>
      <w:r w:rsidR="00B95C37">
        <w:rPr>
          <w:color w:val="000000"/>
          <w:sz w:val="20"/>
          <w:szCs w:val="20"/>
          <w:lang w:val="en-GB"/>
        </w:rPr>
        <w:t xml:space="preserve">10, variance ratio = 0.80, </w:t>
      </w:r>
      <w:r w:rsidR="00B95C37" w:rsidRPr="00403706">
        <w:rPr>
          <w:i/>
          <w:iCs/>
          <w:color w:val="000000"/>
          <w:sz w:val="20"/>
          <w:szCs w:val="20"/>
          <w:lang w:val="en-GB"/>
        </w:rPr>
        <w:t>p</w:t>
      </w:r>
      <w:r w:rsidR="00B95C37">
        <w:rPr>
          <w:color w:val="000000"/>
          <w:sz w:val="20"/>
          <w:szCs w:val="20"/>
          <w:lang w:val="en-GB"/>
        </w:rPr>
        <w:t xml:space="preserve"> = 0.774), and all had a son between the ages of 9-18 years. Self-reported EF skills were collected using the </w:t>
      </w:r>
      <w:proofErr w:type="spellStart"/>
      <w:r w:rsidR="00B95C37">
        <w:rPr>
          <w:color w:val="000000"/>
          <w:sz w:val="20"/>
          <w:szCs w:val="20"/>
          <w:lang w:val="en-GB"/>
        </w:rPr>
        <w:t>Behavior</w:t>
      </w:r>
      <w:proofErr w:type="spellEnd"/>
      <w:r w:rsidR="00B95C37">
        <w:rPr>
          <w:color w:val="000000"/>
          <w:sz w:val="20"/>
          <w:szCs w:val="20"/>
          <w:lang w:val="en-GB"/>
        </w:rPr>
        <w:t xml:space="preserve"> Rating Inventory of Executive Function – Adult Version (Roth et al., 2013), and standard scores from the Working Memory domain was used in analyses. Mothers also completed computerized N-back tasks (Ellis Weismer et al., 2017) using E-Prime software as a direct assessment of working memory, with percent accuracy as the dependent variable. Language samples were elicited </w:t>
      </w:r>
      <w:r w:rsidR="00CE1842">
        <w:rPr>
          <w:color w:val="000000"/>
          <w:sz w:val="20"/>
          <w:szCs w:val="20"/>
          <w:lang w:val="en-GB"/>
        </w:rPr>
        <w:t>in</w:t>
      </w:r>
      <w:r w:rsidR="00CE1842">
        <w:rPr>
          <w:color w:val="000000"/>
          <w:sz w:val="20"/>
          <w:szCs w:val="20"/>
          <w:lang w:val="en-GB"/>
        </w:rPr>
        <w:t xml:space="preserve"> </w:t>
      </w:r>
      <w:r w:rsidR="00B95C37">
        <w:rPr>
          <w:color w:val="000000"/>
          <w:sz w:val="20"/>
          <w:szCs w:val="20"/>
          <w:lang w:val="en-GB"/>
        </w:rPr>
        <w:t xml:space="preserve">two contexts: monologue and dialogue. </w:t>
      </w:r>
      <w:r w:rsidR="007A4219">
        <w:rPr>
          <w:color w:val="000000"/>
          <w:sz w:val="20"/>
          <w:szCs w:val="20"/>
          <w:lang w:val="en-GB"/>
        </w:rPr>
        <w:t>During the</w:t>
      </w:r>
      <w:r w:rsidR="00F000AA">
        <w:rPr>
          <w:color w:val="000000"/>
          <w:sz w:val="20"/>
          <w:szCs w:val="20"/>
          <w:lang w:val="en-GB"/>
        </w:rPr>
        <w:t xml:space="preserve"> monologue</w:t>
      </w:r>
      <w:r w:rsidR="007A4219">
        <w:rPr>
          <w:color w:val="000000"/>
          <w:sz w:val="20"/>
          <w:szCs w:val="20"/>
          <w:lang w:val="en-GB"/>
        </w:rPr>
        <w:t xml:space="preserve"> sample</w:t>
      </w:r>
      <w:r w:rsidR="00F000AA">
        <w:rPr>
          <w:color w:val="000000"/>
          <w:sz w:val="20"/>
          <w:szCs w:val="20"/>
          <w:lang w:val="en-GB"/>
        </w:rPr>
        <w:t>, mothers were instructed to speak uninterrupted about their child for five minutes</w:t>
      </w:r>
      <w:r w:rsidR="00B95C37">
        <w:rPr>
          <w:color w:val="000000"/>
          <w:sz w:val="20"/>
          <w:szCs w:val="20"/>
          <w:lang w:val="en-GB"/>
        </w:rPr>
        <w:t xml:space="preserve"> </w:t>
      </w:r>
      <w:r w:rsidR="00F000AA">
        <w:rPr>
          <w:color w:val="000000"/>
          <w:sz w:val="20"/>
          <w:szCs w:val="20"/>
          <w:lang w:val="en-GB"/>
        </w:rPr>
        <w:t>(Mag</w:t>
      </w:r>
      <w:r w:rsidR="00E07B7C">
        <w:rPr>
          <w:color w:val="000000"/>
          <w:sz w:val="20"/>
          <w:szCs w:val="20"/>
          <w:lang w:val="en-GB"/>
        </w:rPr>
        <w:t>a</w:t>
      </w:r>
      <w:r w:rsidR="00F000AA">
        <w:rPr>
          <w:color w:val="000000"/>
          <w:sz w:val="20"/>
          <w:szCs w:val="20"/>
          <w:lang w:val="en-GB"/>
        </w:rPr>
        <w:t>na et al., 1986).</w:t>
      </w:r>
      <w:r w:rsidR="00B95C37">
        <w:rPr>
          <w:color w:val="000000"/>
          <w:sz w:val="20"/>
          <w:szCs w:val="20"/>
          <w:lang w:val="en-GB"/>
        </w:rPr>
        <w:t xml:space="preserve"> This language elicitation task has been used and validated on female premutation carriers (Sterling et al., 2013; Movaghar et al., 2017</w:t>
      </w:r>
      <w:r w:rsidR="00A53BF9">
        <w:rPr>
          <w:color w:val="000000"/>
          <w:sz w:val="20"/>
          <w:szCs w:val="20"/>
          <w:lang w:val="en-GB"/>
        </w:rPr>
        <w:t>)</w:t>
      </w:r>
      <w:r w:rsidR="00B95C37">
        <w:rPr>
          <w:color w:val="000000"/>
          <w:sz w:val="20"/>
          <w:szCs w:val="20"/>
          <w:lang w:val="en-GB"/>
        </w:rPr>
        <w:t>.</w:t>
      </w:r>
      <w:r w:rsidR="00F000AA">
        <w:rPr>
          <w:color w:val="000000"/>
          <w:sz w:val="20"/>
          <w:szCs w:val="20"/>
          <w:lang w:val="en-GB"/>
        </w:rPr>
        <w:t xml:space="preserve">  </w:t>
      </w:r>
      <w:r w:rsidR="00B041F6">
        <w:rPr>
          <w:color w:val="000000"/>
          <w:sz w:val="20"/>
          <w:szCs w:val="20"/>
          <w:lang w:val="en-GB"/>
        </w:rPr>
        <w:t>For the dialogue</w:t>
      </w:r>
      <w:r w:rsidR="007A4219">
        <w:rPr>
          <w:color w:val="000000"/>
          <w:sz w:val="20"/>
          <w:szCs w:val="20"/>
          <w:lang w:val="en-GB"/>
        </w:rPr>
        <w:t xml:space="preserve"> sample</w:t>
      </w:r>
      <w:r w:rsidR="00B041F6">
        <w:rPr>
          <w:color w:val="000000"/>
          <w:sz w:val="20"/>
          <w:szCs w:val="20"/>
          <w:lang w:val="en-GB"/>
        </w:rPr>
        <w:t>, mothers engaged in a conversation with an examiner for 10 minutes (</w:t>
      </w:r>
      <w:proofErr w:type="spellStart"/>
      <w:r w:rsidR="00B041F6">
        <w:rPr>
          <w:color w:val="000000"/>
          <w:sz w:val="20"/>
          <w:szCs w:val="20"/>
          <w:lang w:val="en-GB"/>
        </w:rPr>
        <w:t>Abbedut</w:t>
      </w:r>
      <w:r w:rsidR="007A4219">
        <w:rPr>
          <w:color w:val="000000"/>
          <w:sz w:val="20"/>
          <w:szCs w:val="20"/>
          <w:lang w:val="en-GB"/>
        </w:rPr>
        <w:t>o</w:t>
      </w:r>
      <w:proofErr w:type="spellEnd"/>
      <w:r w:rsidR="00B041F6">
        <w:rPr>
          <w:color w:val="000000"/>
          <w:sz w:val="20"/>
          <w:szCs w:val="20"/>
          <w:lang w:val="en-GB"/>
        </w:rPr>
        <w:t xml:space="preserve"> et al., </w:t>
      </w:r>
      <w:r w:rsidR="007A4219">
        <w:rPr>
          <w:color w:val="000000"/>
          <w:sz w:val="20"/>
          <w:szCs w:val="20"/>
          <w:lang w:val="en-GB"/>
        </w:rPr>
        <w:t>2020). All language samples were transcribed using the Systematic Analysis of Language Transcripts software</w:t>
      </w:r>
      <w:r w:rsidR="0080622D">
        <w:rPr>
          <w:color w:val="000000"/>
          <w:sz w:val="20"/>
          <w:szCs w:val="20"/>
          <w:lang w:val="en-GB"/>
        </w:rPr>
        <w:t xml:space="preserve">. Following the coding </w:t>
      </w:r>
      <w:r w:rsidR="008A79C4">
        <w:rPr>
          <w:color w:val="000000"/>
          <w:sz w:val="20"/>
          <w:szCs w:val="20"/>
          <w:lang w:val="en-GB"/>
        </w:rPr>
        <w:t>variables</w:t>
      </w:r>
      <w:r w:rsidR="0080622D">
        <w:rPr>
          <w:color w:val="000000"/>
          <w:sz w:val="20"/>
          <w:szCs w:val="20"/>
          <w:lang w:val="en-GB"/>
        </w:rPr>
        <w:t xml:space="preserve"> from Sterling et al. </w:t>
      </w:r>
      <w:r w:rsidR="006D0BAF">
        <w:rPr>
          <w:color w:val="000000"/>
          <w:sz w:val="20"/>
          <w:szCs w:val="20"/>
          <w:lang w:val="en-GB"/>
        </w:rPr>
        <w:t>(</w:t>
      </w:r>
      <w:r w:rsidR="0080622D">
        <w:rPr>
          <w:color w:val="000000"/>
          <w:sz w:val="20"/>
          <w:szCs w:val="20"/>
          <w:lang w:val="en-GB"/>
        </w:rPr>
        <w:t>2013</w:t>
      </w:r>
      <w:r w:rsidR="006D0BAF">
        <w:rPr>
          <w:color w:val="000000"/>
          <w:sz w:val="20"/>
          <w:szCs w:val="20"/>
          <w:lang w:val="en-GB"/>
        </w:rPr>
        <w:t>)</w:t>
      </w:r>
      <w:r w:rsidR="0080622D">
        <w:rPr>
          <w:color w:val="000000"/>
          <w:sz w:val="20"/>
          <w:szCs w:val="20"/>
          <w:lang w:val="en-GB"/>
        </w:rPr>
        <w:t xml:space="preserve">, dysfluency variables included </w:t>
      </w:r>
      <w:r w:rsidR="008A79C4">
        <w:rPr>
          <w:color w:val="000000"/>
          <w:sz w:val="20"/>
          <w:szCs w:val="20"/>
          <w:lang w:val="en-GB"/>
        </w:rPr>
        <w:t>abandoned utterances</w:t>
      </w:r>
      <w:r w:rsidR="0080622D">
        <w:rPr>
          <w:color w:val="000000"/>
          <w:sz w:val="20"/>
          <w:szCs w:val="20"/>
          <w:lang w:val="en-GB"/>
        </w:rPr>
        <w:t xml:space="preserve">, revisions, repetitions, filled pauses, and a total dysfluency score yielding the sum of </w:t>
      </w:r>
      <w:r w:rsidR="008A79C4">
        <w:rPr>
          <w:color w:val="000000"/>
          <w:sz w:val="20"/>
          <w:szCs w:val="20"/>
          <w:lang w:val="en-GB"/>
        </w:rPr>
        <w:t>abandoned utterances</w:t>
      </w:r>
      <w:r w:rsidR="0080622D">
        <w:rPr>
          <w:color w:val="000000"/>
          <w:sz w:val="20"/>
          <w:szCs w:val="20"/>
          <w:lang w:val="en-GB"/>
        </w:rPr>
        <w:t>, revisions, and repetitions.</w:t>
      </w:r>
      <w:r w:rsidR="00B95C37">
        <w:rPr>
          <w:color w:val="000000"/>
          <w:sz w:val="20"/>
          <w:szCs w:val="20"/>
          <w:lang w:val="en-GB"/>
        </w:rPr>
        <w:t xml:space="preserve"> Data collection is complete and analyses are in progress.   </w:t>
      </w:r>
    </w:p>
    <w:tbl>
      <w:tblPr>
        <w:tblStyle w:val="TableGrid"/>
        <w:tblpPr w:leftFromText="180" w:rightFromText="180" w:vertAnchor="text" w:horzAnchor="page" w:tblpX="6181" w:tblpY="12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250"/>
        <w:gridCol w:w="1250"/>
      </w:tblGrid>
      <w:tr w:rsidR="003D55B3" w14:paraId="40427EBE" w14:textId="77777777" w:rsidTr="003D55B3">
        <w:trPr>
          <w:trHeight w:val="367"/>
        </w:trPr>
        <w:tc>
          <w:tcPr>
            <w:tcW w:w="4745" w:type="dxa"/>
            <w:gridSpan w:val="3"/>
          </w:tcPr>
          <w:p w14:paraId="3B6AC679" w14:textId="77777777" w:rsidR="003D55B3" w:rsidRPr="000558E1" w:rsidRDefault="003D55B3" w:rsidP="003D55B3">
            <w:pPr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0558E1"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  <w:t xml:space="preserve">Table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  <w:t>2</w:t>
            </w:r>
          </w:p>
          <w:p w14:paraId="0A4CD2E0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Descriptive results for working memory tasks</w:t>
            </w:r>
          </w:p>
        </w:tc>
      </w:tr>
      <w:tr w:rsidR="003D55B3" w14:paraId="1738BA54" w14:textId="77777777" w:rsidTr="003D55B3">
        <w:trPr>
          <w:trHeight w:val="183"/>
        </w:trPr>
        <w:tc>
          <w:tcPr>
            <w:tcW w:w="2245" w:type="dxa"/>
          </w:tcPr>
          <w:p w14:paraId="52050EAC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250" w:type="dxa"/>
          </w:tcPr>
          <w:p w14:paraId="2710B98C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FXS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18)</w:t>
            </w:r>
          </w:p>
          <w:p w14:paraId="47AAFA43" w14:textId="77777777" w:rsidR="003D55B3" w:rsidRPr="007B5638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250" w:type="dxa"/>
          </w:tcPr>
          <w:p w14:paraId="054FC458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ASD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17)</w:t>
            </w:r>
          </w:p>
          <w:p w14:paraId="602C1BF0" w14:textId="77777777" w:rsidR="003D55B3" w:rsidRPr="007B5638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</w:tr>
      <w:tr w:rsidR="003D55B3" w14:paraId="7A913F3F" w14:textId="77777777" w:rsidTr="003D55B3">
        <w:trPr>
          <w:trHeight w:val="367"/>
        </w:trPr>
        <w:tc>
          <w:tcPr>
            <w:tcW w:w="2245" w:type="dxa"/>
          </w:tcPr>
          <w:p w14:paraId="7650F0D2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BRIEF-A T-Scores</w:t>
            </w:r>
          </w:p>
          <w:p w14:paraId="1A338CFF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 Working Memory</w:t>
            </w:r>
          </w:p>
          <w:p w14:paraId="46B4CAE8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N-Back Task % Accuracy</w:t>
            </w:r>
          </w:p>
          <w:p w14:paraId="20D90FEF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 0-back</w:t>
            </w:r>
          </w:p>
          <w:p w14:paraId="4244FBA5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 1-back</w:t>
            </w:r>
          </w:p>
          <w:p w14:paraId="6B76CF24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 2-back</w:t>
            </w:r>
          </w:p>
        </w:tc>
        <w:tc>
          <w:tcPr>
            <w:tcW w:w="1250" w:type="dxa"/>
          </w:tcPr>
          <w:p w14:paraId="47F58EFD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  <w:p w14:paraId="327B63F1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58.56(11.78)</w:t>
            </w:r>
          </w:p>
          <w:p w14:paraId="42B5DAD5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  <w:p w14:paraId="559905C1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.98(.05)</w:t>
            </w:r>
          </w:p>
          <w:p w14:paraId="6A7E97ED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.93(.08)</w:t>
            </w:r>
          </w:p>
          <w:p w14:paraId="15973EA2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.72(.12)</w:t>
            </w:r>
          </w:p>
        </w:tc>
        <w:tc>
          <w:tcPr>
            <w:tcW w:w="1250" w:type="dxa"/>
          </w:tcPr>
          <w:p w14:paraId="664A9707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  <w:p w14:paraId="5690E100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54.35(10.39)</w:t>
            </w:r>
          </w:p>
          <w:p w14:paraId="0F14A7B4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  <w:p w14:paraId="26724AAE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.97(.06)</w:t>
            </w:r>
          </w:p>
          <w:p w14:paraId="09A7C816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.97(.03)</w:t>
            </w:r>
          </w:p>
          <w:p w14:paraId="04B3A36D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.71(.12)</w:t>
            </w:r>
          </w:p>
        </w:tc>
      </w:tr>
    </w:tbl>
    <w:p w14:paraId="29F5558C" w14:textId="30E18F68" w:rsidR="00B95C37" w:rsidRDefault="003D6244" w:rsidP="00B95C37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B95C37">
        <w:rPr>
          <w:color w:val="000000"/>
          <w:sz w:val="20"/>
          <w:szCs w:val="20"/>
          <w:lang w:val="en-GB"/>
        </w:rPr>
        <w:t xml:space="preserve">Given our small sample size we have opted for non-parametric tests.  We will conduct Wilcoxon Rank-Sum Tests to assess group differences and Wilcoxon Signed-Rank tests to assess within group differences across sampling contexts. The tables below display the means and standard deviations for the variables for the two groups. </w:t>
      </w:r>
      <w:r w:rsidR="003D55B3">
        <w:rPr>
          <w:color w:val="000000"/>
          <w:sz w:val="20"/>
          <w:szCs w:val="20"/>
          <w:lang w:val="en-GB"/>
        </w:rPr>
        <w:t xml:space="preserve">The dialogue samples were roughly twice as long as the monologue samples (10 vs. 5 minutes) and should be interpreted accordingly. </w:t>
      </w:r>
    </w:p>
    <w:tbl>
      <w:tblPr>
        <w:tblStyle w:val="TableGrid"/>
        <w:tblpPr w:leftFromText="180" w:rightFromText="180" w:vertAnchor="text" w:horzAnchor="margin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250"/>
        <w:gridCol w:w="1250"/>
      </w:tblGrid>
      <w:tr w:rsidR="003D55B3" w14:paraId="2F45C2DE" w14:textId="77777777" w:rsidTr="003D55B3">
        <w:trPr>
          <w:trHeight w:val="367"/>
        </w:trPr>
        <w:tc>
          <w:tcPr>
            <w:tcW w:w="4745" w:type="dxa"/>
            <w:gridSpan w:val="3"/>
          </w:tcPr>
          <w:p w14:paraId="4ECDA6A9" w14:textId="77777777" w:rsidR="003D55B3" w:rsidRPr="000558E1" w:rsidRDefault="003D55B3" w:rsidP="003D55B3">
            <w:pPr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</w:pPr>
            <w:r w:rsidRPr="000558E1"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  <w:t>Table 1</w:t>
            </w:r>
          </w:p>
          <w:p w14:paraId="427F78B0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Participant Information</w:t>
            </w:r>
          </w:p>
        </w:tc>
      </w:tr>
      <w:tr w:rsidR="003D55B3" w14:paraId="6757D604" w14:textId="77777777" w:rsidTr="003D55B3">
        <w:trPr>
          <w:trHeight w:val="183"/>
        </w:trPr>
        <w:tc>
          <w:tcPr>
            <w:tcW w:w="2245" w:type="dxa"/>
          </w:tcPr>
          <w:p w14:paraId="22518AB4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1250" w:type="dxa"/>
          </w:tcPr>
          <w:p w14:paraId="2D42DCE1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FXS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18)</w:t>
            </w:r>
          </w:p>
          <w:p w14:paraId="79207422" w14:textId="77777777" w:rsidR="003D55B3" w:rsidRPr="007B5638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1250" w:type="dxa"/>
          </w:tcPr>
          <w:p w14:paraId="6D1438BB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ASD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17)</w:t>
            </w:r>
          </w:p>
          <w:p w14:paraId="3BD14BDB" w14:textId="77777777" w:rsidR="003D55B3" w:rsidRPr="007B5638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</w:tr>
      <w:tr w:rsidR="003D55B3" w14:paraId="4D4E1212" w14:textId="77777777" w:rsidTr="003D55B3">
        <w:trPr>
          <w:trHeight w:val="485"/>
        </w:trPr>
        <w:tc>
          <w:tcPr>
            <w:tcW w:w="2245" w:type="dxa"/>
          </w:tcPr>
          <w:p w14:paraId="2FBA3FE8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Maternal Age</w:t>
            </w:r>
          </w:p>
          <w:p w14:paraId="173262B4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Maternal Education</w:t>
            </w:r>
          </w:p>
        </w:tc>
        <w:tc>
          <w:tcPr>
            <w:tcW w:w="1250" w:type="dxa"/>
          </w:tcPr>
          <w:p w14:paraId="03014872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44.61 (5.11)</w:t>
            </w:r>
          </w:p>
          <w:p w14:paraId="6344E19A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6.39 (1.65)       </w:t>
            </w:r>
          </w:p>
          <w:p w14:paraId="648FC6E2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50" w:type="dxa"/>
          </w:tcPr>
          <w:p w14:paraId="7ACDB932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44.47 (7.01)</w:t>
            </w:r>
          </w:p>
          <w:p w14:paraId="41469EFC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6.24 (1.48)</w:t>
            </w:r>
          </w:p>
        </w:tc>
      </w:tr>
      <w:tr w:rsidR="003D55B3" w14:paraId="045B5F2E" w14:textId="77777777" w:rsidTr="003D55B3">
        <w:trPr>
          <w:trHeight w:val="485"/>
        </w:trPr>
        <w:tc>
          <w:tcPr>
            <w:tcW w:w="4745" w:type="dxa"/>
            <w:gridSpan w:val="3"/>
          </w:tcPr>
          <w:p w14:paraId="4718254A" w14:textId="77777777" w:rsidR="003D55B3" w:rsidRDefault="003D55B3" w:rsidP="003D55B3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 w:rsidRPr="00322608"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Note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: Maternal education, 6 = BA/BS</w:t>
            </w:r>
          </w:p>
        </w:tc>
      </w:tr>
    </w:tbl>
    <w:p w14:paraId="42B08215" w14:textId="77777777" w:rsidR="003D55B3" w:rsidRDefault="003D55B3" w:rsidP="00671DF9">
      <w:pPr>
        <w:rPr>
          <w:rFonts w:cs="Calibri"/>
          <w:iCs/>
          <w:color w:val="000000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750"/>
        <w:gridCol w:w="1751"/>
        <w:gridCol w:w="1750"/>
        <w:gridCol w:w="1751"/>
      </w:tblGrid>
      <w:tr w:rsidR="00671DF9" w14:paraId="234D8E6E" w14:textId="77777777" w:rsidTr="007C699E">
        <w:tc>
          <w:tcPr>
            <w:tcW w:w="10502" w:type="dxa"/>
            <w:gridSpan w:val="5"/>
          </w:tcPr>
          <w:p w14:paraId="71462D6E" w14:textId="77777777" w:rsidR="00671DF9" w:rsidRPr="003435A7" w:rsidRDefault="00671DF9" w:rsidP="007C699E">
            <w:pPr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</w:pPr>
            <w:bookmarkStart w:id="0" w:name="_Hlk181615665"/>
            <w:r w:rsidRPr="003435A7"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  <w:lastRenderedPageBreak/>
              <w:t xml:space="preserve">Table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  <w:lang w:val="en-GB"/>
              </w:rPr>
              <w:t>3</w:t>
            </w:r>
          </w:p>
          <w:p w14:paraId="2C49B911" w14:textId="77777777" w:rsidR="00671DF9" w:rsidRPr="003435A7" w:rsidRDefault="00671DF9" w:rsidP="007C699E">
            <w:pP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435A7"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Descriptive results for verbal dysfluency measures</w:t>
            </w:r>
          </w:p>
        </w:tc>
      </w:tr>
      <w:tr w:rsidR="00671DF9" w14:paraId="231CA1E4" w14:textId="77777777" w:rsidTr="007C699E">
        <w:tc>
          <w:tcPr>
            <w:tcW w:w="3500" w:type="dxa"/>
          </w:tcPr>
          <w:p w14:paraId="715DCFD9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501" w:type="dxa"/>
            <w:gridSpan w:val="2"/>
          </w:tcPr>
          <w:p w14:paraId="36FBB962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FXS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18)</w:t>
            </w:r>
          </w:p>
          <w:p w14:paraId="7203C0B0" w14:textId="77777777" w:rsidR="00671DF9" w:rsidRPr="00206D67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  <w:tc>
          <w:tcPr>
            <w:tcW w:w="3501" w:type="dxa"/>
            <w:gridSpan w:val="2"/>
          </w:tcPr>
          <w:p w14:paraId="150402D9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ASD (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 xml:space="preserve"> = 17</w:t>
            </w:r>
          </w:p>
          <w:p w14:paraId="55EDE951" w14:textId="77777777" w:rsidR="00671DF9" w:rsidRPr="00206D67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Mean (SD)</w:t>
            </w:r>
          </w:p>
        </w:tc>
      </w:tr>
      <w:tr w:rsidR="00671DF9" w14:paraId="73626030" w14:textId="77777777" w:rsidTr="007C699E">
        <w:tc>
          <w:tcPr>
            <w:tcW w:w="3500" w:type="dxa"/>
          </w:tcPr>
          <w:p w14:paraId="1C7B7D06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50" w:type="dxa"/>
          </w:tcPr>
          <w:p w14:paraId="487816D0" w14:textId="16AF5EA5" w:rsidR="00671DF9" w:rsidRDefault="00DE43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Monologue</w:t>
            </w:r>
          </w:p>
        </w:tc>
        <w:tc>
          <w:tcPr>
            <w:tcW w:w="1751" w:type="dxa"/>
          </w:tcPr>
          <w:p w14:paraId="420FF5EA" w14:textId="71812FF4" w:rsidR="00671DF9" w:rsidRDefault="00DE43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Dialogue</w:t>
            </w:r>
          </w:p>
        </w:tc>
        <w:tc>
          <w:tcPr>
            <w:tcW w:w="1750" w:type="dxa"/>
          </w:tcPr>
          <w:p w14:paraId="7959EF5E" w14:textId="04198C05" w:rsidR="00671DF9" w:rsidRDefault="00DE43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Monologue</w:t>
            </w:r>
          </w:p>
        </w:tc>
        <w:tc>
          <w:tcPr>
            <w:tcW w:w="1751" w:type="dxa"/>
          </w:tcPr>
          <w:p w14:paraId="0A40CF6E" w14:textId="631D5057" w:rsidR="00671DF9" w:rsidRDefault="00DE43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Dialogue</w:t>
            </w:r>
          </w:p>
        </w:tc>
      </w:tr>
      <w:tr w:rsidR="00671DF9" w14:paraId="7681F223" w14:textId="77777777" w:rsidTr="007C699E">
        <w:tc>
          <w:tcPr>
            <w:tcW w:w="3500" w:type="dxa"/>
          </w:tcPr>
          <w:p w14:paraId="2010F83E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Abandoned Utterances</w:t>
            </w:r>
          </w:p>
          <w:p w14:paraId="46101E17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Revisions</w:t>
            </w:r>
          </w:p>
          <w:p w14:paraId="735F41B4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Repetitions</w:t>
            </w:r>
          </w:p>
          <w:p w14:paraId="28687F11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Filled Pauses</w:t>
            </w:r>
          </w:p>
          <w:p w14:paraId="4BDF7F93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Total Dysfluencies</w:t>
            </w:r>
          </w:p>
        </w:tc>
        <w:tc>
          <w:tcPr>
            <w:tcW w:w="1750" w:type="dxa"/>
          </w:tcPr>
          <w:p w14:paraId="582E006B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1.78 (1.83)</w:t>
            </w:r>
          </w:p>
          <w:p w14:paraId="77D2F6CA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8.33 (5.18)</w:t>
            </w:r>
          </w:p>
          <w:p w14:paraId="73528F20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5.89 (5.83)</w:t>
            </w:r>
          </w:p>
          <w:p w14:paraId="4149C69F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25 (13.85)</w:t>
            </w:r>
          </w:p>
          <w:p w14:paraId="46558F50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16 (9.86)</w:t>
            </w:r>
          </w:p>
        </w:tc>
        <w:tc>
          <w:tcPr>
            <w:tcW w:w="1751" w:type="dxa"/>
          </w:tcPr>
          <w:p w14:paraId="5B67C9D3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7.23 (4.65)</w:t>
            </w:r>
          </w:p>
          <w:p w14:paraId="37B694B8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21.61 (9.46)</w:t>
            </w:r>
          </w:p>
          <w:p w14:paraId="7274345A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13.78 (11.98)</w:t>
            </w:r>
          </w:p>
          <w:p w14:paraId="6F0954E8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41.56 (19.78)</w:t>
            </w:r>
          </w:p>
          <w:p w14:paraId="540B3DFE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42.67 (22.07)</w:t>
            </w:r>
          </w:p>
        </w:tc>
        <w:tc>
          <w:tcPr>
            <w:tcW w:w="1750" w:type="dxa"/>
          </w:tcPr>
          <w:p w14:paraId="4E5620E6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3.35 (3.28)</w:t>
            </w:r>
          </w:p>
          <w:p w14:paraId="5938F969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10.18 (6.39)</w:t>
            </w:r>
          </w:p>
          <w:p w14:paraId="79C51386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6.65 (6.36)</w:t>
            </w:r>
          </w:p>
          <w:p w14:paraId="188AE87A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29.24 (16.99)</w:t>
            </w:r>
          </w:p>
          <w:p w14:paraId="24056045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20.18 (10.67)</w:t>
            </w:r>
          </w:p>
        </w:tc>
        <w:tc>
          <w:tcPr>
            <w:tcW w:w="1751" w:type="dxa"/>
          </w:tcPr>
          <w:p w14:paraId="7D4B09A2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13.12 (7.11)</w:t>
            </w:r>
          </w:p>
          <w:p w14:paraId="42BD927F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31.41 (13.99)</w:t>
            </w:r>
          </w:p>
          <w:p w14:paraId="7DA9FBB5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13.59 (9.04)</w:t>
            </w:r>
          </w:p>
          <w:p w14:paraId="7D2A4C55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45.24 (22.59)</w:t>
            </w:r>
          </w:p>
          <w:p w14:paraId="5ABF4333" w14:textId="77777777" w:rsidR="00671DF9" w:rsidRDefault="00671DF9" w:rsidP="007C699E">
            <w:pP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Calibri"/>
                <w:iCs/>
                <w:color w:val="000000"/>
                <w:sz w:val="20"/>
                <w:szCs w:val="20"/>
                <w:lang w:val="en-GB"/>
              </w:rPr>
              <w:t>58.12 (20.73)</w:t>
            </w:r>
          </w:p>
        </w:tc>
      </w:tr>
      <w:bookmarkEnd w:id="0"/>
    </w:tbl>
    <w:p w14:paraId="336F8F73" w14:textId="77777777" w:rsidR="00EA4EF0" w:rsidRDefault="00EA4EF0" w:rsidP="003D6244">
      <w:pPr>
        <w:rPr>
          <w:b/>
          <w:iCs/>
          <w:color w:val="000000"/>
          <w:sz w:val="20"/>
          <w:szCs w:val="20"/>
          <w:lang w:val="en-GB"/>
        </w:rPr>
      </w:pPr>
    </w:p>
    <w:p w14:paraId="7AC50376" w14:textId="39633082" w:rsidR="003D6244" w:rsidRPr="00912A2A" w:rsidRDefault="003D6244" w:rsidP="00A41ED7">
      <w:pPr>
        <w:rPr>
          <w:bCs/>
          <w:iCs/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E325DF" w:rsidRPr="00912A2A">
        <w:rPr>
          <w:bCs/>
          <w:iCs/>
          <w:color w:val="000000"/>
          <w:sz w:val="20"/>
          <w:szCs w:val="20"/>
          <w:lang w:val="en-GB"/>
        </w:rPr>
        <w:t>Consistent with previous research</w:t>
      </w:r>
      <w:r w:rsidR="007E3B51">
        <w:rPr>
          <w:bCs/>
          <w:iCs/>
          <w:color w:val="000000"/>
          <w:sz w:val="20"/>
          <w:szCs w:val="20"/>
          <w:lang w:val="en-GB"/>
        </w:rPr>
        <w:t xml:space="preserve"> (e.g., </w:t>
      </w:r>
      <w:proofErr w:type="spellStart"/>
      <w:r w:rsidR="007E3B51">
        <w:rPr>
          <w:bCs/>
          <w:iCs/>
          <w:color w:val="000000"/>
          <w:sz w:val="20"/>
          <w:szCs w:val="20"/>
          <w:lang w:val="en-GB"/>
        </w:rPr>
        <w:t>Movaghar</w:t>
      </w:r>
      <w:proofErr w:type="spellEnd"/>
      <w:r w:rsidR="007E3B51">
        <w:rPr>
          <w:bCs/>
          <w:iCs/>
          <w:color w:val="000000"/>
          <w:sz w:val="20"/>
          <w:szCs w:val="20"/>
          <w:lang w:val="en-GB"/>
        </w:rPr>
        <w:t xml:space="preserve"> et al., 2017)</w:t>
      </w:r>
      <w:r w:rsidR="002158AF" w:rsidRPr="00912A2A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BA786C">
        <w:rPr>
          <w:bCs/>
          <w:iCs/>
          <w:color w:val="000000"/>
          <w:sz w:val="20"/>
          <w:szCs w:val="20"/>
          <w:lang w:val="en-GB"/>
        </w:rPr>
        <w:t>p</w:t>
      </w:r>
      <w:r w:rsidR="00F308F9" w:rsidRPr="00912A2A">
        <w:rPr>
          <w:bCs/>
          <w:iCs/>
          <w:color w:val="000000"/>
          <w:sz w:val="20"/>
          <w:szCs w:val="20"/>
          <w:lang w:val="en-GB"/>
        </w:rPr>
        <w:t xml:space="preserve">reliminary findings </w:t>
      </w:r>
      <w:r w:rsidR="0048790C" w:rsidRPr="00912A2A">
        <w:rPr>
          <w:bCs/>
          <w:iCs/>
          <w:color w:val="000000"/>
          <w:sz w:val="20"/>
          <w:szCs w:val="20"/>
          <w:lang w:val="en-GB"/>
        </w:rPr>
        <w:t xml:space="preserve">suggest </w:t>
      </w:r>
      <w:r w:rsidR="00392992" w:rsidRPr="00912A2A">
        <w:rPr>
          <w:bCs/>
          <w:iCs/>
          <w:color w:val="000000"/>
          <w:sz w:val="20"/>
          <w:szCs w:val="20"/>
          <w:lang w:val="en-GB"/>
        </w:rPr>
        <w:t>that</w:t>
      </w:r>
      <w:r w:rsidR="00F308F9" w:rsidRPr="00912A2A">
        <w:rPr>
          <w:bCs/>
          <w:iCs/>
          <w:color w:val="000000"/>
          <w:sz w:val="20"/>
          <w:szCs w:val="20"/>
          <w:lang w:val="en-GB"/>
        </w:rPr>
        <w:t xml:space="preserve"> relative to mothers of autistic children, premutation carriers </w:t>
      </w:r>
      <w:r w:rsidR="00CE1BAD" w:rsidRPr="00912A2A">
        <w:rPr>
          <w:bCs/>
          <w:iCs/>
          <w:color w:val="000000"/>
          <w:sz w:val="20"/>
          <w:szCs w:val="20"/>
          <w:lang w:val="en-GB"/>
        </w:rPr>
        <w:t xml:space="preserve">report greater difficulty with </w:t>
      </w:r>
      <w:r w:rsidR="00421A09" w:rsidRPr="00912A2A">
        <w:rPr>
          <w:bCs/>
          <w:iCs/>
          <w:color w:val="000000"/>
          <w:sz w:val="20"/>
          <w:szCs w:val="20"/>
          <w:lang w:val="en-GB"/>
        </w:rPr>
        <w:t>EF</w:t>
      </w:r>
      <w:r w:rsidR="00CE1BAD" w:rsidRPr="00912A2A">
        <w:rPr>
          <w:bCs/>
          <w:iCs/>
          <w:color w:val="000000"/>
          <w:sz w:val="20"/>
          <w:szCs w:val="20"/>
          <w:lang w:val="en-GB"/>
        </w:rPr>
        <w:t xml:space="preserve"> on </w:t>
      </w:r>
      <w:r w:rsidR="0048790C" w:rsidRPr="00912A2A">
        <w:rPr>
          <w:bCs/>
          <w:iCs/>
          <w:color w:val="000000"/>
          <w:sz w:val="20"/>
          <w:szCs w:val="20"/>
          <w:lang w:val="en-GB"/>
        </w:rPr>
        <w:t>the BRIEF-A</w:t>
      </w:r>
      <w:r w:rsidR="00E325DF" w:rsidRPr="00912A2A">
        <w:rPr>
          <w:bCs/>
          <w:iCs/>
          <w:color w:val="000000"/>
          <w:sz w:val="20"/>
          <w:szCs w:val="20"/>
          <w:lang w:val="en-GB"/>
        </w:rPr>
        <w:t xml:space="preserve">. </w:t>
      </w:r>
      <w:r w:rsidR="00A5559F" w:rsidRPr="00912A2A">
        <w:rPr>
          <w:bCs/>
          <w:iCs/>
          <w:color w:val="000000"/>
          <w:sz w:val="20"/>
          <w:szCs w:val="20"/>
          <w:lang w:val="en-GB"/>
        </w:rPr>
        <w:t xml:space="preserve">Interestingly, our </w:t>
      </w:r>
      <w:r w:rsidR="00CD6D92" w:rsidRPr="00912A2A">
        <w:rPr>
          <w:bCs/>
          <w:iCs/>
          <w:color w:val="000000"/>
          <w:sz w:val="20"/>
          <w:szCs w:val="20"/>
          <w:lang w:val="en-GB"/>
        </w:rPr>
        <w:t xml:space="preserve">preliminary findings </w:t>
      </w:r>
      <w:r w:rsidR="007C032F" w:rsidRPr="00912A2A">
        <w:rPr>
          <w:bCs/>
          <w:iCs/>
          <w:color w:val="000000"/>
          <w:sz w:val="20"/>
          <w:szCs w:val="20"/>
          <w:lang w:val="en-GB"/>
        </w:rPr>
        <w:t xml:space="preserve">do not yet indicate </w:t>
      </w:r>
      <w:r w:rsidR="00B336B2" w:rsidRPr="00912A2A">
        <w:rPr>
          <w:bCs/>
          <w:iCs/>
          <w:color w:val="000000"/>
          <w:sz w:val="20"/>
          <w:szCs w:val="20"/>
          <w:lang w:val="en-GB"/>
        </w:rPr>
        <w:t xml:space="preserve">differences </w:t>
      </w:r>
      <w:r w:rsidR="003D74D0" w:rsidRPr="00912A2A">
        <w:rPr>
          <w:bCs/>
          <w:iCs/>
          <w:color w:val="000000"/>
          <w:sz w:val="20"/>
          <w:szCs w:val="20"/>
          <w:lang w:val="en-GB"/>
        </w:rPr>
        <w:t>in dysfluency</w:t>
      </w:r>
      <w:r w:rsidR="00392992" w:rsidRPr="00912A2A">
        <w:rPr>
          <w:bCs/>
          <w:iCs/>
          <w:color w:val="000000"/>
          <w:sz w:val="20"/>
          <w:szCs w:val="20"/>
          <w:lang w:val="en-GB"/>
        </w:rPr>
        <w:t xml:space="preserve"> in the monologue condition</w:t>
      </w:r>
      <w:r w:rsidR="003D74D0" w:rsidRPr="00912A2A">
        <w:rPr>
          <w:bCs/>
          <w:iCs/>
          <w:color w:val="000000"/>
          <w:sz w:val="20"/>
          <w:szCs w:val="20"/>
          <w:lang w:val="en-GB"/>
        </w:rPr>
        <w:t xml:space="preserve"> between the groups as seen in </w:t>
      </w:r>
      <w:r w:rsidR="00A86701" w:rsidRPr="00912A2A">
        <w:rPr>
          <w:bCs/>
          <w:iCs/>
          <w:color w:val="000000"/>
          <w:sz w:val="20"/>
          <w:szCs w:val="20"/>
          <w:lang w:val="en-GB"/>
        </w:rPr>
        <w:t>prior studies</w:t>
      </w:r>
      <w:r w:rsidR="008B7108" w:rsidRPr="00912A2A">
        <w:rPr>
          <w:bCs/>
          <w:iCs/>
          <w:color w:val="000000"/>
          <w:sz w:val="20"/>
          <w:szCs w:val="20"/>
          <w:lang w:val="en-GB"/>
        </w:rPr>
        <w:t xml:space="preserve"> (e.g., Sterling et al., 2013)</w:t>
      </w:r>
      <w:r w:rsidR="00A86701" w:rsidRPr="00912A2A">
        <w:rPr>
          <w:bCs/>
          <w:iCs/>
          <w:color w:val="000000"/>
          <w:sz w:val="20"/>
          <w:szCs w:val="20"/>
          <w:lang w:val="en-GB"/>
        </w:rPr>
        <w:t xml:space="preserve">, though </w:t>
      </w:r>
      <w:r w:rsidR="00985B5E" w:rsidRPr="00912A2A">
        <w:rPr>
          <w:bCs/>
          <w:iCs/>
          <w:color w:val="000000"/>
          <w:sz w:val="20"/>
          <w:szCs w:val="20"/>
          <w:lang w:val="en-GB"/>
        </w:rPr>
        <w:t xml:space="preserve">additional </w:t>
      </w:r>
      <w:r w:rsidR="00A86701" w:rsidRPr="00912A2A">
        <w:rPr>
          <w:bCs/>
          <w:iCs/>
          <w:color w:val="000000"/>
          <w:sz w:val="20"/>
          <w:szCs w:val="20"/>
          <w:lang w:val="en-GB"/>
        </w:rPr>
        <w:t>analysis is</w:t>
      </w:r>
      <w:r w:rsidR="00D917E4" w:rsidRPr="00912A2A">
        <w:rPr>
          <w:bCs/>
          <w:iCs/>
          <w:color w:val="000000"/>
          <w:sz w:val="20"/>
          <w:szCs w:val="20"/>
          <w:lang w:val="en-GB"/>
        </w:rPr>
        <w:t xml:space="preserve"> warranted</w:t>
      </w:r>
      <w:r w:rsidR="003D74D0" w:rsidRPr="00912A2A">
        <w:rPr>
          <w:bCs/>
          <w:iCs/>
          <w:color w:val="000000"/>
          <w:sz w:val="20"/>
          <w:szCs w:val="20"/>
          <w:lang w:val="en-GB"/>
        </w:rPr>
        <w:t>.</w:t>
      </w:r>
      <w:r w:rsidR="002B551D" w:rsidRPr="00912A2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1A0FDE" w:rsidRPr="00912A2A">
        <w:rPr>
          <w:bCs/>
          <w:iCs/>
          <w:color w:val="000000"/>
          <w:sz w:val="20"/>
          <w:szCs w:val="20"/>
          <w:lang w:val="en-GB"/>
        </w:rPr>
        <w:t>B</w:t>
      </w:r>
      <w:r w:rsidR="002B551D" w:rsidRPr="00912A2A">
        <w:rPr>
          <w:bCs/>
          <w:iCs/>
          <w:color w:val="000000"/>
          <w:sz w:val="20"/>
          <w:szCs w:val="20"/>
          <w:lang w:val="en-GB"/>
        </w:rPr>
        <w:t>oth groups demonstrate m</w:t>
      </w:r>
      <w:r w:rsidR="00E25574" w:rsidRPr="00912A2A">
        <w:rPr>
          <w:bCs/>
          <w:iCs/>
          <w:color w:val="000000"/>
          <w:sz w:val="20"/>
          <w:szCs w:val="20"/>
          <w:lang w:val="en-GB"/>
        </w:rPr>
        <w:t xml:space="preserve">ore dysfluencies across </w:t>
      </w:r>
      <w:r w:rsidR="00A478AE" w:rsidRPr="00912A2A">
        <w:rPr>
          <w:bCs/>
          <w:iCs/>
          <w:color w:val="000000"/>
          <w:sz w:val="20"/>
          <w:szCs w:val="20"/>
          <w:lang w:val="en-GB"/>
        </w:rPr>
        <w:t>all</w:t>
      </w:r>
      <w:r w:rsidR="00912A2A" w:rsidRPr="00912A2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A478AE" w:rsidRPr="00912A2A">
        <w:rPr>
          <w:bCs/>
          <w:iCs/>
          <w:color w:val="000000"/>
          <w:sz w:val="20"/>
          <w:szCs w:val="20"/>
          <w:lang w:val="en-GB"/>
        </w:rPr>
        <w:t>v</w:t>
      </w:r>
      <w:r w:rsidR="00E25574" w:rsidRPr="00912A2A">
        <w:rPr>
          <w:bCs/>
          <w:iCs/>
          <w:color w:val="000000"/>
          <w:sz w:val="20"/>
          <w:szCs w:val="20"/>
          <w:lang w:val="en-GB"/>
        </w:rPr>
        <w:t xml:space="preserve">ariables in the dialogue versus monologue conditions, </w:t>
      </w:r>
      <w:r w:rsidR="008B7108" w:rsidRPr="00912A2A">
        <w:rPr>
          <w:bCs/>
          <w:iCs/>
          <w:color w:val="000000"/>
          <w:sz w:val="20"/>
          <w:szCs w:val="20"/>
          <w:lang w:val="en-GB"/>
        </w:rPr>
        <w:t>which is consistent with previous research (e.g., Oviatt, 1995)</w:t>
      </w:r>
      <w:r w:rsidR="001A0FDE" w:rsidRPr="00912A2A">
        <w:rPr>
          <w:bCs/>
          <w:iCs/>
          <w:color w:val="000000"/>
          <w:sz w:val="20"/>
          <w:szCs w:val="20"/>
          <w:lang w:val="en-GB"/>
        </w:rPr>
        <w:t xml:space="preserve"> and indicates </w:t>
      </w:r>
      <w:r w:rsidR="005E4516" w:rsidRPr="00912A2A">
        <w:rPr>
          <w:bCs/>
          <w:iCs/>
          <w:color w:val="000000"/>
          <w:sz w:val="20"/>
          <w:szCs w:val="20"/>
          <w:lang w:val="en-GB"/>
        </w:rPr>
        <w:t xml:space="preserve">the importance of capturing </w:t>
      </w:r>
      <w:r w:rsidR="000A389E">
        <w:rPr>
          <w:bCs/>
          <w:iCs/>
          <w:color w:val="000000"/>
          <w:sz w:val="20"/>
          <w:szCs w:val="20"/>
          <w:lang w:val="en-GB"/>
        </w:rPr>
        <w:t xml:space="preserve">and understanding differences in </w:t>
      </w:r>
      <w:r w:rsidR="005E4516" w:rsidRPr="00912A2A">
        <w:rPr>
          <w:bCs/>
          <w:iCs/>
          <w:color w:val="000000"/>
          <w:sz w:val="20"/>
          <w:szCs w:val="20"/>
          <w:lang w:val="en-GB"/>
        </w:rPr>
        <w:t>language samples across a range of contexts.</w:t>
      </w:r>
      <w:r w:rsidR="00C7037F" w:rsidRPr="00912A2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985B5E" w:rsidRPr="00912A2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9A4E34">
        <w:rPr>
          <w:bCs/>
          <w:iCs/>
          <w:color w:val="000000"/>
          <w:sz w:val="20"/>
          <w:szCs w:val="20"/>
          <w:lang w:val="en-GB"/>
        </w:rPr>
        <w:t>Future analyses will continue as described</w:t>
      </w:r>
      <w:r w:rsidR="003F6259">
        <w:rPr>
          <w:bCs/>
          <w:iCs/>
          <w:color w:val="000000"/>
          <w:sz w:val="20"/>
          <w:szCs w:val="20"/>
          <w:lang w:val="en-GB"/>
        </w:rPr>
        <w:t xml:space="preserve"> to address our aims</w:t>
      </w:r>
      <w:r w:rsidR="00D433A6" w:rsidRPr="00912A2A">
        <w:rPr>
          <w:bCs/>
          <w:iCs/>
          <w:color w:val="000000"/>
          <w:sz w:val="20"/>
          <w:szCs w:val="20"/>
          <w:lang w:val="en-GB"/>
        </w:rPr>
        <w:t xml:space="preserve">. </w:t>
      </w:r>
      <w:r w:rsidR="00912A2A" w:rsidRPr="00912A2A">
        <w:rPr>
          <w:bCs/>
          <w:iCs/>
          <w:color w:val="000000"/>
          <w:sz w:val="20"/>
          <w:szCs w:val="20"/>
          <w:lang w:val="en-GB"/>
        </w:rPr>
        <w:t>These</w:t>
      </w:r>
      <w:r w:rsidR="00B336B2" w:rsidRPr="00912A2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E35898" w:rsidRPr="00912A2A">
        <w:rPr>
          <w:bCs/>
          <w:iCs/>
          <w:color w:val="000000"/>
          <w:sz w:val="20"/>
          <w:szCs w:val="20"/>
          <w:lang w:val="en-GB"/>
        </w:rPr>
        <w:t xml:space="preserve">findings will contribute to the growing body of work targeted at analysing language and cognitive characteristics of females with the </w:t>
      </w:r>
      <w:r w:rsidR="00E35898" w:rsidRPr="00912A2A">
        <w:rPr>
          <w:bCs/>
          <w:i/>
          <w:iCs/>
          <w:color w:val="000000"/>
          <w:sz w:val="20"/>
          <w:szCs w:val="20"/>
          <w:lang w:val="en-GB"/>
        </w:rPr>
        <w:t>FMR1</w:t>
      </w:r>
      <w:r w:rsidR="00E35898" w:rsidRPr="00912A2A">
        <w:rPr>
          <w:bCs/>
          <w:iCs/>
          <w:color w:val="000000"/>
          <w:sz w:val="20"/>
          <w:szCs w:val="20"/>
          <w:lang w:val="en-GB"/>
        </w:rPr>
        <w:t xml:space="preserve"> premutation. </w:t>
      </w:r>
    </w:p>
    <w:p w14:paraId="5E4CA21C" w14:textId="1F7AE386" w:rsidR="00EA4EF0" w:rsidRPr="00EA4EF0" w:rsidRDefault="00EA4EF0" w:rsidP="00E07B7C">
      <w:pPr>
        <w:pStyle w:val="EndNoteBibliography"/>
        <w:spacing w:after="0"/>
        <w:ind w:left="720" w:hanging="720"/>
        <w:rPr>
          <w:rFonts w:asciiTheme="minorHAnsi" w:hAnsiTheme="minorHAnsi" w:cstheme="minorHAnsi"/>
          <w:b/>
        </w:rPr>
      </w:pPr>
      <w:r w:rsidRPr="00EA4EF0">
        <w:rPr>
          <w:rFonts w:asciiTheme="minorHAnsi" w:hAnsiTheme="minorHAnsi" w:cstheme="minorHAnsi"/>
          <w:b/>
        </w:rPr>
        <w:t>References:</w:t>
      </w:r>
    </w:p>
    <w:p w14:paraId="689547D9" w14:textId="1F4CBF1E" w:rsidR="00E07B7C" w:rsidRPr="00E07B7C" w:rsidRDefault="00E07B7C" w:rsidP="00E07B7C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E07B7C">
        <w:rPr>
          <w:rFonts w:asciiTheme="minorHAnsi" w:hAnsiTheme="minorHAnsi" w:cstheme="minorHAnsi"/>
        </w:rPr>
        <w:t xml:space="preserve">Abbeduto, L., Berry-Kravis, E., Sterling, A., Sherman, S., Edgin, J. O., McDuffie, A., Hoffmann, A., Hamilton, D., Nelson, M., Aschkenasy, J., &amp; Thurman, A. J. (2020). Expressive language sampling as a source of outcome measures for treatment studies in fragile X syndrome: feasibility, practice effects, test-retest reliability, and construct validity. </w:t>
      </w:r>
      <w:r w:rsidRPr="00E07B7C">
        <w:rPr>
          <w:rFonts w:asciiTheme="minorHAnsi" w:hAnsiTheme="minorHAnsi" w:cstheme="minorHAnsi"/>
          <w:i/>
        </w:rPr>
        <w:t>Journal of Neurodevelopmental Disorders</w:t>
      </w:r>
      <w:r w:rsidRPr="00E07B7C">
        <w:rPr>
          <w:rFonts w:asciiTheme="minorHAnsi" w:hAnsiTheme="minorHAnsi" w:cstheme="minorHAnsi"/>
        </w:rPr>
        <w:t>,</w:t>
      </w:r>
      <w:r w:rsidRPr="00E07B7C">
        <w:rPr>
          <w:rFonts w:asciiTheme="minorHAnsi" w:hAnsiTheme="minorHAnsi" w:cstheme="minorHAnsi"/>
          <w:i/>
        </w:rPr>
        <w:t xml:space="preserve"> 12</w:t>
      </w:r>
      <w:r w:rsidRPr="00E07B7C">
        <w:rPr>
          <w:rFonts w:asciiTheme="minorHAnsi" w:hAnsiTheme="minorHAnsi" w:cstheme="minorHAnsi"/>
        </w:rPr>
        <w:t xml:space="preserve">(1), 10. </w:t>
      </w:r>
      <w:hyperlink r:id="rId11" w:history="1">
        <w:r w:rsidRPr="00E07B7C">
          <w:rPr>
            <w:rStyle w:val="Hyperlink"/>
            <w:rFonts w:asciiTheme="minorHAnsi" w:hAnsiTheme="minorHAnsi" w:cstheme="minorHAnsi"/>
          </w:rPr>
          <w:t>https://doi.org/10.1186/s11689-020-09313-6</w:t>
        </w:r>
      </w:hyperlink>
      <w:r w:rsidRPr="00E07B7C">
        <w:rPr>
          <w:rFonts w:asciiTheme="minorHAnsi" w:hAnsiTheme="minorHAnsi" w:cstheme="minorHAnsi"/>
        </w:rPr>
        <w:t xml:space="preserve"> </w:t>
      </w:r>
    </w:p>
    <w:p w14:paraId="5CE3BA48" w14:textId="42022D6B" w:rsidR="00E07B7C" w:rsidRPr="00E07B7C" w:rsidRDefault="00E07B7C" w:rsidP="00E07B7C">
      <w:pPr>
        <w:spacing w:after="0" w:line="240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Bredin-Oja, S. L., Warren, S. F., Swinburne Romine, R. E., Fleming, K. K., Brady, N., &amp; Berry-</w:t>
      </w:r>
    </w:p>
    <w:p w14:paraId="276E49DA" w14:textId="77777777" w:rsidR="00E07B7C" w:rsidRPr="00E07B7C" w:rsidRDefault="00E07B7C" w:rsidP="00E07B7C">
      <w:pPr>
        <w:spacing w:after="0" w:line="240" w:lineRule="auto"/>
        <w:ind w:left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Kravis, E. (2021). Word retrieval difficulty in adult females with the FMR1 premutation: Changes over time and across contexts.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Brain and Cognition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148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105694. </w:t>
      </w:r>
      <w:hyperlink r:id="rId12" w:history="1">
        <w:r w:rsidRPr="00E07B7C">
          <w:rPr>
            <w:rFonts w:ascii="Calibri" w:eastAsia="Aptos" w:hAnsi="Calibri" w:cs="Calibri"/>
            <w:color w:val="467886"/>
            <w:kern w:val="2"/>
            <w:sz w:val="20"/>
            <w:szCs w:val="20"/>
            <w:u w:val="single"/>
            <w14:ligatures w14:val="standardContextual"/>
          </w:rPr>
          <w:t>https://doi.org/10.1016/j.bandc.2021.105694</w:t>
        </w:r>
      </w:hyperlink>
    </w:p>
    <w:p w14:paraId="4D140709" w14:textId="77777777" w:rsidR="00E07B7C" w:rsidRPr="00E07B7C" w:rsidRDefault="00E07B7C" w:rsidP="00E07B7C">
      <w:pPr>
        <w:spacing w:after="0" w:line="240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Ellis Weismer, S., Davidson, M. M., Gangopadhyay, I., Sindberg, H., Roebuck, H., &amp; </w:t>
      </w:r>
    </w:p>
    <w:p w14:paraId="5BBCDBA6" w14:textId="77777777" w:rsidR="007E5814" w:rsidRDefault="00E07B7C" w:rsidP="007E5814">
      <w:pPr>
        <w:spacing w:after="0" w:line="240" w:lineRule="auto"/>
        <w:ind w:left="720"/>
        <w:rPr>
          <w:rFonts w:ascii="Calibri" w:eastAsia="Aptos" w:hAnsi="Calibri" w:cs="Calibri"/>
          <w:color w:val="467886"/>
          <w:kern w:val="2"/>
          <w:sz w:val="20"/>
          <w:szCs w:val="20"/>
          <w:u w:val="single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Kaushanskaya, M. (2017). The role of nonverbal working memory in morphosyntactic processing by children with specific language impairment and autism spectrum disorders.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Journal of Neurodevelopmental Disorders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9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(1), 28. </w:t>
      </w:r>
      <w:hyperlink r:id="rId13" w:history="1">
        <w:r w:rsidRPr="00E07B7C">
          <w:rPr>
            <w:rFonts w:ascii="Calibri" w:eastAsia="Aptos" w:hAnsi="Calibri" w:cs="Calibri"/>
            <w:color w:val="467886"/>
            <w:kern w:val="2"/>
            <w:sz w:val="20"/>
            <w:szCs w:val="20"/>
            <w:u w:val="single"/>
            <w14:ligatures w14:val="standardContextual"/>
          </w:rPr>
          <w:t>https://doi.org/10.1186/s11689-017-9209-6</w:t>
        </w:r>
      </w:hyperlink>
    </w:p>
    <w:p w14:paraId="4B78D499" w14:textId="245B4042" w:rsidR="007E5814" w:rsidRPr="003233CC" w:rsidRDefault="007E5814" w:rsidP="003233CC">
      <w:pPr>
        <w:spacing w:after="0" w:line="240" w:lineRule="auto"/>
        <w:ind w:left="720" w:hanging="720"/>
        <w:rPr>
          <w:rFonts w:ascii="Calibri" w:eastAsia="Aptos" w:hAnsi="Calibri" w:cs="Calibri"/>
          <w:color w:val="467886"/>
          <w:kern w:val="2"/>
          <w:sz w:val="20"/>
          <w:szCs w:val="20"/>
          <w:u w:val="single"/>
          <w14:ligatures w14:val="standardContextual"/>
        </w:rPr>
      </w:pPr>
      <w:r w:rsidRPr="007E5814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Engelhardt, P. E., Corley, M., Nigg, J. T., &amp; Ferreira, F. (2010). The role of inhibition in the production of disfluencies. Memory and Cognition, 38(5), 617–628. https://doi.org/10.3758/MC.38.5.617</w:t>
      </w:r>
    </w:p>
    <w:p w14:paraId="22EB543F" w14:textId="7CDF8D94" w:rsidR="007E5814" w:rsidRPr="00E07B7C" w:rsidRDefault="007E5814" w:rsidP="003233CC">
      <w:pPr>
        <w:spacing w:after="0" w:line="240" w:lineRule="auto"/>
        <w:ind w:left="720" w:hanging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7E5814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Engelhardt, P. E., </w:t>
      </w:r>
      <w:proofErr w:type="spellStart"/>
      <w:r w:rsidRPr="007E5814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McMullon</w:t>
      </w:r>
      <w:proofErr w:type="spellEnd"/>
      <w:r w:rsidRPr="007E5814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M. E. G., &amp; Corley, M. (2019). Individual differences in the production of disfluency: A latent variable analysis of memory ability and verbal intelligence. Quarterly Journal of Experimental Psychology, 72(5), 1084–1101. </w:t>
      </w:r>
      <w:hyperlink r:id="rId14" w:history="1">
        <w:r w:rsidRPr="004141CC">
          <w:rPr>
            <w:rStyle w:val="Hyperlink"/>
            <w:rFonts w:ascii="Calibri" w:eastAsia="Aptos" w:hAnsi="Calibri" w:cs="Calibri"/>
            <w:kern w:val="2"/>
            <w:sz w:val="20"/>
            <w:szCs w:val="20"/>
            <w14:ligatures w14:val="standardContextual"/>
          </w:rPr>
          <w:t>https://doi.o</w:t>
        </w:r>
        <w:r w:rsidRPr="004141CC">
          <w:rPr>
            <w:rStyle w:val="Hyperlink"/>
            <w:rFonts w:ascii="Calibri" w:eastAsia="Aptos" w:hAnsi="Calibri" w:cs="Calibri"/>
            <w:kern w:val="2"/>
            <w:sz w:val="20"/>
            <w:szCs w:val="20"/>
            <w14:ligatures w14:val="standardContextual"/>
          </w:rPr>
          <w:t>r</w:t>
        </w:r>
        <w:r w:rsidRPr="004141CC">
          <w:rPr>
            <w:rStyle w:val="Hyperlink"/>
            <w:rFonts w:ascii="Calibri" w:eastAsia="Aptos" w:hAnsi="Calibri" w:cs="Calibri"/>
            <w:kern w:val="2"/>
            <w:sz w:val="20"/>
            <w:szCs w:val="20"/>
            <w14:ligatures w14:val="standardContextual"/>
          </w:rPr>
          <w:t>g/10.1177/1747021818778752</w:t>
        </w:r>
      </w:hyperlink>
    </w:p>
    <w:p w14:paraId="6AD9F1A2" w14:textId="6513890E" w:rsidR="00E07B7C" w:rsidRPr="007D6CAE" w:rsidRDefault="00E07B7C" w:rsidP="003233CC">
      <w:pPr>
        <w:spacing w:after="0" w:line="240" w:lineRule="auto"/>
        <w:ind w:left="720" w:hanging="720"/>
        <w:rPr>
          <w:szCs w:val="20"/>
        </w:rPr>
      </w:pPr>
      <w:r w:rsidRPr="003233CC">
        <w:rPr>
          <w:sz w:val="20"/>
          <w:szCs w:val="20"/>
        </w:rPr>
        <w:t xml:space="preserve">Magana, A. B., Goldstein, J. M., Karno, M., Miklowitz, D. J., Jenkins, J., &amp; Falloon, I. R. (1986). A brief method for assessing expressed emotion in relatives of psychiatric patients. </w:t>
      </w:r>
      <w:r w:rsidRPr="003233CC">
        <w:rPr>
          <w:i/>
          <w:sz w:val="20"/>
          <w:szCs w:val="20"/>
        </w:rPr>
        <w:t>Psychiatry Res</w:t>
      </w:r>
      <w:r w:rsidRPr="003233CC">
        <w:rPr>
          <w:sz w:val="20"/>
          <w:szCs w:val="20"/>
        </w:rPr>
        <w:t>,</w:t>
      </w:r>
      <w:r w:rsidRPr="003233CC">
        <w:rPr>
          <w:i/>
          <w:sz w:val="20"/>
          <w:szCs w:val="20"/>
        </w:rPr>
        <w:t xml:space="preserve"> 17</w:t>
      </w:r>
      <w:r w:rsidRPr="003233CC">
        <w:rPr>
          <w:sz w:val="20"/>
          <w:szCs w:val="20"/>
        </w:rPr>
        <w:t xml:space="preserve">(3), 203-212. </w:t>
      </w:r>
      <w:hyperlink r:id="rId15" w:history="1">
        <w:r w:rsidRPr="003233CC">
          <w:rPr>
            <w:rStyle w:val="Hyperlink"/>
            <w:rFonts w:ascii="Calibri" w:hAnsi="Calibri" w:cs="Calibri"/>
            <w:sz w:val="20"/>
            <w:szCs w:val="20"/>
          </w:rPr>
          <w:t>https://doi.org/10.1016/0165-1781(86)90049-1</w:t>
        </w:r>
      </w:hyperlink>
      <w:r w:rsidRPr="003233CC">
        <w:rPr>
          <w:sz w:val="20"/>
          <w:szCs w:val="20"/>
        </w:rPr>
        <w:t xml:space="preserve"> </w:t>
      </w:r>
    </w:p>
    <w:p w14:paraId="14AF8751" w14:textId="55564D22" w:rsidR="00E07B7C" w:rsidRPr="00E07B7C" w:rsidRDefault="00E07B7C" w:rsidP="00E07B7C">
      <w:pPr>
        <w:spacing w:after="0" w:line="240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Maltman, N., Guilfoyle, J., Nayar, K., Martin, G. E., Winston, M., Lau, J. C. Y., Bush, L., Patel, </w:t>
      </w:r>
    </w:p>
    <w:p w14:paraId="2CE6EDAB" w14:textId="77777777" w:rsidR="00E07B7C" w:rsidRPr="00E07B7C" w:rsidRDefault="00E07B7C" w:rsidP="00E07B7C">
      <w:pPr>
        <w:spacing w:after="0" w:line="240" w:lineRule="auto"/>
        <w:ind w:left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S., Lee, M., Sideris, J., Hall, D. A., Zhou, L., Sharp, K., Berry-Kravis, E., &amp; Losh, M. (2021). The Phenotypic Profile Associated </w:t>
      </w:r>
      <w:proofErr w:type="gramStart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With</w:t>
      </w:r>
      <w:proofErr w:type="gramEnd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 the FMR1 Premutation in Women: An Investigation of Clinical-Behavioral, Social-Cognitive, and Executive Abilities.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Frontiers in Psychiatry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12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718485. </w:t>
      </w:r>
      <w:hyperlink r:id="rId16" w:history="1">
        <w:r w:rsidRPr="00E07B7C">
          <w:rPr>
            <w:rFonts w:ascii="Calibri" w:eastAsia="Aptos" w:hAnsi="Calibri" w:cs="Calibri"/>
            <w:color w:val="467886"/>
            <w:kern w:val="2"/>
            <w:sz w:val="20"/>
            <w:szCs w:val="20"/>
            <w:u w:val="single"/>
            <w14:ligatures w14:val="standardContextual"/>
          </w:rPr>
          <w:t>https://doi.org/10.3389/fpsyt.2021.718485</w:t>
        </w:r>
      </w:hyperlink>
    </w:p>
    <w:p w14:paraId="32387849" w14:textId="77777777" w:rsidR="00E07B7C" w:rsidRPr="00E07B7C" w:rsidRDefault="00E07B7C" w:rsidP="00E07B7C">
      <w:pPr>
        <w:spacing w:after="0" w:line="240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Movaghar, A., </w:t>
      </w:r>
      <w:proofErr w:type="spellStart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Mailick</w:t>
      </w:r>
      <w:proofErr w:type="spellEnd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M., Sterling, A., Greenberg, J., &amp; Saha, K. (2017). Automated </w:t>
      </w:r>
    </w:p>
    <w:p w14:paraId="63DFE27F" w14:textId="4166F294" w:rsidR="00A53BF9" w:rsidRDefault="00E07B7C" w:rsidP="00A53BF9">
      <w:pPr>
        <w:spacing w:after="0" w:line="240" w:lineRule="auto"/>
        <w:ind w:left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screening for Fragile X premutation carriers based on linguistic and cognitive computational phenotypes.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Scientific Reports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7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(1), 2674. </w:t>
      </w:r>
      <w:hyperlink r:id="rId17" w:history="1">
        <w:r w:rsidRPr="00E07B7C">
          <w:rPr>
            <w:rFonts w:ascii="Calibri" w:eastAsia="Aptos" w:hAnsi="Calibri" w:cs="Calibri"/>
            <w:color w:val="467886"/>
            <w:kern w:val="2"/>
            <w:sz w:val="20"/>
            <w:szCs w:val="20"/>
            <w:u w:val="single"/>
            <w14:ligatures w14:val="standardContextual"/>
          </w:rPr>
          <w:t>https://doi.org/10.1038/s41598-017-02682-4</w:t>
        </w:r>
      </w:hyperlink>
    </w:p>
    <w:p w14:paraId="68958EF1" w14:textId="32EA5C33" w:rsidR="00A53BF9" w:rsidRDefault="00A53BF9" w:rsidP="003F6259">
      <w:pPr>
        <w:spacing w:after="0" w:line="240" w:lineRule="auto"/>
        <w:ind w:left="720" w:hanging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A53BF9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Oviatt, S. (1995). Predicting spoken disfluencies during human-computer interaction. Computer Speech and Language, 9(1), 19–35. https://doi.org/10.1006/csla.1995.0002</w:t>
      </w:r>
    </w:p>
    <w:p w14:paraId="225E4CF3" w14:textId="47FDA451" w:rsidR="00E07B7C" w:rsidRPr="00E07B7C" w:rsidRDefault="00E07B7C" w:rsidP="00E07B7C">
      <w:pPr>
        <w:spacing w:after="0" w:line="240" w:lineRule="auto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Schmitt, L. M., Dominick, K. C., Liu, R., </w:t>
      </w:r>
      <w:proofErr w:type="spellStart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>Pedapati</w:t>
      </w:r>
      <w:proofErr w:type="spellEnd"/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E. V., Ethridge, L. E., Smith, E., Sweeney, J. </w:t>
      </w:r>
    </w:p>
    <w:p w14:paraId="30B070E6" w14:textId="43B40B48" w:rsidR="00E07B7C" w:rsidRPr="00E07B7C" w:rsidRDefault="00E07B7C" w:rsidP="00E07B7C">
      <w:pPr>
        <w:spacing w:after="0" w:line="240" w:lineRule="auto"/>
        <w:ind w:left="720"/>
        <w:rPr>
          <w:rFonts w:ascii="Calibri" w:eastAsia="Aptos" w:hAnsi="Calibri" w:cs="Calibri"/>
          <w:kern w:val="2"/>
          <w:sz w:val="20"/>
          <w:szCs w:val="20"/>
          <w14:ligatures w14:val="standardContextual"/>
        </w:rPr>
      </w:pP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lastRenderedPageBreak/>
        <w:t xml:space="preserve">A., &amp; Erickson, C. A. (2022). Evidence for Three Subgroups of Female FMR1 Premutation Carriers Defined by Distinct Neuropsychiatric Features: A Pilot Study.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Frontiers in Integrative Neuroscience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</w:t>
      </w:r>
      <w:r w:rsidRPr="00E07B7C">
        <w:rPr>
          <w:rFonts w:ascii="Calibri" w:eastAsia="Aptos" w:hAnsi="Calibri" w:cs="Calibri"/>
          <w:i/>
          <w:iCs/>
          <w:kern w:val="2"/>
          <w:sz w:val="20"/>
          <w:szCs w:val="20"/>
          <w14:ligatures w14:val="standardContextual"/>
        </w:rPr>
        <w:t>15</w:t>
      </w:r>
      <w:r w:rsidRPr="00E07B7C">
        <w:rPr>
          <w:rFonts w:ascii="Calibri" w:eastAsia="Aptos" w:hAnsi="Calibri" w:cs="Calibri"/>
          <w:kern w:val="2"/>
          <w:sz w:val="20"/>
          <w:szCs w:val="20"/>
          <w14:ligatures w14:val="standardContextual"/>
        </w:rPr>
        <w:t xml:space="preserve">, 797546. </w:t>
      </w:r>
      <w:hyperlink r:id="rId18" w:history="1">
        <w:r w:rsidRPr="00E07B7C">
          <w:rPr>
            <w:rFonts w:ascii="Calibri" w:eastAsia="Aptos" w:hAnsi="Calibri" w:cs="Calibri"/>
            <w:color w:val="467886"/>
            <w:kern w:val="2"/>
            <w:sz w:val="20"/>
            <w:szCs w:val="20"/>
            <w:u w:val="single"/>
            <w14:ligatures w14:val="standardContextual"/>
          </w:rPr>
          <w:t>https://doi.org/10.3389/fnint.2021.797546</w:t>
        </w:r>
      </w:hyperlink>
    </w:p>
    <w:p w14:paraId="57CEC827" w14:textId="3F95DEAC" w:rsidR="00E07B7C" w:rsidRPr="00E07B7C" w:rsidRDefault="00E07B7C" w:rsidP="00E07B7C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E07B7C">
        <w:rPr>
          <w:rFonts w:asciiTheme="minorHAnsi" w:hAnsiTheme="minorHAnsi" w:cstheme="minorHAnsi"/>
        </w:rPr>
        <w:t xml:space="preserve">Roth, R. M., Lance, C. E., Isquith, P. K., Fischer, A. S., &amp; Giancola, P. R. (2013). Confirmatory factor analysis of the Behavior Rating Inventory of Executive Function-Adult version in healthy adults and application to attention-deficit/hyperactivity disorder. </w:t>
      </w:r>
      <w:r w:rsidRPr="00E07B7C">
        <w:rPr>
          <w:rFonts w:asciiTheme="minorHAnsi" w:hAnsiTheme="minorHAnsi" w:cstheme="minorHAnsi"/>
          <w:i/>
        </w:rPr>
        <w:t>Arch Clin Neuropsychol</w:t>
      </w:r>
      <w:r w:rsidRPr="00E07B7C">
        <w:rPr>
          <w:rFonts w:asciiTheme="minorHAnsi" w:hAnsiTheme="minorHAnsi" w:cstheme="minorHAnsi"/>
        </w:rPr>
        <w:t>,</w:t>
      </w:r>
      <w:r w:rsidRPr="00E07B7C">
        <w:rPr>
          <w:rFonts w:asciiTheme="minorHAnsi" w:hAnsiTheme="minorHAnsi" w:cstheme="minorHAnsi"/>
          <w:i/>
        </w:rPr>
        <w:t xml:space="preserve"> 28</w:t>
      </w:r>
      <w:r w:rsidRPr="00E07B7C">
        <w:rPr>
          <w:rFonts w:asciiTheme="minorHAnsi" w:hAnsiTheme="minorHAnsi" w:cstheme="minorHAnsi"/>
        </w:rPr>
        <w:t xml:space="preserve">(5), 425-434. </w:t>
      </w:r>
      <w:hyperlink r:id="rId19" w:history="1">
        <w:r w:rsidRPr="00E07B7C">
          <w:rPr>
            <w:rStyle w:val="Hyperlink"/>
            <w:rFonts w:asciiTheme="minorHAnsi" w:hAnsiTheme="minorHAnsi" w:cstheme="minorHAnsi"/>
          </w:rPr>
          <w:t>https://doi.org/10.1093/arclin/act031</w:t>
        </w:r>
      </w:hyperlink>
      <w:r w:rsidRPr="00E07B7C">
        <w:rPr>
          <w:rFonts w:asciiTheme="minorHAnsi" w:hAnsiTheme="minorHAnsi" w:cstheme="minorHAnsi"/>
        </w:rPr>
        <w:t xml:space="preserve"> </w:t>
      </w:r>
    </w:p>
    <w:p w14:paraId="74D1C1E7" w14:textId="7742C6BA" w:rsidR="00BF6C4E" w:rsidRPr="00BF6C4E" w:rsidRDefault="00BF6C4E" w:rsidP="00BF6C4E">
      <w:pPr>
        <w:pStyle w:val="EndNoteBibliography"/>
        <w:spacing w:after="0"/>
        <w:ind w:left="720" w:hanging="720"/>
        <w:rPr>
          <w:rFonts w:asciiTheme="minorHAnsi" w:hAnsiTheme="minorHAnsi" w:cstheme="minorHAnsi"/>
          <w:szCs w:val="20"/>
        </w:rPr>
      </w:pPr>
      <w:r w:rsidRPr="00BF6C4E">
        <w:rPr>
          <w:rFonts w:asciiTheme="minorHAnsi" w:hAnsiTheme="minorHAnsi" w:cstheme="minorHAnsi"/>
          <w:szCs w:val="20"/>
        </w:rPr>
        <w:t xml:space="preserve">Shelton, A. L., Cornish, K. M., Godler, D. E., Clough, M., Kraan, C., Bui, M., &amp; Fielding, J. (2015). Delineation of the working memory profile in female FMR1 premutation carriers: the effect of cognitive load on ocular motor responses. </w:t>
      </w:r>
      <w:r w:rsidRPr="00BF6C4E">
        <w:rPr>
          <w:rFonts w:asciiTheme="minorHAnsi" w:hAnsiTheme="minorHAnsi" w:cstheme="minorHAnsi"/>
          <w:i/>
          <w:szCs w:val="20"/>
        </w:rPr>
        <w:t>Behav Brain Res</w:t>
      </w:r>
      <w:r w:rsidRPr="00BF6C4E">
        <w:rPr>
          <w:rFonts w:asciiTheme="minorHAnsi" w:hAnsiTheme="minorHAnsi" w:cstheme="minorHAnsi"/>
          <w:szCs w:val="20"/>
        </w:rPr>
        <w:t>,</w:t>
      </w:r>
      <w:r w:rsidRPr="00BF6C4E">
        <w:rPr>
          <w:rFonts w:asciiTheme="minorHAnsi" w:hAnsiTheme="minorHAnsi" w:cstheme="minorHAnsi"/>
          <w:i/>
          <w:szCs w:val="20"/>
        </w:rPr>
        <w:t xml:space="preserve"> 282</w:t>
      </w:r>
      <w:r w:rsidRPr="00BF6C4E">
        <w:rPr>
          <w:rFonts w:asciiTheme="minorHAnsi" w:hAnsiTheme="minorHAnsi" w:cstheme="minorHAnsi"/>
          <w:szCs w:val="20"/>
        </w:rPr>
        <w:t xml:space="preserve">, 194-200. </w:t>
      </w:r>
      <w:hyperlink r:id="rId20" w:history="1">
        <w:r w:rsidRPr="00BF6C4E">
          <w:rPr>
            <w:rStyle w:val="Hyperlink"/>
            <w:rFonts w:asciiTheme="minorHAnsi" w:hAnsiTheme="minorHAnsi" w:cstheme="minorHAnsi"/>
            <w:szCs w:val="20"/>
          </w:rPr>
          <w:t>https://doi.org/10.1016/j.bbr.2015.01.011</w:t>
        </w:r>
      </w:hyperlink>
      <w:r w:rsidRPr="00BF6C4E">
        <w:rPr>
          <w:rFonts w:asciiTheme="minorHAnsi" w:hAnsiTheme="minorHAnsi" w:cstheme="minorHAnsi"/>
          <w:szCs w:val="20"/>
        </w:rPr>
        <w:t xml:space="preserve"> </w:t>
      </w:r>
    </w:p>
    <w:p w14:paraId="42132DD3" w14:textId="2CE6F0E1" w:rsidR="00BF6C4E" w:rsidRPr="00EA4EF0" w:rsidRDefault="00BF6C4E" w:rsidP="00EA4EF0">
      <w:pPr>
        <w:pStyle w:val="EndNoteBibliography"/>
        <w:ind w:left="720" w:hanging="720"/>
        <w:rPr>
          <w:rFonts w:asciiTheme="minorHAnsi" w:hAnsiTheme="minorHAnsi" w:cstheme="minorHAnsi"/>
          <w:szCs w:val="20"/>
        </w:rPr>
      </w:pPr>
      <w:r w:rsidRPr="00BF6C4E">
        <w:rPr>
          <w:rFonts w:asciiTheme="minorHAnsi" w:hAnsiTheme="minorHAnsi" w:cstheme="minorHAnsi"/>
          <w:szCs w:val="20"/>
        </w:rPr>
        <w:t xml:space="preserve">Sterling, A., Mailick, M., Greenberg, J., Warren, S. F., &amp; Brady, N. (2013). Language dysfluencies in females with the FMR1 premutation. </w:t>
      </w:r>
      <w:r w:rsidRPr="00BF6C4E">
        <w:rPr>
          <w:rFonts w:asciiTheme="minorHAnsi" w:hAnsiTheme="minorHAnsi" w:cstheme="minorHAnsi"/>
          <w:i/>
          <w:szCs w:val="20"/>
        </w:rPr>
        <w:t>Brain Cogn</w:t>
      </w:r>
      <w:r w:rsidRPr="00BF6C4E">
        <w:rPr>
          <w:rFonts w:asciiTheme="minorHAnsi" w:hAnsiTheme="minorHAnsi" w:cstheme="minorHAnsi"/>
          <w:szCs w:val="20"/>
        </w:rPr>
        <w:t>,</w:t>
      </w:r>
      <w:r w:rsidRPr="00BF6C4E">
        <w:rPr>
          <w:rFonts w:asciiTheme="minorHAnsi" w:hAnsiTheme="minorHAnsi" w:cstheme="minorHAnsi"/>
          <w:i/>
          <w:szCs w:val="20"/>
        </w:rPr>
        <w:t xml:space="preserve"> 82</w:t>
      </w:r>
      <w:r w:rsidRPr="00BF6C4E">
        <w:rPr>
          <w:rFonts w:asciiTheme="minorHAnsi" w:hAnsiTheme="minorHAnsi" w:cstheme="minorHAnsi"/>
          <w:szCs w:val="20"/>
        </w:rPr>
        <w:t xml:space="preserve">(1), 84-89. </w:t>
      </w:r>
      <w:hyperlink r:id="rId21" w:history="1">
        <w:r w:rsidRPr="00BF6C4E">
          <w:rPr>
            <w:rStyle w:val="Hyperlink"/>
            <w:rFonts w:asciiTheme="minorHAnsi" w:hAnsiTheme="minorHAnsi" w:cstheme="minorHAnsi"/>
            <w:szCs w:val="20"/>
          </w:rPr>
          <w:t>https://doi.org/10.1016/j.bandc.2013.02.009</w:t>
        </w:r>
      </w:hyperlink>
      <w:r w:rsidRPr="00BF6C4E">
        <w:rPr>
          <w:rFonts w:asciiTheme="minorHAnsi" w:hAnsiTheme="minorHAnsi" w:cstheme="minorHAnsi"/>
          <w:szCs w:val="20"/>
        </w:rPr>
        <w:t xml:space="preserve"> </w:t>
      </w:r>
    </w:p>
    <w:p w14:paraId="7AC50377" w14:textId="5FDE099D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8E7F21">
        <w:rPr>
          <w:lang w:val="en-CA"/>
        </w:rPr>
        <w:t>Waisman Center, University of Wisconsin – Madison</w:t>
      </w:r>
    </w:p>
    <w:p w14:paraId="7AC5037A" w14:textId="01A2D8FF" w:rsidR="001C735E" w:rsidRPr="00EA4EF0" w:rsidRDefault="003D6244" w:rsidP="00EA4EF0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="008E7F21">
        <w:rPr>
          <w:lang w:val="en-CA"/>
        </w:rPr>
        <w:t xml:space="preserve">Department of Communication Sciences and Disorders, University of Wisconsin – Madison </w:t>
      </w:r>
    </w:p>
    <w:sectPr w:rsidR="001C735E" w:rsidRPr="00EA4EF0" w:rsidSect="00394E2C">
      <w:headerReference w:type="default" r:id="rId22"/>
      <w:footerReference w:type="default" r:id="rId2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4C2A0" w14:textId="77777777" w:rsidR="000502E2" w:rsidRDefault="000502E2" w:rsidP="00A16498">
      <w:pPr>
        <w:spacing w:after="0" w:line="240" w:lineRule="auto"/>
      </w:pPr>
      <w:r>
        <w:separator/>
      </w:r>
    </w:p>
  </w:endnote>
  <w:endnote w:type="continuationSeparator" w:id="0">
    <w:p w14:paraId="6E381E4A" w14:textId="77777777" w:rsidR="000502E2" w:rsidRDefault="000502E2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efa">
    <w:altName w:val="Nyala"/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5A9A" w14:textId="77777777" w:rsidR="000502E2" w:rsidRDefault="000502E2" w:rsidP="00A16498">
      <w:pPr>
        <w:spacing w:after="0" w:line="240" w:lineRule="auto"/>
      </w:pPr>
      <w:r>
        <w:separator/>
      </w:r>
    </w:p>
  </w:footnote>
  <w:footnote w:type="continuationSeparator" w:id="0">
    <w:p w14:paraId="5BF69E26" w14:textId="77777777" w:rsidR="000502E2" w:rsidRDefault="000502E2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6087B266" w:rsidR="00A16498" w:rsidRDefault="008E7F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3CB05" wp14:editId="464EFC1F">
              <wp:simplePos x="0" y="0"/>
              <wp:positionH relativeFrom="column">
                <wp:posOffset>-24765</wp:posOffset>
              </wp:positionH>
              <wp:positionV relativeFrom="paragraph">
                <wp:posOffset>-228600</wp:posOffset>
              </wp:positionV>
              <wp:extent cx="5371689" cy="457200"/>
              <wp:effectExtent l="0" t="0" r="1968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D3CB05" id="Rectangle 197" o:spid="_x0000_s1026" style="position:absolute;margin-left:-1.95pt;margin-top:-18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51B136E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2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220C"/>
    <w:rsid w:val="00007F5A"/>
    <w:rsid w:val="000130DA"/>
    <w:rsid w:val="000502E2"/>
    <w:rsid w:val="000558E1"/>
    <w:rsid w:val="000954F2"/>
    <w:rsid w:val="000A389E"/>
    <w:rsid w:val="000C3561"/>
    <w:rsid w:val="000D0162"/>
    <w:rsid w:val="000D4AC3"/>
    <w:rsid w:val="000E4738"/>
    <w:rsid w:val="000F3A21"/>
    <w:rsid w:val="00136674"/>
    <w:rsid w:val="00141EFF"/>
    <w:rsid w:val="0015486C"/>
    <w:rsid w:val="001A0FDE"/>
    <w:rsid w:val="001A66EE"/>
    <w:rsid w:val="001A677C"/>
    <w:rsid w:val="001C735E"/>
    <w:rsid w:val="001D40F9"/>
    <w:rsid w:val="001D6A25"/>
    <w:rsid w:val="00206D67"/>
    <w:rsid w:val="002158AF"/>
    <w:rsid w:val="002258B2"/>
    <w:rsid w:val="00226854"/>
    <w:rsid w:val="00244C29"/>
    <w:rsid w:val="002872AA"/>
    <w:rsid w:val="002B551D"/>
    <w:rsid w:val="002B5DBF"/>
    <w:rsid w:val="002C5F5E"/>
    <w:rsid w:val="00300310"/>
    <w:rsid w:val="00310FEB"/>
    <w:rsid w:val="00312417"/>
    <w:rsid w:val="00316B3B"/>
    <w:rsid w:val="0032171F"/>
    <w:rsid w:val="003233CC"/>
    <w:rsid w:val="00324E6F"/>
    <w:rsid w:val="00325789"/>
    <w:rsid w:val="0033415B"/>
    <w:rsid w:val="003435A7"/>
    <w:rsid w:val="00374ABC"/>
    <w:rsid w:val="00392992"/>
    <w:rsid w:val="00394E2C"/>
    <w:rsid w:val="003B0285"/>
    <w:rsid w:val="003B2A8C"/>
    <w:rsid w:val="003C2A0A"/>
    <w:rsid w:val="003C4D59"/>
    <w:rsid w:val="003D55B3"/>
    <w:rsid w:val="003D6244"/>
    <w:rsid w:val="003D74D0"/>
    <w:rsid w:val="003F558A"/>
    <w:rsid w:val="003F6259"/>
    <w:rsid w:val="00412A17"/>
    <w:rsid w:val="00421A09"/>
    <w:rsid w:val="004473AC"/>
    <w:rsid w:val="00452576"/>
    <w:rsid w:val="0045428A"/>
    <w:rsid w:val="00456D17"/>
    <w:rsid w:val="00477BEF"/>
    <w:rsid w:val="00487338"/>
    <w:rsid w:val="0048790C"/>
    <w:rsid w:val="004D70F3"/>
    <w:rsid w:val="004E1176"/>
    <w:rsid w:val="004E1657"/>
    <w:rsid w:val="004F0F0A"/>
    <w:rsid w:val="0050221D"/>
    <w:rsid w:val="00503686"/>
    <w:rsid w:val="005039BE"/>
    <w:rsid w:val="00550360"/>
    <w:rsid w:val="00571DCB"/>
    <w:rsid w:val="00577DC4"/>
    <w:rsid w:val="005B261B"/>
    <w:rsid w:val="005C3438"/>
    <w:rsid w:val="005D3F93"/>
    <w:rsid w:val="005E4516"/>
    <w:rsid w:val="005F3158"/>
    <w:rsid w:val="006222E5"/>
    <w:rsid w:val="00625543"/>
    <w:rsid w:val="006535AF"/>
    <w:rsid w:val="006637E7"/>
    <w:rsid w:val="00671DF9"/>
    <w:rsid w:val="0069375A"/>
    <w:rsid w:val="006A2AD1"/>
    <w:rsid w:val="006C05DD"/>
    <w:rsid w:val="006D0BAF"/>
    <w:rsid w:val="00735BC3"/>
    <w:rsid w:val="0074597B"/>
    <w:rsid w:val="00751FEE"/>
    <w:rsid w:val="00763AD5"/>
    <w:rsid w:val="007722E4"/>
    <w:rsid w:val="0077649B"/>
    <w:rsid w:val="00777D73"/>
    <w:rsid w:val="007A1E7E"/>
    <w:rsid w:val="007A4219"/>
    <w:rsid w:val="007A5418"/>
    <w:rsid w:val="007B4CE7"/>
    <w:rsid w:val="007B5638"/>
    <w:rsid w:val="007C032F"/>
    <w:rsid w:val="007D6CAE"/>
    <w:rsid w:val="007E3B51"/>
    <w:rsid w:val="007E5814"/>
    <w:rsid w:val="007F6A8B"/>
    <w:rsid w:val="00801D2A"/>
    <w:rsid w:val="0080622D"/>
    <w:rsid w:val="00817FE3"/>
    <w:rsid w:val="0087492A"/>
    <w:rsid w:val="008938D8"/>
    <w:rsid w:val="008A33A4"/>
    <w:rsid w:val="008A79C4"/>
    <w:rsid w:val="008B7108"/>
    <w:rsid w:val="008C42C2"/>
    <w:rsid w:val="008C5E91"/>
    <w:rsid w:val="008E5542"/>
    <w:rsid w:val="008E7F21"/>
    <w:rsid w:val="00912A2A"/>
    <w:rsid w:val="009462E3"/>
    <w:rsid w:val="00985B5E"/>
    <w:rsid w:val="00991099"/>
    <w:rsid w:val="009A4E34"/>
    <w:rsid w:val="009B0B85"/>
    <w:rsid w:val="009B1DAB"/>
    <w:rsid w:val="009B746F"/>
    <w:rsid w:val="009C4AFD"/>
    <w:rsid w:val="009C65A5"/>
    <w:rsid w:val="009C7D5C"/>
    <w:rsid w:val="009E1B56"/>
    <w:rsid w:val="009E6A30"/>
    <w:rsid w:val="00A16498"/>
    <w:rsid w:val="00A208CD"/>
    <w:rsid w:val="00A36649"/>
    <w:rsid w:val="00A41ED7"/>
    <w:rsid w:val="00A478AE"/>
    <w:rsid w:val="00A50678"/>
    <w:rsid w:val="00A53BF9"/>
    <w:rsid w:val="00A5559F"/>
    <w:rsid w:val="00A86701"/>
    <w:rsid w:val="00AB7B37"/>
    <w:rsid w:val="00AE4ADB"/>
    <w:rsid w:val="00B041F6"/>
    <w:rsid w:val="00B226B4"/>
    <w:rsid w:val="00B336B2"/>
    <w:rsid w:val="00B71AFF"/>
    <w:rsid w:val="00B80429"/>
    <w:rsid w:val="00B90343"/>
    <w:rsid w:val="00B95C37"/>
    <w:rsid w:val="00BA2D2D"/>
    <w:rsid w:val="00BA786C"/>
    <w:rsid w:val="00BB63ED"/>
    <w:rsid w:val="00BD094D"/>
    <w:rsid w:val="00BE4EB5"/>
    <w:rsid w:val="00BF6C4E"/>
    <w:rsid w:val="00C529CE"/>
    <w:rsid w:val="00C6243D"/>
    <w:rsid w:val="00C624B0"/>
    <w:rsid w:val="00C7037F"/>
    <w:rsid w:val="00C8016D"/>
    <w:rsid w:val="00C80718"/>
    <w:rsid w:val="00C973F2"/>
    <w:rsid w:val="00CB0E7A"/>
    <w:rsid w:val="00CD6D92"/>
    <w:rsid w:val="00CE1842"/>
    <w:rsid w:val="00CE1BAD"/>
    <w:rsid w:val="00CE56BA"/>
    <w:rsid w:val="00CF3CDF"/>
    <w:rsid w:val="00D433A6"/>
    <w:rsid w:val="00D46241"/>
    <w:rsid w:val="00D60D08"/>
    <w:rsid w:val="00D917E4"/>
    <w:rsid w:val="00DC15FA"/>
    <w:rsid w:val="00DC5247"/>
    <w:rsid w:val="00DE43F9"/>
    <w:rsid w:val="00E07B7C"/>
    <w:rsid w:val="00E1356A"/>
    <w:rsid w:val="00E15391"/>
    <w:rsid w:val="00E233F7"/>
    <w:rsid w:val="00E25574"/>
    <w:rsid w:val="00E325DF"/>
    <w:rsid w:val="00E35898"/>
    <w:rsid w:val="00E67816"/>
    <w:rsid w:val="00EA4EF0"/>
    <w:rsid w:val="00EC1345"/>
    <w:rsid w:val="00ED0779"/>
    <w:rsid w:val="00F000AA"/>
    <w:rsid w:val="00F023E6"/>
    <w:rsid w:val="00F2162A"/>
    <w:rsid w:val="00F308F9"/>
    <w:rsid w:val="00F32F37"/>
    <w:rsid w:val="00FD24EB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table" w:styleId="TableGrid">
    <w:name w:val="Table Grid"/>
    <w:basedOn w:val="TableNormal"/>
    <w:uiPriority w:val="59"/>
    <w:rsid w:val="007B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0B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B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6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C4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6C4E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BF6C4E"/>
    <w:pPr>
      <w:spacing w:after="240" w:line="240" w:lineRule="auto"/>
    </w:pPr>
    <w:rPr>
      <w:rFonts w:ascii="Arial" w:hAnsi="Arial" w:cs="Arial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BF6C4E"/>
    <w:rPr>
      <w:rFonts w:ascii="Arial" w:hAnsi="Arial" w:cs="Arial"/>
      <w:noProof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7B7C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A5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86/s11689-017-9209-6" TargetMode="External"/><Relationship Id="rId18" Type="http://schemas.openxmlformats.org/officeDocument/2006/relationships/hyperlink" Target="https://doi.org/10.3389/fnint.2021.79754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16/j.bandc.2013.02.0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16/j.bandc.2021.105694" TargetMode="External"/><Relationship Id="rId17" Type="http://schemas.openxmlformats.org/officeDocument/2006/relationships/hyperlink" Target="https://doi.org/10.1038/s41598-017-02682-4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89/fpsyt.2021.718485" TargetMode="External"/><Relationship Id="rId20" Type="http://schemas.openxmlformats.org/officeDocument/2006/relationships/hyperlink" Target="https://doi.org/10.1016/j.bbr.2015.01.0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6/s11689-020-09313-6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0165-1781(86)90049-1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oi.org/10.1093/arclin/act0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77/174702181877875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EADCD-4A6A-4BD4-808F-68E78D11C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Amy Banasik</cp:lastModifiedBy>
  <cp:revision>5</cp:revision>
  <cp:lastPrinted>2024-11-05T02:41:00Z</cp:lastPrinted>
  <dcterms:created xsi:type="dcterms:W3CDTF">2024-11-05T02:45:00Z</dcterms:created>
  <dcterms:modified xsi:type="dcterms:W3CDTF">2024-11-05T02:51:00Z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