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41091F6" w:rsidR="003D6244" w:rsidRPr="009E00A7" w:rsidRDefault="003D6244" w:rsidP="003D6244">
      <w:pPr>
        <w:rPr>
          <w:sz w:val="20"/>
          <w:szCs w:val="20"/>
        </w:rPr>
      </w:pPr>
      <w:r w:rsidRPr="009E00A7">
        <w:rPr>
          <w:b/>
          <w:sz w:val="20"/>
          <w:szCs w:val="20"/>
        </w:rPr>
        <w:t>Title</w:t>
      </w:r>
      <w:r w:rsidRPr="009E00A7">
        <w:rPr>
          <w:sz w:val="20"/>
          <w:szCs w:val="20"/>
        </w:rPr>
        <w:t xml:space="preserve">: </w:t>
      </w:r>
      <w:r w:rsidR="00992086">
        <w:rPr>
          <w:sz w:val="20"/>
          <w:szCs w:val="20"/>
        </w:rPr>
        <w:t>Vowel accuracy predicts word learning in minimally verbal children with autism spectrum disorder</w:t>
      </w:r>
    </w:p>
    <w:p w14:paraId="7AC50371" w14:textId="2155BEC9" w:rsidR="003D6244" w:rsidRDefault="003D6244" w:rsidP="003D6244">
      <w:pPr>
        <w:rPr>
          <w:sz w:val="20"/>
          <w:szCs w:val="20"/>
          <w:vertAlign w:val="superscript"/>
        </w:rPr>
      </w:pPr>
      <w:r w:rsidRPr="009E00A7">
        <w:rPr>
          <w:b/>
          <w:sz w:val="20"/>
          <w:szCs w:val="20"/>
        </w:rPr>
        <w:t>Authors</w:t>
      </w:r>
      <w:r w:rsidRPr="009E00A7">
        <w:rPr>
          <w:sz w:val="20"/>
          <w:szCs w:val="20"/>
        </w:rPr>
        <w:t xml:space="preserve">: </w:t>
      </w:r>
      <w:r w:rsidR="00992086" w:rsidRPr="00992086">
        <w:rPr>
          <w:sz w:val="20"/>
          <w:szCs w:val="20"/>
        </w:rPr>
        <w:t>Olivia Boorom*</w:t>
      </w:r>
      <w:r w:rsidR="00992086" w:rsidRPr="00992086">
        <w:rPr>
          <w:sz w:val="20"/>
          <w:szCs w:val="20"/>
          <w:vertAlign w:val="superscript"/>
        </w:rPr>
        <w:t>1</w:t>
      </w:r>
      <w:r w:rsidR="00992086" w:rsidRPr="00992086">
        <w:rPr>
          <w:sz w:val="20"/>
          <w:szCs w:val="20"/>
        </w:rPr>
        <w:t xml:space="preserve">, Christine </w:t>
      </w:r>
      <w:proofErr w:type="spellStart"/>
      <w:r w:rsidR="00992086" w:rsidRPr="00992086">
        <w:rPr>
          <w:sz w:val="20"/>
          <w:szCs w:val="20"/>
        </w:rPr>
        <w:t>Kosirog</w:t>
      </w:r>
      <w:proofErr w:type="spellEnd"/>
      <w:r w:rsidR="00992086" w:rsidRPr="00992086">
        <w:rPr>
          <w:sz w:val="20"/>
          <w:szCs w:val="20"/>
        </w:rPr>
        <w:t>*</w:t>
      </w:r>
      <w:r w:rsidR="00992086" w:rsidRPr="00992086">
        <w:rPr>
          <w:sz w:val="20"/>
          <w:szCs w:val="20"/>
          <w:vertAlign w:val="superscript"/>
        </w:rPr>
        <w:t>1</w:t>
      </w:r>
      <w:r w:rsidR="00992086" w:rsidRPr="00992086">
        <w:rPr>
          <w:sz w:val="20"/>
          <w:szCs w:val="20"/>
        </w:rPr>
        <w:t>, Marc Maffei</w:t>
      </w:r>
      <w:r w:rsidR="00992086" w:rsidRPr="00992086">
        <w:rPr>
          <w:sz w:val="20"/>
          <w:szCs w:val="20"/>
          <w:vertAlign w:val="superscript"/>
        </w:rPr>
        <w:t xml:space="preserve">2 </w:t>
      </w:r>
      <w:r w:rsidR="00992086" w:rsidRPr="00992086">
        <w:rPr>
          <w:sz w:val="20"/>
          <w:szCs w:val="20"/>
        </w:rPr>
        <w:t>&amp; Nancy Brady</w:t>
      </w:r>
      <w:r w:rsidR="00992086" w:rsidRPr="00992086">
        <w:rPr>
          <w:sz w:val="20"/>
          <w:szCs w:val="20"/>
          <w:vertAlign w:val="superscript"/>
        </w:rPr>
        <w:t>1</w:t>
      </w:r>
    </w:p>
    <w:p w14:paraId="6D0A30B2" w14:textId="1FF6A36C" w:rsidR="00992086" w:rsidRPr="008B1E03" w:rsidRDefault="00992086" w:rsidP="003D6244">
      <w:pPr>
        <w:rPr>
          <w:sz w:val="20"/>
          <w:szCs w:val="20"/>
          <w:vertAlign w:val="superscript"/>
        </w:rPr>
      </w:pPr>
      <w:r>
        <w:rPr>
          <w:rStyle w:val="normaltextrun"/>
          <w:rFonts w:ascii="Calibri" w:hAnsi="Calibri" w:cs="Calibri"/>
          <w:color w:val="000000"/>
          <w:sz w:val="20"/>
          <w:szCs w:val="20"/>
          <w:shd w:val="clear" w:color="auto" w:fill="FFFFFF"/>
        </w:rPr>
        <w:t>*Should be considered co-first author</w:t>
      </w:r>
      <w:r>
        <w:rPr>
          <w:rStyle w:val="eop"/>
          <w:rFonts w:ascii="Calibri" w:hAnsi="Calibri" w:cs="Calibri"/>
          <w:color w:val="000000"/>
          <w:sz w:val="20"/>
          <w:szCs w:val="20"/>
          <w:shd w:val="clear" w:color="auto" w:fill="FFFFFF"/>
        </w:rPr>
        <w:t> </w:t>
      </w:r>
    </w:p>
    <w:p w14:paraId="77FE6733" w14:textId="62921267"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992086" w:rsidRPr="00992086">
        <w:rPr>
          <w:sz w:val="20"/>
          <w:szCs w:val="20"/>
          <w:lang w:val="en-GB"/>
        </w:rPr>
        <w:t xml:space="preserve">An estimated 30% of autistic children are minimally verbal, which has a significant impact on </w:t>
      </w:r>
      <w:proofErr w:type="spellStart"/>
      <w:r w:rsidR="00992086" w:rsidRPr="00992086">
        <w:rPr>
          <w:sz w:val="20"/>
          <w:szCs w:val="20"/>
          <w:lang w:val="en-GB"/>
        </w:rPr>
        <w:t>behavioral</w:t>
      </w:r>
      <w:proofErr w:type="spellEnd"/>
      <w:r w:rsidR="00992086" w:rsidRPr="00992086">
        <w:rPr>
          <w:sz w:val="20"/>
          <w:szCs w:val="20"/>
          <w:lang w:val="en-GB"/>
        </w:rPr>
        <w:t>, educational, social, and vocational outcomes over the lifespan (Tager-</w:t>
      </w:r>
      <w:proofErr w:type="spellStart"/>
      <w:r w:rsidR="00992086" w:rsidRPr="00992086">
        <w:rPr>
          <w:sz w:val="20"/>
          <w:szCs w:val="20"/>
          <w:lang w:val="en-GB"/>
        </w:rPr>
        <w:t>Flusberg</w:t>
      </w:r>
      <w:proofErr w:type="spellEnd"/>
      <w:r w:rsidR="00992086" w:rsidRPr="00992086">
        <w:rPr>
          <w:sz w:val="20"/>
          <w:szCs w:val="20"/>
          <w:lang w:val="en-GB"/>
        </w:rPr>
        <w:t xml:space="preserve"> &amp; </w:t>
      </w:r>
      <w:proofErr w:type="spellStart"/>
      <w:r w:rsidR="00992086" w:rsidRPr="00992086">
        <w:rPr>
          <w:sz w:val="20"/>
          <w:szCs w:val="20"/>
          <w:lang w:val="en-GB"/>
        </w:rPr>
        <w:t>Kasari</w:t>
      </w:r>
      <w:proofErr w:type="spellEnd"/>
      <w:r w:rsidR="00992086" w:rsidRPr="00992086">
        <w:rPr>
          <w:sz w:val="20"/>
          <w:szCs w:val="20"/>
          <w:lang w:val="en-GB"/>
        </w:rPr>
        <w:t>, 2013). Understanding what skills predict progress in language intervention is critical for developing personalized treatments and improving outcomes, and recent work has identified speech production ability as a key predictor of language development in autism (</w:t>
      </w:r>
      <w:proofErr w:type="spellStart"/>
      <w:r w:rsidR="00992086" w:rsidRPr="00992086">
        <w:rPr>
          <w:sz w:val="20"/>
          <w:szCs w:val="20"/>
          <w:lang w:val="en-GB"/>
        </w:rPr>
        <w:t>Chenausky</w:t>
      </w:r>
      <w:proofErr w:type="spellEnd"/>
      <w:r w:rsidR="00992086" w:rsidRPr="00992086">
        <w:rPr>
          <w:sz w:val="20"/>
          <w:szCs w:val="20"/>
          <w:lang w:val="en-GB"/>
        </w:rPr>
        <w:t xml:space="preserve"> et al., 2019). While vowel accuracy is not often the primary focus of clinical speech production measures, recent research has focused on vowels because of the effect they have on prosody and the potential implications for intelligibility (e.g., Maffei et al., 2024). In addition, vowel production in other populations is associated with dysarthric speech and may be an indicator of the motor difficulties with articulation. Allison et al. (2017) found that reduced precision in the production of vowel targets and significantly smaller vowel space areas were present in children with cerebral palsy and dysarthria when compared to typically developing same-aged peers. The objective of the current study is to explore how features of minimally verbal autistic children’s vowel productions (i.e., accuracy, duration, and distinctiveness) relate to progress in a word learning intervention. </w:t>
      </w:r>
      <w:r w:rsidR="00992086" w:rsidRPr="00992086">
        <w:rPr>
          <w:sz w:val="20"/>
          <w:szCs w:val="20"/>
        </w:rPr>
        <w:t> </w:t>
      </w:r>
    </w:p>
    <w:p w14:paraId="7AC50373" w14:textId="2E4D2A8B"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992086" w:rsidRPr="00992086">
        <w:rPr>
          <w:color w:val="000000"/>
          <w:sz w:val="20"/>
          <w:szCs w:val="20"/>
        </w:rPr>
        <w:t xml:space="preserve">22 school-age children with autism (mean age = 6.45 years, range = 4.58-10.75 years; 5 girls) participated in a word learning intervention targeting speech and vocabulary skills (Brady et al., 2021). All participants were minimally verbal (i.e., used fewer than 50 spoken words and no phrase level speech) at study onset. An expressive vocabulary probe of CVC words was administered 1x/week over the course of the intervention study, and probe responses were transcribed and scored for accuracy. Vowel accuracy was determined by measuring whether the probe response matched the target along four parameters: height, advancement, tenseness, and roundedness, resulting in a score between 0 and 4.  All vowel productions were also analyzed for vowel duration, fundamental frequency, F1, and F2 using </w:t>
      </w:r>
      <w:proofErr w:type="spellStart"/>
      <w:r w:rsidR="00992086" w:rsidRPr="00992086">
        <w:rPr>
          <w:color w:val="000000"/>
          <w:sz w:val="20"/>
          <w:szCs w:val="20"/>
        </w:rPr>
        <w:t>Praat</w:t>
      </w:r>
      <w:proofErr w:type="spellEnd"/>
      <w:r w:rsidR="00992086" w:rsidRPr="00992086">
        <w:rPr>
          <w:color w:val="000000"/>
          <w:sz w:val="20"/>
          <w:szCs w:val="20"/>
        </w:rPr>
        <w:t xml:space="preserve"> software (Boersma, 2001). 20% of vowel productions across all participants were randomly selected and analyzed again for reliability. At baseline, all participants also completed a Verbal Imitation Battery (VIB; Rogers et al., 2003) which included both gross motor and oral motor imitation tasks. Response to intervention was measured by averaging the number of words learned in all subsequent weeks of intervention. We examined whether baseline performance on oral motor imitation, vowel accuracy, and vowel acoustic features were associated with response to intervention.</w:t>
      </w:r>
    </w:p>
    <w:p w14:paraId="7AC50374" w14:textId="7345DD35"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992086" w:rsidRPr="00992086">
        <w:rPr>
          <w:color w:val="000000"/>
          <w:sz w:val="20"/>
          <w:szCs w:val="20"/>
          <w:lang w:val="en-GB"/>
        </w:rPr>
        <w:t>Participants’ mean vowel accuracy across all attempted probe words ranged from 0 to 3.58 (mean = 2.03). Vowel accuracy at baseline was significantly associated with response to intervention, such that higher vowel accuracy at baseline was associated with more words learned per week (</w:t>
      </w:r>
      <w:proofErr w:type="gramStart"/>
      <w:r w:rsidR="00992086" w:rsidRPr="00992086">
        <w:rPr>
          <w:i/>
          <w:iCs/>
          <w:color w:val="000000"/>
          <w:sz w:val="20"/>
          <w:szCs w:val="20"/>
          <w:lang w:val="en-GB"/>
        </w:rPr>
        <w:t>F</w:t>
      </w:r>
      <w:r w:rsidR="00992086" w:rsidRPr="00992086">
        <w:rPr>
          <w:color w:val="000000"/>
          <w:sz w:val="20"/>
          <w:szCs w:val="20"/>
          <w:lang w:val="en-GB"/>
        </w:rPr>
        <w:t>(</w:t>
      </w:r>
      <w:proofErr w:type="gramEnd"/>
      <w:r w:rsidR="00992086" w:rsidRPr="00992086">
        <w:rPr>
          <w:color w:val="000000"/>
          <w:sz w:val="20"/>
          <w:szCs w:val="20"/>
          <w:lang w:val="en-GB"/>
        </w:rPr>
        <w:t xml:space="preserve">1, 20) = 6.13, </w:t>
      </w:r>
      <w:r w:rsidR="00992086" w:rsidRPr="00992086">
        <w:rPr>
          <w:i/>
          <w:iCs/>
          <w:color w:val="000000"/>
          <w:sz w:val="20"/>
          <w:szCs w:val="20"/>
          <w:lang w:val="en-GB"/>
        </w:rPr>
        <w:t>p</w:t>
      </w:r>
      <w:r w:rsidR="00992086" w:rsidRPr="00992086">
        <w:rPr>
          <w:color w:val="000000"/>
          <w:sz w:val="20"/>
          <w:szCs w:val="20"/>
          <w:lang w:val="en-GB"/>
        </w:rPr>
        <w:t xml:space="preserve"> = .022). Higher oral motor imitation scores at baseline also significantly predicted greater response to intervention (</w:t>
      </w:r>
      <w:proofErr w:type="gramStart"/>
      <w:r w:rsidR="00992086" w:rsidRPr="00992086">
        <w:rPr>
          <w:i/>
          <w:iCs/>
          <w:color w:val="000000"/>
          <w:sz w:val="20"/>
          <w:szCs w:val="20"/>
          <w:lang w:val="en-GB"/>
        </w:rPr>
        <w:t>F</w:t>
      </w:r>
      <w:r w:rsidR="00992086" w:rsidRPr="00992086">
        <w:rPr>
          <w:color w:val="000000"/>
          <w:sz w:val="20"/>
          <w:szCs w:val="20"/>
          <w:lang w:val="en-GB"/>
        </w:rPr>
        <w:t>(</w:t>
      </w:r>
      <w:proofErr w:type="gramEnd"/>
      <w:r w:rsidR="00992086" w:rsidRPr="00992086">
        <w:rPr>
          <w:color w:val="000000"/>
          <w:sz w:val="20"/>
          <w:szCs w:val="20"/>
          <w:lang w:val="en-GB"/>
        </w:rPr>
        <w:t xml:space="preserve">1, 16) = 6.98, </w:t>
      </w:r>
      <w:r w:rsidR="00992086" w:rsidRPr="00992086">
        <w:rPr>
          <w:i/>
          <w:iCs/>
          <w:color w:val="000000"/>
          <w:sz w:val="20"/>
          <w:szCs w:val="20"/>
          <w:lang w:val="en-GB"/>
        </w:rPr>
        <w:t>p</w:t>
      </w:r>
      <w:r w:rsidR="00992086" w:rsidRPr="00992086">
        <w:rPr>
          <w:color w:val="000000"/>
          <w:sz w:val="20"/>
          <w:szCs w:val="20"/>
          <w:lang w:val="en-GB"/>
        </w:rPr>
        <w:t xml:space="preserve"> = .018), and oral motor skills were moderately significantly associated with vowel accuracy (</w:t>
      </w:r>
      <w:r w:rsidR="00992086" w:rsidRPr="00992086">
        <w:rPr>
          <w:i/>
          <w:iCs/>
          <w:color w:val="000000"/>
          <w:sz w:val="20"/>
          <w:szCs w:val="20"/>
          <w:lang w:val="en-GB"/>
        </w:rPr>
        <w:t xml:space="preserve">r </w:t>
      </w:r>
      <w:r w:rsidR="00992086" w:rsidRPr="00992086">
        <w:rPr>
          <w:color w:val="000000"/>
          <w:sz w:val="20"/>
          <w:szCs w:val="20"/>
          <w:lang w:val="en-GB"/>
        </w:rPr>
        <w:t xml:space="preserve">= 0.53, </w:t>
      </w:r>
      <w:r w:rsidR="00992086" w:rsidRPr="00992086">
        <w:rPr>
          <w:i/>
          <w:iCs/>
          <w:color w:val="000000"/>
          <w:sz w:val="20"/>
          <w:szCs w:val="20"/>
          <w:lang w:val="en-GB"/>
        </w:rPr>
        <w:t>p</w:t>
      </w:r>
      <w:r w:rsidR="00992086" w:rsidRPr="00992086">
        <w:rPr>
          <w:color w:val="000000"/>
          <w:sz w:val="20"/>
          <w:szCs w:val="20"/>
          <w:lang w:val="en-GB"/>
        </w:rPr>
        <w:t xml:space="preserve"> = .024). Vowel duration at baseline did not significantly predict response to intervention (</w:t>
      </w:r>
      <w:proofErr w:type="gramStart"/>
      <w:r w:rsidR="00992086" w:rsidRPr="00992086">
        <w:rPr>
          <w:i/>
          <w:iCs/>
          <w:color w:val="000000"/>
          <w:sz w:val="20"/>
          <w:szCs w:val="20"/>
          <w:lang w:val="en-GB"/>
        </w:rPr>
        <w:t>F</w:t>
      </w:r>
      <w:r w:rsidR="00992086" w:rsidRPr="00992086">
        <w:rPr>
          <w:color w:val="000000"/>
          <w:sz w:val="20"/>
          <w:szCs w:val="20"/>
          <w:lang w:val="en-GB"/>
        </w:rPr>
        <w:t>(</w:t>
      </w:r>
      <w:proofErr w:type="gramEnd"/>
      <w:r w:rsidR="00992086" w:rsidRPr="00992086">
        <w:rPr>
          <w:color w:val="000000"/>
          <w:sz w:val="20"/>
          <w:szCs w:val="20"/>
          <w:lang w:val="en-GB"/>
        </w:rPr>
        <w:t xml:space="preserve">1, 17) = 4.18, </w:t>
      </w:r>
      <w:r w:rsidR="00992086" w:rsidRPr="00992086">
        <w:rPr>
          <w:i/>
          <w:iCs/>
          <w:color w:val="000000"/>
          <w:sz w:val="20"/>
          <w:szCs w:val="20"/>
          <w:lang w:val="en-GB"/>
        </w:rPr>
        <w:t>p</w:t>
      </w:r>
      <w:r w:rsidR="00992086" w:rsidRPr="00992086">
        <w:rPr>
          <w:color w:val="000000"/>
          <w:sz w:val="20"/>
          <w:szCs w:val="20"/>
          <w:lang w:val="en-GB"/>
        </w:rPr>
        <w:t xml:space="preserve"> = 0.057). Planned analyses will assess vowel distinctiveness by standardizing vowel formant values to account for differences in age and gender (</w:t>
      </w:r>
      <w:proofErr w:type="spellStart"/>
      <w:r w:rsidR="00992086" w:rsidRPr="00992086">
        <w:rPr>
          <w:color w:val="000000"/>
          <w:sz w:val="20"/>
          <w:szCs w:val="20"/>
          <w:lang w:val="en-GB"/>
        </w:rPr>
        <w:t>Fourakis</w:t>
      </w:r>
      <w:proofErr w:type="spellEnd"/>
      <w:r w:rsidR="00992086" w:rsidRPr="00992086">
        <w:rPr>
          <w:color w:val="000000"/>
          <w:sz w:val="20"/>
          <w:szCs w:val="20"/>
          <w:lang w:val="en-GB"/>
        </w:rPr>
        <w:t>, 1993) and measuring the distance between vowel productions. We hypothesize that higher vowel distinctiveness will be associated with greater response to intervention. </w:t>
      </w:r>
    </w:p>
    <w:p w14:paraId="7AC50375" w14:textId="6E856B23" w:rsidR="003D6244" w:rsidRPr="004E6CD2" w:rsidRDefault="003D6244" w:rsidP="003D6244">
      <w:pPr>
        <w:rPr>
          <w:color w:val="000000"/>
          <w:sz w:val="20"/>
          <w:szCs w:val="20"/>
          <w:lang w:val="en-GB"/>
        </w:rPr>
      </w:pPr>
      <w:r>
        <w:rPr>
          <w:b/>
          <w:iCs/>
          <w:color w:val="000000"/>
          <w:sz w:val="20"/>
          <w:szCs w:val="20"/>
          <w:lang w:val="en-GB"/>
        </w:rPr>
        <w:t xml:space="preserve">Discussion: </w:t>
      </w:r>
      <w:r w:rsidR="00992086">
        <w:rPr>
          <w:rStyle w:val="normaltextrun"/>
          <w:rFonts w:ascii="Calibri" w:hAnsi="Calibri" w:cs="Calibri"/>
          <w:color w:val="000000"/>
          <w:sz w:val="20"/>
          <w:szCs w:val="20"/>
          <w:shd w:val="clear" w:color="auto" w:fill="FFFFFF"/>
          <w:lang w:val="en-GB"/>
        </w:rPr>
        <w:t xml:space="preserve">The current findings underscore the importance of speech production as a key predictor of treatment outcomes for autistic children who are minimally </w:t>
      </w:r>
      <w:proofErr w:type="gramStart"/>
      <w:r w:rsidR="00992086">
        <w:rPr>
          <w:rStyle w:val="normaltextrun"/>
          <w:rFonts w:ascii="Calibri" w:hAnsi="Calibri" w:cs="Calibri"/>
          <w:color w:val="000000"/>
          <w:sz w:val="20"/>
          <w:szCs w:val="20"/>
          <w:shd w:val="clear" w:color="auto" w:fill="FFFFFF"/>
          <w:lang w:val="en-GB"/>
        </w:rPr>
        <w:t>verbal, and</w:t>
      </w:r>
      <w:proofErr w:type="gramEnd"/>
      <w:r w:rsidR="00992086">
        <w:rPr>
          <w:rStyle w:val="normaltextrun"/>
          <w:rFonts w:ascii="Calibri" w:hAnsi="Calibri" w:cs="Calibri"/>
          <w:color w:val="000000"/>
          <w:sz w:val="20"/>
          <w:szCs w:val="20"/>
          <w:shd w:val="clear" w:color="auto" w:fill="FFFFFF"/>
          <w:lang w:val="en-GB"/>
        </w:rPr>
        <w:t xml:space="preserve"> replicate previous work showing the relationship between speech production and language skills in autism (Brady et al., 2021; </w:t>
      </w:r>
      <w:proofErr w:type="spellStart"/>
      <w:r w:rsidR="00992086">
        <w:rPr>
          <w:rStyle w:val="normaltextrun"/>
          <w:rFonts w:ascii="Calibri" w:hAnsi="Calibri" w:cs="Calibri"/>
          <w:color w:val="000000"/>
          <w:sz w:val="20"/>
          <w:szCs w:val="20"/>
          <w:shd w:val="clear" w:color="auto" w:fill="FFFFFF"/>
          <w:lang w:val="en-GB"/>
        </w:rPr>
        <w:t>Chenausky</w:t>
      </w:r>
      <w:proofErr w:type="spellEnd"/>
      <w:r w:rsidR="00992086">
        <w:rPr>
          <w:rStyle w:val="normaltextrun"/>
          <w:rFonts w:ascii="Calibri" w:hAnsi="Calibri" w:cs="Calibri"/>
          <w:color w:val="000000"/>
          <w:sz w:val="20"/>
          <w:szCs w:val="20"/>
          <w:shd w:val="clear" w:color="auto" w:fill="FFFFFF"/>
          <w:lang w:val="en-GB"/>
        </w:rPr>
        <w:t xml:space="preserve"> et al., 2019; Saul &amp; Norbury, 2020). The current study builds on prior research by focusing specifically on vowel productions and their relationship to intervention outcomes. We found that vowel accuracy was a unique predictor of speech and language intervention progress, and that differences in vowel accuracy may be related to oral motor imitation skills, highlighting the importance of vowel productions in characterizing general speech production abilities and predicting treatment outcomes. Further research is needed to identify specific patterns and </w:t>
      </w:r>
      <w:r w:rsidR="00992086">
        <w:rPr>
          <w:rStyle w:val="normaltextrun"/>
          <w:rFonts w:ascii="Calibri" w:hAnsi="Calibri" w:cs="Calibri"/>
          <w:color w:val="000000"/>
          <w:sz w:val="20"/>
          <w:szCs w:val="20"/>
          <w:shd w:val="clear" w:color="auto" w:fill="FFFFFF"/>
          <w:lang w:val="en-GB"/>
        </w:rPr>
        <w:lastRenderedPageBreak/>
        <w:t>characteristics of children’s vowel productions that may predict language development and language intervention progress, which may inform future interventions.</w:t>
      </w:r>
      <w:r w:rsidR="00992086">
        <w:rPr>
          <w:rStyle w:val="normaltextrun"/>
          <w:color w:val="000000"/>
          <w:sz w:val="20"/>
          <w:szCs w:val="20"/>
          <w:shd w:val="clear" w:color="auto" w:fill="FFFFFF"/>
          <w:lang w:val="en-GB"/>
        </w:rPr>
        <w:t xml:space="preserve"> </w:t>
      </w:r>
      <w:r w:rsidR="00992086">
        <w:rPr>
          <w:rStyle w:val="eop"/>
          <w:color w:val="000000"/>
          <w:sz w:val="20"/>
          <w:szCs w:val="20"/>
          <w:shd w:val="clear" w:color="auto" w:fill="FFFFFF"/>
        </w:rPr>
        <w:t> </w:t>
      </w:r>
    </w:p>
    <w:p w14:paraId="7AC50376" w14:textId="4AF40BA4"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0269EDA1" w14:textId="77777777" w:rsidR="00992086" w:rsidRPr="00992086" w:rsidRDefault="00992086" w:rsidP="00992086">
      <w:pPr>
        <w:rPr>
          <w:color w:val="000000"/>
          <w:sz w:val="20"/>
          <w:szCs w:val="20"/>
        </w:rPr>
      </w:pPr>
      <w:r w:rsidRPr="00992086">
        <w:rPr>
          <w:color w:val="000000"/>
          <w:sz w:val="20"/>
          <w:szCs w:val="20"/>
          <w:lang w:val="en-GB"/>
        </w:rPr>
        <w:t xml:space="preserve">Allison, Kristin M., Annear, L, </w:t>
      </w:r>
      <w:proofErr w:type="spellStart"/>
      <w:r w:rsidRPr="00992086">
        <w:rPr>
          <w:color w:val="000000"/>
          <w:sz w:val="20"/>
          <w:szCs w:val="20"/>
          <w:lang w:val="en-GB"/>
        </w:rPr>
        <w:t>Policicchio</w:t>
      </w:r>
      <w:proofErr w:type="spellEnd"/>
      <w:r w:rsidRPr="00992086">
        <w:rPr>
          <w:color w:val="000000"/>
          <w:sz w:val="20"/>
          <w:szCs w:val="20"/>
          <w:lang w:val="en-GB"/>
        </w:rPr>
        <w:t xml:space="preserve">, M., </w:t>
      </w:r>
      <w:proofErr w:type="spellStart"/>
      <w:r w:rsidRPr="00992086">
        <w:rPr>
          <w:color w:val="000000"/>
          <w:sz w:val="20"/>
          <w:szCs w:val="20"/>
          <w:lang w:val="en-GB"/>
        </w:rPr>
        <w:t>Hustad</w:t>
      </w:r>
      <w:proofErr w:type="spellEnd"/>
      <w:r w:rsidRPr="00992086">
        <w:rPr>
          <w:color w:val="000000"/>
          <w:sz w:val="20"/>
          <w:szCs w:val="20"/>
          <w:lang w:val="en-GB"/>
        </w:rPr>
        <w:t xml:space="preserve">, K.C. (2017). Range and Precision of Formant Movement in </w:t>
      </w:r>
      <w:proofErr w:type="spellStart"/>
      <w:r w:rsidRPr="00992086">
        <w:rPr>
          <w:color w:val="000000"/>
          <w:sz w:val="20"/>
          <w:szCs w:val="20"/>
          <w:lang w:val="en-GB"/>
        </w:rPr>
        <w:t>Pediatric</w:t>
      </w:r>
      <w:proofErr w:type="spellEnd"/>
      <w:r w:rsidRPr="00992086">
        <w:rPr>
          <w:color w:val="000000"/>
          <w:sz w:val="20"/>
          <w:szCs w:val="20"/>
          <w:lang w:val="en-GB"/>
        </w:rPr>
        <w:t xml:space="preserve"> Dysarthria. Journal of Speech, Language, and Hearing Research, 60(7), 1864-1876. </w:t>
      </w:r>
      <w:hyperlink r:id="rId10" w:tgtFrame="_blank" w:history="1">
        <w:r w:rsidRPr="00992086">
          <w:rPr>
            <w:rStyle w:val="Hyperlink"/>
            <w:sz w:val="20"/>
            <w:szCs w:val="20"/>
            <w:lang w:val="en-GB"/>
          </w:rPr>
          <w:t>https://doi.org/10.1044/2017_JSLHR-S-15-0438</w:t>
        </w:r>
      </w:hyperlink>
      <w:r w:rsidRPr="00992086">
        <w:rPr>
          <w:color w:val="000000"/>
          <w:sz w:val="20"/>
          <w:szCs w:val="20"/>
        </w:rPr>
        <w:t> </w:t>
      </w:r>
    </w:p>
    <w:p w14:paraId="34CDEE63" w14:textId="77777777" w:rsidR="00992086" w:rsidRPr="00992086" w:rsidRDefault="00992086" w:rsidP="00992086">
      <w:pPr>
        <w:rPr>
          <w:color w:val="000000"/>
          <w:sz w:val="20"/>
          <w:szCs w:val="20"/>
        </w:rPr>
      </w:pPr>
      <w:r w:rsidRPr="00992086">
        <w:rPr>
          <w:color w:val="000000"/>
          <w:sz w:val="20"/>
          <w:szCs w:val="20"/>
          <w:lang w:val="en-GB"/>
        </w:rPr>
        <w:t xml:space="preserve">Boersma, Paul (2001). </w:t>
      </w:r>
      <w:proofErr w:type="spellStart"/>
      <w:r w:rsidRPr="00992086">
        <w:rPr>
          <w:color w:val="000000"/>
          <w:sz w:val="20"/>
          <w:szCs w:val="20"/>
          <w:lang w:val="en-GB"/>
        </w:rPr>
        <w:t>Praat</w:t>
      </w:r>
      <w:proofErr w:type="spellEnd"/>
      <w:r w:rsidRPr="00992086">
        <w:rPr>
          <w:color w:val="000000"/>
          <w:sz w:val="20"/>
          <w:szCs w:val="20"/>
          <w:lang w:val="en-GB"/>
        </w:rPr>
        <w:t>, a system for doing phonetics by computer. </w:t>
      </w:r>
      <w:proofErr w:type="spellStart"/>
      <w:r w:rsidRPr="00992086">
        <w:rPr>
          <w:i/>
          <w:iCs/>
          <w:color w:val="000000"/>
          <w:sz w:val="20"/>
          <w:szCs w:val="20"/>
          <w:lang w:val="en-GB"/>
        </w:rPr>
        <w:t>Glot</w:t>
      </w:r>
      <w:proofErr w:type="spellEnd"/>
      <w:r w:rsidRPr="00992086">
        <w:rPr>
          <w:i/>
          <w:iCs/>
          <w:color w:val="000000"/>
          <w:sz w:val="20"/>
          <w:szCs w:val="20"/>
          <w:lang w:val="en-GB"/>
        </w:rPr>
        <w:t xml:space="preserve"> International</w:t>
      </w:r>
      <w:r w:rsidRPr="00992086">
        <w:rPr>
          <w:color w:val="000000"/>
          <w:sz w:val="20"/>
          <w:szCs w:val="20"/>
          <w:lang w:val="en-GB"/>
        </w:rPr>
        <w:t> </w:t>
      </w:r>
      <w:r w:rsidRPr="00992086">
        <w:rPr>
          <w:b/>
          <w:bCs/>
          <w:color w:val="000000"/>
          <w:sz w:val="20"/>
          <w:szCs w:val="20"/>
          <w:lang w:val="en-GB"/>
        </w:rPr>
        <w:t>5:9/10</w:t>
      </w:r>
      <w:r w:rsidRPr="00992086">
        <w:rPr>
          <w:color w:val="000000"/>
          <w:sz w:val="20"/>
          <w:szCs w:val="20"/>
          <w:lang w:val="en-GB"/>
        </w:rPr>
        <w:t>, 341-345.</w:t>
      </w:r>
      <w:r w:rsidRPr="00992086">
        <w:rPr>
          <w:color w:val="000000"/>
          <w:sz w:val="20"/>
          <w:szCs w:val="20"/>
        </w:rPr>
        <w:t> </w:t>
      </w:r>
    </w:p>
    <w:p w14:paraId="5B3F2EF2" w14:textId="77777777" w:rsidR="00992086" w:rsidRPr="00992086" w:rsidRDefault="00992086" w:rsidP="00992086">
      <w:pPr>
        <w:rPr>
          <w:color w:val="000000"/>
          <w:sz w:val="20"/>
          <w:szCs w:val="20"/>
        </w:rPr>
      </w:pPr>
      <w:r w:rsidRPr="00992086">
        <w:rPr>
          <w:color w:val="000000"/>
          <w:sz w:val="20"/>
          <w:szCs w:val="20"/>
          <w:lang w:val="en-GB"/>
        </w:rPr>
        <w:t xml:space="preserve">Brady, N. C., </w:t>
      </w:r>
      <w:proofErr w:type="spellStart"/>
      <w:r w:rsidRPr="00992086">
        <w:rPr>
          <w:color w:val="000000"/>
          <w:sz w:val="20"/>
          <w:szCs w:val="20"/>
          <w:lang w:val="en-GB"/>
        </w:rPr>
        <w:t>Kosirog</w:t>
      </w:r>
      <w:proofErr w:type="spellEnd"/>
      <w:r w:rsidRPr="00992086">
        <w:rPr>
          <w:color w:val="000000"/>
          <w:sz w:val="20"/>
          <w:szCs w:val="20"/>
          <w:lang w:val="en-GB"/>
        </w:rPr>
        <w:t xml:space="preserve">, C., Fleming, K., &amp; Williams, L. (2021). Predicting progress in word learning for children with autism and minimal verbal skills. Journal of Neurodevelopmental Disorders, 13(1), 36. </w:t>
      </w:r>
      <w:hyperlink r:id="rId11" w:tgtFrame="_blank" w:history="1">
        <w:r w:rsidRPr="00992086">
          <w:rPr>
            <w:rStyle w:val="Hyperlink"/>
            <w:sz w:val="20"/>
            <w:szCs w:val="20"/>
            <w:lang w:val="en-GB"/>
          </w:rPr>
          <w:t>https://doi.org/10.1186/s11689-021-09386-x</w:t>
        </w:r>
      </w:hyperlink>
      <w:r w:rsidRPr="00992086">
        <w:rPr>
          <w:color w:val="000000"/>
          <w:sz w:val="20"/>
          <w:szCs w:val="20"/>
          <w:lang w:val="en-GB"/>
        </w:rPr>
        <w:t xml:space="preserve"> </w:t>
      </w:r>
      <w:r w:rsidRPr="00992086">
        <w:rPr>
          <w:color w:val="000000"/>
          <w:sz w:val="20"/>
          <w:szCs w:val="20"/>
        </w:rPr>
        <w:t> </w:t>
      </w:r>
    </w:p>
    <w:p w14:paraId="21F8E8BC" w14:textId="77777777" w:rsidR="00992086" w:rsidRPr="00992086" w:rsidRDefault="00992086" w:rsidP="00992086">
      <w:pPr>
        <w:rPr>
          <w:color w:val="000000"/>
          <w:sz w:val="20"/>
          <w:szCs w:val="20"/>
        </w:rPr>
      </w:pPr>
      <w:proofErr w:type="spellStart"/>
      <w:r w:rsidRPr="00992086">
        <w:rPr>
          <w:color w:val="000000"/>
          <w:sz w:val="20"/>
          <w:szCs w:val="20"/>
          <w:lang w:val="en-GB"/>
        </w:rPr>
        <w:t>Chenausky</w:t>
      </w:r>
      <w:proofErr w:type="spellEnd"/>
      <w:r w:rsidRPr="00992086">
        <w:rPr>
          <w:color w:val="000000"/>
          <w:sz w:val="20"/>
          <w:szCs w:val="20"/>
          <w:lang w:val="en-GB"/>
        </w:rPr>
        <w:t>, K., Brignell, A., Morgan, A., &amp; Tager-</w:t>
      </w:r>
      <w:proofErr w:type="spellStart"/>
      <w:r w:rsidRPr="00992086">
        <w:rPr>
          <w:color w:val="000000"/>
          <w:sz w:val="20"/>
          <w:szCs w:val="20"/>
          <w:lang w:val="en-GB"/>
        </w:rPr>
        <w:t>Flusberg</w:t>
      </w:r>
      <w:proofErr w:type="spellEnd"/>
      <w:r w:rsidRPr="00992086">
        <w:rPr>
          <w:color w:val="000000"/>
          <w:sz w:val="20"/>
          <w:szCs w:val="20"/>
          <w:lang w:val="en-GB"/>
        </w:rPr>
        <w:t xml:space="preserve">, H. (2019). Motor speech impairment predicts expressive language in minimally verbal, but not low verbal, individuals with autism spectrum disorder. Autism &amp; Developmental Language Impairments, 4, 2396941519856333. https://doi.org/10.1177/2396941519856333 </w:t>
      </w:r>
      <w:r w:rsidRPr="00992086">
        <w:rPr>
          <w:color w:val="000000"/>
          <w:sz w:val="20"/>
          <w:szCs w:val="20"/>
        </w:rPr>
        <w:t> </w:t>
      </w:r>
    </w:p>
    <w:p w14:paraId="65054092" w14:textId="77777777" w:rsidR="00992086" w:rsidRPr="00992086" w:rsidRDefault="00992086" w:rsidP="00992086">
      <w:pPr>
        <w:rPr>
          <w:color w:val="000000"/>
          <w:sz w:val="20"/>
          <w:szCs w:val="20"/>
        </w:rPr>
      </w:pPr>
      <w:proofErr w:type="spellStart"/>
      <w:r w:rsidRPr="00992086">
        <w:rPr>
          <w:color w:val="000000"/>
          <w:sz w:val="20"/>
          <w:szCs w:val="20"/>
          <w:lang w:val="en-GB"/>
        </w:rPr>
        <w:t>Fourakis</w:t>
      </w:r>
      <w:proofErr w:type="spellEnd"/>
      <w:r w:rsidRPr="00992086">
        <w:rPr>
          <w:color w:val="000000"/>
          <w:sz w:val="20"/>
          <w:szCs w:val="20"/>
          <w:lang w:val="en-GB"/>
        </w:rPr>
        <w:t xml:space="preserve">, M., </w:t>
      </w:r>
      <w:proofErr w:type="spellStart"/>
      <w:r w:rsidRPr="00992086">
        <w:rPr>
          <w:color w:val="000000"/>
          <w:sz w:val="20"/>
          <w:szCs w:val="20"/>
          <w:lang w:val="en-GB"/>
        </w:rPr>
        <w:t>Geers</w:t>
      </w:r>
      <w:proofErr w:type="spellEnd"/>
      <w:r w:rsidRPr="00992086">
        <w:rPr>
          <w:color w:val="000000"/>
          <w:sz w:val="20"/>
          <w:szCs w:val="20"/>
          <w:lang w:val="en-GB"/>
        </w:rPr>
        <w:t xml:space="preserve">, A., &amp; Tobey, E. (1993). An acoustic metric for assessing change in vowel production by profoundly hearing-impaired children. The Journal of the Acoustical Society of America, 94(5), 2544–2552. </w:t>
      </w:r>
      <w:hyperlink r:id="rId12" w:tgtFrame="_blank" w:history="1">
        <w:r w:rsidRPr="00992086">
          <w:rPr>
            <w:rStyle w:val="Hyperlink"/>
            <w:sz w:val="20"/>
            <w:szCs w:val="20"/>
            <w:lang w:val="en-GB"/>
          </w:rPr>
          <w:t>https://doi.org/10.1121/1.407366</w:t>
        </w:r>
      </w:hyperlink>
      <w:r w:rsidRPr="00992086">
        <w:rPr>
          <w:color w:val="000000"/>
          <w:sz w:val="20"/>
          <w:szCs w:val="20"/>
        </w:rPr>
        <w:t> </w:t>
      </w:r>
    </w:p>
    <w:p w14:paraId="158B1DCC" w14:textId="77777777" w:rsidR="00992086" w:rsidRPr="00992086" w:rsidRDefault="00992086" w:rsidP="00992086">
      <w:pPr>
        <w:rPr>
          <w:color w:val="000000"/>
          <w:sz w:val="20"/>
          <w:szCs w:val="20"/>
        </w:rPr>
      </w:pPr>
      <w:r w:rsidRPr="00992086">
        <w:rPr>
          <w:color w:val="000000"/>
          <w:sz w:val="20"/>
          <w:szCs w:val="20"/>
          <w:lang w:val="en-GB"/>
        </w:rPr>
        <w:t xml:space="preserve">Maffei, M. F., </w:t>
      </w:r>
      <w:proofErr w:type="spellStart"/>
      <w:r w:rsidRPr="00992086">
        <w:rPr>
          <w:color w:val="000000"/>
          <w:sz w:val="20"/>
          <w:szCs w:val="20"/>
          <w:lang w:val="en-GB"/>
        </w:rPr>
        <w:t>Chenausky</w:t>
      </w:r>
      <w:proofErr w:type="spellEnd"/>
      <w:r w:rsidRPr="00992086">
        <w:rPr>
          <w:color w:val="000000"/>
          <w:sz w:val="20"/>
          <w:szCs w:val="20"/>
          <w:lang w:val="en-GB"/>
        </w:rPr>
        <w:t xml:space="preserve">, K. V., </w:t>
      </w:r>
      <w:proofErr w:type="spellStart"/>
      <w:r w:rsidRPr="00992086">
        <w:rPr>
          <w:color w:val="000000"/>
          <w:sz w:val="20"/>
          <w:szCs w:val="20"/>
          <w:lang w:val="en-GB"/>
        </w:rPr>
        <w:t>Haenssler</w:t>
      </w:r>
      <w:proofErr w:type="spellEnd"/>
      <w:r w:rsidRPr="00992086">
        <w:rPr>
          <w:color w:val="000000"/>
          <w:sz w:val="20"/>
          <w:szCs w:val="20"/>
          <w:lang w:val="en-GB"/>
        </w:rPr>
        <w:t>, A., Abbiati, C., Tager-</w:t>
      </w:r>
      <w:proofErr w:type="spellStart"/>
      <w:r w:rsidRPr="00992086">
        <w:rPr>
          <w:color w:val="000000"/>
          <w:sz w:val="20"/>
          <w:szCs w:val="20"/>
          <w:lang w:val="en-GB"/>
        </w:rPr>
        <w:t>Flusberg</w:t>
      </w:r>
      <w:proofErr w:type="spellEnd"/>
      <w:r w:rsidRPr="00992086">
        <w:rPr>
          <w:color w:val="000000"/>
          <w:sz w:val="20"/>
          <w:szCs w:val="20"/>
          <w:lang w:val="en-GB"/>
        </w:rPr>
        <w:t xml:space="preserve">, H., &amp; Green, J. R. (2024). Exploring Motor Speech Disorders in Low and Minimally Verbal Autistic Individuals: An Auditory-Perceptual Analysis. American Journal of Speech-Language Pathology, 33(3), 1485–1503. </w:t>
      </w:r>
      <w:hyperlink r:id="rId13" w:tgtFrame="_blank" w:history="1">
        <w:r w:rsidRPr="00992086">
          <w:rPr>
            <w:rStyle w:val="Hyperlink"/>
            <w:sz w:val="20"/>
            <w:szCs w:val="20"/>
            <w:lang w:val="en-GB"/>
          </w:rPr>
          <w:t>https://doi.org/10.1044/2024_AJSLP-23-00237</w:t>
        </w:r>
      </w:hyperlink>
      <w:r w:rsidRPr="00992086">
        <w:rPr>
          <w:color w:val="000000"/>
          <w:sz w:val="20"/>
          <w:szCs w:val="20"/>
          <w:lang w:val="en-GB"/>
        </w:rPr>
        <w:t xml:space="preserve"> </w:t>
      </w:r>
      <w:r w:rsidRPr="00992086">
        <w:rPr>
          <w:color w:val="000000"/>
          <w:sz w:val="20"/>
          <w:szCs w:val="20"/>
        </w:rPr>
        <w:t> </w:t>
      </w:r>
    </w:p>
    <w:p w14:paraId="3FF85E0B" w14:textId="5E3A5B4B" w:rsidR="00992086" w:rsidRPr="00992086" w:rsidRDefault="00992086" w:rsidP="003D6244">
      <w:pPr>
        <w:rPr>
          <w:color w:val="000000"/>
          <w:sz w:val="20"/>
          <w:szCs w:val="20"/>
        </w:rPr>
      </w:pPr>
      <w:r w:rsidRPr="00992086">
        <w:rPr>
          <w:color w:val="000000"/>
          <w:sz w:val="20"/>
          <w:szCs w:val="20"/>
          <w:lang w:val="en-GB"/>
        </w:rPr>
        <w:t>Rogers, S.J., Hepburn, S. L., Stackhouse, T., &amp; Wehner, E. (2003). Imitation performance in toddlers with autism and those with other developmental disorders. Journal of Child Psychology and Psychiatry 44(5</w:t>
      </w:r>
      <w:proofErr w:type="gramStart"/>
      <w:r w:rsidRPr="00992086">
        <w:rPr>
          <w:color w:val="000000"/>
          <w:sz w:val="20"/>
          <w:szCs w:val="20"/>
          <w:lang w:val="en-GB"/>
        </w:rPr>
        <w:t>),  763</w:t>
      </w:r>
      <w:proofErr w:type="gramEnd"/>
      <w:r w:rsidRPr="00992086">
        <w:rPr>
          <w:color w:val="000000"/>
          <w:sz w:val="20"/>
          <w:szCs w:val="20"/>
          <w:lang w:val="en-GB"/>
        </w:rPr>
        <w:t>-781.</w:t>
      </w:r>
      <w:r w:rsidRPr="00992086">
        <w:rPr>
          <w:color w:val="000000"/>
          <w:sz w:val="20"/>
          <w:szCs w:val="20"/>
        </w:rPr>
        <w:t> </w:t>
      </w:r>
    </w:p>
    <w:p w14:paraId="7AC50377" w14:textId="7BCF5563" w:rsidR="003D6244" w:rsidRPr="008B1E03" w:rsidRDefault="003D6244" w:rsidP="003D6244">
      <w:pPr>
        <w:pStyle w:val="FootnoteText"/>
        <w:rPr>
          <w:lang w:val="en-CA"/>
        </w:rPr>
      </w:pPr>
      <w:r w:rsidRPr="008B1E03">
        <w:rPr>
          <w:rStyle w:val="FootnoteReference"/>
        </w:rPr>
        <w:footnoteRef/>
      </w:r>
      <w:r w:rsidRPr="008B1E03">
        <w:t xml:space="preserve"> </w:t>
      </w:r>
      <w:r w:rsidR="00992086">
        <w:rPr>
          <w:lang w:val="en-CA"/>
        </w:rPr>
        <w:t>University of Kansas</w:t>
      </w:r>
    </w:p>
    <w:p w14:paraId="7AC50378" w14:textId="4BDE93CF" w:rsidR="003D6244" w:rsidRPr="008B1E03" w:rsidRDefault="003D6244" w:rsidP="003D6244">
      <w:pPr>
        <w:pStyle w:val="FootnoteText"/>
        <w:rPr>
          <w:lang w:val="en-CA"/>
        </w:rPr>
      </w:pPr>
      <w:r>
        <w:rPr>
          <w:rStyle w:val="FootnoteReference"/>
        </w:rPr>
        <w:t>2</w:t>
      </w:r>
      <w:r w:rsidRPr="008B1E03">
        <w:t xml:space="preserve"> </w:t>
      </w:r>
      <w:r w:rsidR="00992086">
        <w:rPr>
          <w:lang w:val="en-CA"/>
        </w:rPr>
        <w:t>Boston University</w:t>
      </w:r>
    </w:p>
    <w:p w14:paraId="7AC5037A" w14:textId="77777777" w:rsidR="001C735E" w:rsidRPr="003D6244" w:rsidRDefault="001C735E" w:rsidP="003D6244"/>
    <w:sectPr w:rsidR="001C735E" w:rsidRPr="003D6244" w:rsidSect="00394E2C">
      <w:headerReference w:type="even" r:id="rId14"/>
      <w:headerReference w:type="default" r:id="rId15"/>
      <w:footerReference w:type="even" r:id="rId16"/>
      <w:footerReference w:type="default" r:id="rId17"/>
      <w:headerReference w:type="first" r:id="rId18"/>
      <w:footerReference w:type="first" r:id="rId19"/>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F642" w14:textId="77777777" w:rsidR="00602E34" w:rsidRDefault="00602E34" w:rsidP="00A16498">
      <w:pPr>
        <w:spacing w:after="0" w:line="240" w:lineRule="auto"/>
      </w:pPr>
      <w:r>
        <w:separator/>
      </w:r>
    </w:p>
  </w:endnote>
  <w:endnote w:type="continuationSeparator" w:id="0">
    <w:p w14:paraId="3CFED68D" w14:textId="77777777" w:rsidR="00602E34" w:rsidRDefault="00602E3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A9A9" w14:textId="77777777" w:rsidR="00602E34" w:rsidRDefault="00602E34" w:rsidP="00A16498">
      <w:pPr>
        <w:spacing w:after="0" w:line="240" w:lineRule="auto"/>
      </w:pPr>
      <w:r>
        <w:separator/>
      </w:r>
    </w:p>
  </w:footnote>
  <w:footnote w:type="continuationSeparator" w:id="0">
    <w:p w14:paraId="15E52F83" w14:textId="77777777" w:rsidR="00602E34" w:rsidRDefault="00602E3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550360"/>
    <w:rsid w:val="00577DC4"/>
    <w:rsid w:val="005F3158"/>
    <w:rsid w:val="00602E34"/>
    <w:rsid w:val="00625543"/>
    <w:rsid w:val="006535AF"/>
    <w:rsid w:val="006637E7"/>
    <w:rsid w:val="006C05DD"/>
    <w:rsid w:val="00751FEE"/>
    <w:rsid w:val="007722E4"/>
    <w:rsid w:val="0077649B"/>
    <w:rsid w:val="00777D73"/>
    <w:rsid w:val="007B4CE7"/>
    <w:rsid w:val="00801D2A"/>
    <w:rsid w:val="00817FE3"/>
    <w:rsid w:val="0087492A"/>
    <w:rsid w:val="008938D8"/>
    <w:rsid w:val="009462E3"/>
    <w:rsid w:val="00992086"/>
    <w:rsid w:val="009B1DAB"/>
    <w:rsid w:val="009E1B56"/>
    <w:rsid w:val="00A16498"/>
    <w:rsid w:val="00AB7B37"/>
    <w:rsid w:val="00AE4ADB"/>
    <w:rsid w:val="00B226B4"/>
    <w:rsid w:val="00B71AFF"/>
    <w:rsid w:val="00BA2D2D"/>
    <w:rsid w:val="00C53E85"/>
    <w:rsid w:val="00C6243D"/>
    <w:rsid w:val="00C80718"/>
    <w:rsid w:val="00CF3CDF"/>
    <w:rsid w:val="00D46241"/>
    <w:rsid w:val="00D60D08"/>
    <w:rsid w:val="00DC15FA"/>
    <w:rsid w:val="00DF70EB"/>
    <w:rsid w:val="00E15391"/>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customStyle="1" w:styleId="normaltextrun">
    <w:name w:val="normaltextrun"/>
    <w:basedOn w:val="DefaultParagraphFont"/>
    <w:rsid w:val="00992086"/>
  </w:style>
  <w:style w:type="character" w:customStyle="1" w:styleId="eop">
    <w:name w:val="eop"/>
    <w:basedOn w:val="DefaultParagraphFont"/>
    <w:rsid w:val="00992086"/>
  </w:style>
  <w:style w:type="character" w:styleId="Hyperlink">
    <w:name w:val="Hyperlink"/>
    <w:basedOn w:val="DefaultParagraphFont"/>
    <w:uiPriority w:val="99"/>
    <w:unhideWhenUsed/>
    <w:rsid w:val="00992086"/>
    <w:rPr>
      <w:color w:val="0000FF" w:themeColor="hyperlink"/>
      <w:u w:val="single"/>
    </w:rPr>
  </w:style>
  <w:style w:type="character" w:styleId="UnresolvedMention">
    <w:name w:val="Unresolved Mention"/>
    <w:basedOn w:val="DefaultParagraphFont"/>
    <w:uiPriority w:val="99"/>
    <w:semiHidden/>
    <w:unhideWhenUsed/>
    <w:rsid w:val="00992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29248">
      <w:bodyDiv w:val="1"/>
      <w:marLeft w:val="0"/>
      <w:marRight w:val="0"/>
      <w:marTop w:val="0"/>
      <w:marBottom w:val="0"/>
      <w:divBdr>
        <w:top w:val="none" w:sz="0" w:space="0" w:color="auto"/>
        <w:left w:val="none" w:sz="0" w:space="0" w:color="auto"/>
        <w:bottom w:val="none" w:sz="0" w:space="0" w:color="auto"/>
        <w:right w:val="none" w:sz="0" w:space="0" w:color="auto"/>
      </w:divBdr>
      <w:divsChild>
        <w:div w:id="1499033520">
          <w:marLeft w:val="0"/>
          <w:marRight w:val="0"/>
          <w:marTop w:val="0"/>
          <w:marBottom w:val="0"/>
          <w:divBdr>
            <w:top w:val="none" w:sz="0" w:space="0" w:color="auto"/>
            <w:left w:val="none" w:sz="0" w:space="0" w:color="auto"/>
            <w:bottom w:val="none" w:sz="0" w:space="0" w:color="auto"/>
            <w:right w:val="none" w:sz="0" w:space="0" w:color="auto"/>
          </w:divBdr>
        </w:div>
        <w:div w:id="1789810556">
          <w:marLeft w:val="0"/>
          <w:marRight w:val="0"/>
          <w:marTop w:val="0"/>
          <w:marBottom w:val="0"/>
          <w:divBdr>
            <w:top w:val="none" w:sz="0" w:space="0" w:color="auto"/>
            <w:left w:val="none" w:sz="0" w:space="0" w:color="auto"/>
            <w:bottom w:val="none" w:sz="0" w:space="0" w:color="auto"/>
            <w:right w:val="none" w:sz="0" w:space="0" w:color="auto"/>
          </w:divBdr>
        </w:div>
        <w:div w:id="1203862072">
          <w:marLeft w:val="0"/>
          <w:marRight w:val="0"/>
          <w:marTop w:val="0"/>
          <w:marBottom w:val="0"/>
          <w:divBdr>
            <w:top w:val="none" w:sz="0" w:space="0" w:color="auto"/>
            <w:left w:val="none" w:sz="0" w:space="0" w:color="auto"/>
            <w:bottom w:val="none" w:sz="0" w:space="0" w:color="auto"/>
            <w:right w:val="none" w:sz="0" w:space="0" w:color="auto"/>
          </w:divBdr>
        </w:div>
        <w:div w:id="1936787887">
          <w:marLeft w:val="0"/>
          <w:marRight w:val="0"/>
          <w:marTop w:val="0"/>
          <w:marBottom w:val="0"/>
          <w:divBdr>
            <w:top w:val="none" w:sz="0" w:space="0" w:color="auto"/>
            <w:left w:val="none" w:sz="0" w:space="0" w:color="auto"/>
            <w:bottom w:val="none" w:sz="0" w:space="0" w:color="auto"/>
            <w:right w:val="none" w:sz="0" w:space="0" w:color="auto"/>
          </w:divBdr>
        </w:div>
        <w:div w:id="215628548">
          <w:marLeft w:val="0"/>
          <w:marRight w:val="0"/>
          <w:marTop w:val="0"/>
          <w:marBottom w:val="0"/>
          <w:divBdr>
            <w:top w:val="none" w:sz="0" w:space="0" w:color="auto"/>
            <w:left w:val="none" w:sz="0" w:space="0" w:color="auto"/>
            <w:bottom w:val="none" w:sz="0" w:space="0" w:color="auto"/>
            <w:right w:val="none" w:sz="0" w:space="0" w:color="auto"/>
          </w:divBdr>
        </w:div>
        <w:div w:id="275912169">
          <w:marLeft w:val="0"/>
          <w:marRight w:val="0"/>
          <w:marTop w:val="0"/>
          <w:marBottom w:val="0"/>
          <w:divBdr>
            <w:top w:val="none" w:sz="0" w:space="0" w:color="auto"/>
            <w:left w:val="none" w:sz="0" w:space="0" w:color="auto"/>
            <w:bottom w:val="none" w:sz="0" w:space="0" w:color="auto"/>
            <w:right w:val="none" w:sz="0" w:space="0" w:color="auto"/>
          </w:divBdr>
        </w:div>
        <w:div w:id="346181521">
          <w:marLeft w:val="0"/>
          <w:marRight w:val="0"/>
          <w:marTop w:val="0"/>
          <w:marBottom w:val="0"/>
          <w:divBdr>
            <w:top w:val="none" w:sz="0" w:space="0" w:color="auto"/>
            <w:left w:val="none" w:sz="0" w:space="0" w:color="auto"/>
            <w:bottom w:val="none" w:sz="0" w:space="0" w:color="auto"/>
            <w:right w:val="none" w:sz="0" w:space="0" w:color="auto"/>
          </w:divBdr>
        </w:div>
        <w:div w:id="301277161">
          <w:marLeft w:val="0"/>
          <w:marRight w:val="0"/>
          <w:marTop w:val="0"/>
          <w:marBottom w:val="0"/>
          <w:divBdr>
            <w:top w:val="none" w:sz="0" w:space="0" w:color="auto"/>
            <w:left w:val="none" w:sz="0" w:space="0" w:color="auto"/>
            <w:bottom w:val="none" w:sz="0" w:space="0" w:color="auto"/>
            <w:right w:val="none" w:sz="0" w:space="0" w:color="auto"/>
          </w:divBdr>
        </w:div>
        <w:div w:id="1128015116">
          <w:marLeft w:val="0"/>
          <w:marRight w:val="0"/>
          <w:marTop w:val="0"/>
          <w:marBottom w:val="0"/>
          <w:divBdr>
            <w:top w:val="none" w:sz="0" w:space="0" w:color="auto"/>
            <w:left w:val="none" w:sz="0" w:space="0" w:color="auto"/>
            <w:bottom w:val="none" w:sz="0" w:space="0" w:color="auto"/>
            <w:right w:val="none" w:sz="0" w:space="0" w:color="auto"/>
          </w:divBdr>
        </w:div>
        <w:div w:id="1586693885">
          <w:marLeft w:val="0"/>
          <w:marRight w:val="0"/>
          <w:marTop w:val="0"/>
          <w:marBottom w:val="0"/>
          <w:divBdr>
            <w:top w:val="none" w:sz="0" w:space="0" w:color="auto"/>
            <w:left w:val="none" w:sz="0" w:space="0" w:color="auto"/>
            <w:bottom w:val="none" w:sz="0" w:space="0" w:color="auto"/>
            <w:right w:val="none" w:sz="0" w:space="0" w:color="auto"/>
          </w:divBdr>
        </w:div>
      </w:divsChild>
    </w:div>
    <w:div w:id="1253393191">
      <w:bodyDiv w:val="1"/>
      <w:marLeft w:val="0"/>
      <w:marRight w:val="0"/>
      <w:marTop w:val="0"/>
      <w:marBottom w:val="0"/>
      <w:divBdr>
        <w:top w:val="none" w:sz="0" w:space="0" w:color="auto"/>
        <w:left w:val="none" w:sz="0" w:space="0" w:color="auto"/>
        <w:bottom w:val="none" w:sz="0" w:space="0" w:color="auto"/>
        <w:right w:val="none" w:sz="0" w:space="0" w:color="auto"/>
      </w:divBdr>
      <w:divsChild>
        <w:div w:id="1296833617">
          <w:marLeft w:val="0"/>
          <w:marRight w:val="0"/>
          <w:marTop w:val="0"/>
          <w:marBottom w:val="0"/>
          <w:divBdr>
            <w:top w:val="none" w:sz="0" w:space="0" w:color="auto"/>
            <w:left w:val="none" w:sz="0" w:space="0" w:color="auto"/>
            <w:bottom w:val="none" w:sz="0" w:space="0" w:color="auto"/>
            <w:right w:val="none" w:sz="0" w:space="0" w:color="auto"/>
          </w:divBdr>
        </w:div>
        <w:div w:id="1614706871">
          <w:marLeft w:val="0"/>
          <w:marRight w:val="0"/>
          <w:marTop w:val="0"/>
          <w:marBottom w:val="0"/>
          <w:divBdr>
            <w:top w:val="none" w:sz="0" w:space="0" w:color="auto"/>
            <w:left w:val="none" w:sz="0" w:space="0" w:color="auto"/>
            <w:bottom w:val="none" w:sz="0" w:space="0" w:color="auto"/>
            <w:right w:val="none" w:sz="0" w:space="0" w:color="auto"/>
          </w:divBdr>
        </w:div>
        <w:div w:id="557784635">
          <w:marLeft w:val="0"/>
          <w:marRight w:val="0"/>
          <w:marTop w:val="0"/>
          <w:marBottom w:val="0"/>
          <w:divBdr>
            <w:top w:val="none" w:sz="0" w:space="0" w:color="auto"/>
            <w:left w:val="none" w:sz="0" w:space="0" w:color="auto"/>
            <w:bottom w:val="none" w:sz="0" w:space="0" w:color="auto"/>
            <w:right w:val="none" w:sz="0" w:space="0" w:color="auto"/>
          </w:divBdr>
        </w:div>
        <w:div w:id="1045564662">
          <w:marLeft w:val="0"/>
          <w:marRight w:val="0"/>
          <w:marTop w:val="0"/>
          <w:marBottom w:val="0"/>
          <w:divBdr>
            <w:top w:val="none" w:sz="0" w:space="0" w:color="auto"/>
            <w:left w:val="none" w:sz="0" w:space="0" w:color="auto"/>
            <w:bottom w:val="none" w:sz="0" w:space="0" w:color="auto"/>
            <w:right w:val="none" w:sz="0" w:space="0" w:color="auto"/>
          </w:divBdr>
        </w:div>
        <w:div w:id="1364330704">
          <w:marLeft w:val="0"/>
          <w:marRight w:val="0"/>
          <w:marTop w:val="0"/>
          <w:marBottom w:val="0"/>
          <w:divBdr>
            <w:top w:val="none" w:sz="0" w:space="0" w:color="auto"/>
            <w:left w:val="none" w:sz="0" w:space="0" w:color="auto"/>
            <w:bottom w:val="none" w:sz="0" w:space="0" w:color="auto"/>
            <w:right w:val="none" w:sz="0" w:space="0" w:color="auto"/>
          </w:divBdr>
        </w:div>
        <w:div w:id="607548091">
          <w:marLeft w:val="0"/>
          <w:marRight w:val="0"/>
          <w:marTop w:val="0"/>
          <w:marBottom w:val="0"/>
          <w:divBdr>
            <w:top w:val="none" w:sz="0" w:space="0" w:color="auto"/>
            <w:left w:val="none" w:sz="0" w:space="0" w:color="auto"/>
            <w:bottom w:val="none" w:sz="0" w:space="0" w:color="auto"/>
            <w:right w:val="none" w:sz="0" w:space="0" w:color="auto"/>
          </w:divBdr>
        </w:div>
        <w:div w:id="558134329">
          <w:marLeft w:val="0"/>
          <w:marRight w:val="0"/>
          <w:marTop w:val="0"/>
          <w:marBottom w:val="0"/>
          <w:divBdr>
            <w:top w:val="none" w:sz="0" w:space="0" w:color="auto"/>
            <w:left w:val="none" w:sz="0" w:space="0" w:color="auto"/>
            <w:bottom w:val="none" w:sz="0" w:space="0" w:color="auto"/>
            <w:right w:val="none" w:sz="0" w:space="0" w:color="auto"/>
          </w:divBdr>
        </w:div>
        <w:div w:id="1208376236">
          <w:marLeft w:val="0"/>
          <w:marRight w:val="0"/>
          <w:marTop w:val="0"/>
          <w:marBottom w:val="0"/>
          <w:divBdr>
            <w:top w:val="none" w:sz="0" w:space="0" w:color="auto"/>
            <w:left w:val="none" w:sz="0" w:space="0" w:color="auto"/>
            <w:bottom w:val="none" w:sz="0" w:space="0" w:color="auto"/>
            <w:right w:val="none" w:sz="0" w:space="0" w:color="auto"/>
          </w:divBdr>
        </w:div>
        <w:div w:id="1765956151">
          <w:marLeft w:val="0"/>
          <w:marRight w:val="0"/>
          <w:marTop w:val="0"/>
          <w:marBottom w:val="0"/>
          <w:divBdr>
            <w:top w:val="none" w:sz="0" w:space="0" w:color="auto"/>
            <w:left w:val="none" w:sz="0" w:space="0" w:color="auto"/>
            <w:bottom w:val="none" w:sz="0" w:space="0" w:color="auto"/>
            <w:right w:val="none" w:sz="0" w:space="0" w:color="auto"/>
          </w:divBdr>
        </w:div>
        <w:div w:id="55778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44/2024_AJSLP-23-0023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121/1.40736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86/s11689-021-09386-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oi.org/10.1044/2017_JSLHR-S-15-0438"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Olivia Boorom</cp:lastModifiedBy>
  <cp:revision>2</cp:revision>
  <dcterms:created xsi:type="dcterms:W3CDTF">2024-11-05T02:38:00Z</dcterms:created>
  <dcterms:modified xsi:type="dcterms:W3CDTF">2024-11-05T02:38:00Z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