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50370" w14:textId="12BC214E" w:rsidR="003D6244" w:rsidRPr="009E00A7" w:rsidRDefault="003D6244" w:rsidP="003D6244">
      <w:pPr>
        <w:rPr>
          <w:sz w:val="20"/>
          <w:szCs w:val="20"/>
        </w:rPr>
      </w:pPr>
      <w:r w:rsidRPr="009E00A7">
        <w:rPr>
          <w:b/>
          <w:sz w:val="20"/>
          <w:szCs w:val="20"/>
        </w:rPr>
        <w:t>Title</w:t>
      </w:r>
      <w:r w:rsidRPr="009E00A7">
        <w:rPr>
          <w:sz w:val="20"/>
          <w:szCs w:val="20"/>
        </w:rPr>
        <w:t xml:space="preserve">: </w:t>
      </w:r>
      <w:r w:rsidR="00D81668" w:rsidRPr="001109A5">
        <w:rPr>
          <w:color w:val="000000" w:themeColor="text1"/>
          <w:sz w:val="20"/>
          <w:szCs w:val="20"/>
          <w:lang w:eastAsia="zh-CN"/>
        </w:rPr>
        <w:t>Checklist for the Cultural Adaptation of JASPER Training Materials for Chinese Caregivers</w:t>
      </w:r>
      <w:r w:rsidR="00D81668">
        <w:rPr>
          <w:rFonts w:hint="eastAsia"/>
          <w:color w:val="000000" w:themeColor="text1"/>
          <w:sz w:val="20"/>
          <w:szCs w:val="20"/>
          <w:lang w:eastAsia="zh-CN"/>
        </w:rPr>
        <w:t xml:space="preserve"> of Children with Autism</w:t>
      </w:r>
    </w:p>
    <w:p w14:paraId="7AC50371" w14:textId="17816708" w:rsidR="003D6244" w:rsidRPr="008B1E03" w:rsidRDefault="003D6244" w:rsidP="003D6244">
      <w:pPr>
        <w:rPr>
          <w:sz w:val="20"/>
          <w:szCs w:val="20"/>
          <w:vertAlign w:val="superscript"/>
        </w:rPr>
      </w:pPr>
      <w:r w:rsidRPr="009E00A7">
        <w:rPr>
          <w:b/>
          <w:sz w:val="20"/>
          <w:szCs w:val="20"/>
        </w:rPr>
        <w:t>Authors</w:t>
      </w:r>
      <w:r w:rsidRPr="009E00A7">
        <w:rPr>
          <w:sz w:val="20"/>
          <w:szCs w:val="20"/>
        </w:rPr>
        <w:t xml:space="preserve">: </w:t>
      </w:r>
      <w:r w:rsidR="00D81668" w:rsidRPr="001109A5">
        <w:rPr>
          <w:rFonts w:hint="eastAsia"/>
          <w:color w:val="000000" w:themeColor="text1"/>
          <w:sz w:val="20"/>
          <w:szCs w:val="20"/>
          <w:lang w:eastAsia="zh-CN"/>
        </w:rPr>
        <w:t>Wenjing Bao</w:t>
      </w:r>
      <w:r w:rsidR="00D81668" w:rsidRPr="001109A5">
        <w:rPr>
          <w:color w:val="000000" w:themeColor="text1"/>
          <w:sz w:val="20"/>
          <w:szCs w:val="20"/>
          <w:vertAlign w:val="superscript"/>
        </w:rPr>
        <w:t>1</w:t>
      </w:r>
      <w:r w:rsidR="00D81668" w:rsidRPr="001109A5">
        <w:rPr>
          <w:color w:val="000000" w:themeColor="text1"/>
          <w:sz w:val="20"/>
          <w:szCs w:val="20"/>
        </w:rPr>
        <w:t xml:space="preserve">, </w:t>
      </w:r>
      <w:r w:rsidR="00D81668" w:rsidRPr="001109A5">
        <w:rPr>
          <w:rFonts w:hint="eastAsia"/>
          <w:color w:val="000000" w:themeColor="text1"/>
          <w:sz w:val="20"/>
          <w:szCs w:val="20"/>
          <w:lang w:eastAsia="zh-CN"/>
        </w:rPr>
        <w:t>Stephanie Shire</w:t>
      </w:r>
      <w:r w:rsidR="00D81668" w:rsidRPr="001109A5">
        <w:rPr>
          <w:color w:val="000000" w:themeColor="text1"/>
          <w:sz w:val="20"/>
          <w:szCs w:val="20"/>
          <w:vertAlign w:val="superscript"/>
        </w:rPr>
        <w:t>1</w:t>
      </w:r>
      <w:r w:rsidR="00D81668" w:rsidRPr="001109A5">
        <w:rPr>
          <w:color w:val="000000" w:themeColor="text1"/>
          <w:sz w:val="20"/>
          <w:szCs w:val="20"/>
        </w:rPr>
        <w:t>,</w:t>
      </w:r>
      <w:r w:rsidR="00D81668" w:rsidRPr="0060271A">
        <w:rPr>
          <w:rFonts w:hint="eastAsia"/>
          <w:color w:val="000000" w:themeColor="text1"/>
          <w:sz w:val="20"/>
          <w:szCs w:val="20"/>
          <w:lang w:eastAsia="zh-CN"/>
        </w:rPr>
        <w:t xml:space="preserve"> </w:t>
      </w:r>
      <w:proofErr w:type="spellStart"/>
      <w:r w:rsidR="00D81668" w:rsidRPr="001109A5">
        <w:rPr>
          <w:rFonts w:hint="eastAsia"/>
          <w:color w:val="000000" w:themeColor="text1"/>
          <w:sz w:val="20"/>
          <w:szCs w:val="20"/>
          <w:lang w:eastAsia="zh-CN"/>
        </w:rPr>
        <w:t>Yitong</w:t>
      </w:r>
      <w:proofErr w:type="spellEnd"/>
      <w:r w:rsidR="00D81668" w:rsidRPr="001109A5">
        <w:rPr>
          <w:rFonts w:hint="eastAsia"/>
          <w:color w:val="000000" w:themeColor="text1"/>
          <w:sz w:val="20"/>
          <w:szCs w:val="20"/>
          <w:lang w:eastAsia="zh-CN"/>
        </w:rPr>
        <w:t xml:space="preserve"> Jiang</w:t>
      </w:r>
      <w:r w:rsidR="00D81668" w:rsidRPr="001109A5">
        <w:rPr>
          <w:color w:val="000000" w:themeColor="text1"/>
          <w:sz w:val="20"/>
          <w:szCs w:val="20"/>
          <w:vertAlign w:val="superscript"/>
        </w:rPr>
        <w:t>1</w:t>
      </w:r>
      <w:r w:rsidR="00D81668" w:rsidRPr="001109A5">
        <w:rPr>
          <w:color w:val="000000" w:themeColor="text1"/>
          <w:sz w:val="20"/>
          <w:szCs w:val="20"/>
        </w:rPr>
        <w:t xml:space="preserve">, </w:t>
      </w:r>
      <w:r w:rsidR="00D81668" w:rsidRPr="001109A5">
        <w:rPr>
          <w:rFonts w:hint="eastAsia"/>
          <w:color w:val="000000" w:themeColor="text1"/>
          <w:sz w:val="20"/>
          <w:szCs w:val="20"/>
          <w:lang w:eastAsia="zh-CN"/>
        </w:rPr>
        <w:t>Eunji Kong</w:t>
      </w:r>
      <w:r w:rsidR="00D81668" w:rsidRPr="001109A5">
        <w:rPr>
          <w:color w:val="000000" w:themeColor="text1"/>
          <w:sz w:val="20"/>
          <w:szCs w:val="20"/>
          <w:vertAlign w:val="superscript"/>
        </w:rPr>
        <w:t>1</w:t>
      </w:r>
      <w:r w:rsidR="00D81668" w:rsidRPr="001109A5">
        <w:rPr>
          <w:color w:val="000000" w:themeColor="text1"/>
          <w:sz w:val="20"/>
          <w:szCs w:val="20"/>
        </w:rPr>
        <w:t xml:space="preserve">, </w:t>
      </w:r>
      <w:r w:rsidR="00D81668" w:rsidRPr="001109A5">
        <w:rPr>
          <w:rFonts w:hint="eastAsia"/>
          <w:color w:val="000000" w:themeColor="text1"/>
          <w:sz w:val="20"/>
          <w:szCs w:val="20"/>
          <w:lang w:eastAsia="zh-CN"/>
        </w:rPr>
        <w:t>Marina Crain</w:t>
      </w:r>
      <w:r w:rsidR="00D81668" w:rsidRPr="001109A5">
        <w:rPr>
          <w:color w:val="000000" w:themeColor="text1"/>
          <w:sz w:val="20"/>
          <w:szCs w:val="20"/>
          <w:vertAlign w:val="superscript"/>
        </w:rPr>
        <w:t>1</w:t>
      </w:r>
    </w:p>
    <w:p w14:paraId="77FE6733" w14:textId="1D09C328" w:rsidR="00452576" w:rsidRDefault="003D6244" w:rsidP="003D6244">
      <w:pPr>
        <w:rPr>
          <w:b/>
          <w:iCs/>
          <w:color w:val="000000"/>
          <w:sz w:val="20"/>
          <w:szCs w:val="20"/>
          <w:lang w:val="en-GB"/>
        </w:rPr>
      </w:pPr>
      <w:r w:rsidRPr="009E00A7">
        <w:rPr>
          <w:b/>
          <w:sz w:val="20"/>
          <w:szCs w:val="20"/>
        </w:rPr>
        <w:t>Introduction</w:t>
      </w:r>
      <w:r w:rsidRPr="009E00A7">
        <w:rPr>
          <w:sz w:val="20"/>
          <w:szCs w:val="20"/>
        </w:rPr>
        <w:t xml:space="preserve">: </w:t>
      </w:r>
      <w:r w:rsidR="00D81668" w:rsidRPr="001109A5">
        <w:rPr>
          <w:iCs/>
          <w:color w:val="000000" w:themeColor="text1"/>
          <w:sz w:val="20"/>
          <w:szCs w:val="20"/>
        </w:rPr>
        <w:t>Joint Attention, Symbolic Play, Engagement, and Regulation</w:t>
      </w:r>
      <w:r w:rsidR="00D81668" w:rsidRPr="001109A5">
        <w:rPr>
          <w:rFonts w:hint="eastAsia"/>
          <w:iCs/>
          <w:color w:val="000000" w:themeColor="text1"/>
          <w:sz w:val="20"/>
          <w:szCs w:val="20"/>
        </w:rPr>
        <w:t xml:space="preserve"> </w:t>
      </w:r>
      <w:r w:rsidR="00D81668" w:rsidRPr="001109A5">
        <w:rPr>
          <w:iCs/>
          <w:color w:val="000000" w:themeColor="text1"/>
          <w:sz w:val="20"/>
          <w:szCs w:val="20"/>
        </w:rPr>
        <w:t>(JASPER</w:t>
      </w:r>
      <w:r w:rsidR="00D81668" w:rsidRPr="001109A5">
        <w:rPr>
          <w:rFonts w:hint="eastAsia"/>
          <w:iCs/>
          <w:color w:val="000000" w:themeColor="text1"/>
          <w:sz w:val="20"/>
          <w:szCs w:val="20"/>
          <w:lang w:eastAsia="zh-CN"/>
        </w:rPr>
        <w:t xml:space="preserve">: </w:t>
      </w:r>
      <w:proofErr w:type="spellStart"/>
      <w:r w:rsidR="00D81668" w:rsidRPr="001109A5">
        <w:rPr>
          <w:rFonts w:hint="eastAsia"/>
          <w:iCs/>
          <w:color w:val="000000" w:themeColor="text1"/>
          <w:sz w:val="20"/>
          <w:szCs w:val="20"/>
          <w:lang w:eastAsia="zh-CN"/>
        </w:rPr>
        <w:t>Kasari</w:t>
      </w:r>
      <w:proofErr w:type="spellEnd"/>
      <w:r w:rsidR="00D81668" w:rsidRPr="001109A5">
        <w:rPr>
          <w:rFonts w:hint="eastAsia"/>
          <w:iCs/>
          <w:color w:val="000000" w:themeColor="text1"/>
          <w:sz w:val="20"/>
          <w:szCs w:val="20"/>
          <w:lang w:eastAsia="zh-CN"/>
        </w:rPr>
        <w:t xml:space="preserve"> et al., 2021</w:t>
      </w:r>
      <w:r w:rsidR="00D81668" w:rsidRPr="001109A5">
        <w:rPr>
          <w:rFonts w:hint="eastAsia"/>
          <w:iCs/>
          <w:color w:val="000000" w:themeColor="text1"/>
          <w:sz w:val="20"/>
          <w:szCs w:val="20"/>
        </w:rPr>
        <w:t xml:space="preserve">) </w:t>
      </w:r>
      <w:r w:rsidR="00D81668" w:rsidRPr="001109A5">
        <w:rPr>
          <w:iCs/>
          <w:color w:val="000000" w:themeColor="text1"/>
          <w:sz w:val="20"/>
          <w:szCs w:val="20"/>
        </w:rPr>
        <w:t xml:space="preserve">is an evidence-based intervention developed and tested for efficacy and effectiveness in North America. JASPER caregiver training materials </w:t>
      </w:r>
      <w:r w:rsidR="00D81668">
        <w:rPr>
          <w:iCs/>
          <w:color w:val="000000" w:themeColor="text1"/>
          <w:sz w:val="20"/>
          <w:szCs w:val="20"/>
        </w:rPr>
        <w:t>have yet to be tested for their</w:t>
      </w:r>
      <w:r w:rsidR="00D81668" w:rsidRPr="001109A5">
        <w:rPr>
          <w:iCs/>
          <w:color w:val="000000" w:themeColor="text1"/>
          <w:sz w:val="20"/>
          <w:szCs w:val="20"/>
        </w:rPr>
        <w:t xml:space="preserve"> suitab</w:t>
      </w:r>
      <w:r w:rsidR="00D81668">
        <w:rPr>
          <w:iCs/>
          <w:color w:val="000000" w:themeColor="text1"/>
          <w:sz w:val="20"/>
          <w:szCs w:val="20"/>
        </w:rPr>
        <w:t>ility</w:t>
      </w:r>
      <w:r w:rsidR="00D81668" w:rsidRPr="001109A5">
        <w:rPr>
          <w:iCs/>
          <w:color w:val="000000" w:themeColor="text1"/>
          <w:sz w:val="20"/>
          <w:szCs w:val="20"/>
        </w:rPr>
        <w:t xml:space="preserve"> for </w:t>
      </w:r>
      <w:r w:rsidR="00D81668">
        <w:rPr>
          <w:iCs/>
          <w:color w:val="000000" w:themeColor="text1"/>
          <w:sz w:val="20"/>
          <w:szCs w:val="20"/>
        </w:rPr>
        <w:t xml:space="preserve">specific cultural groups such as </w:t>
      </w:r>
      <w:r w:rsidR="00D81668" w:rsidRPr="001109A5">
        <w:rPr>
          <w:iCs/>
          <w:color w:val="000000" w:themeColor="text1"/>
          <w:sz w:val="20"/>
          <w:szCs w:val="20"/>
        </w:rPr>
        <w:t>Chinese caregivers</w:t>
      </w:r>
      <w:r w:rsidR="00D81668">
        <w:rPr>
          <w:iCs/>
          <w:color w:val="000000" w:themeColor="text1"/>
          <w:sz w:val="20"/>
          <w:szCs w:val="20"/>
        </w:rPr>
        <w:t>.</w:t>
      </w:r>
      <w:r w:rsidR="00D81668" w:rsidRPr="001109A5">
        <w:rPr>
          <w:iCs/>
          <w:color w:val="000000" w:themeColor="text1"/>
          <w:sz w:val="20"/>
          <w:szCs w:val="20"/>
        </w:rPr>
        <w:t xml:space="preserve"> </w:t>
      </w:r>
      <w:r w:rsidR="00D81668">
        <w:rPr>
          <w:iCs/>
          <w:color w:val="000000" w:themeColor="text1"/>
          <w:sz w:val="20"/>
          <w:szCs w:val="20"/>
        </w:rPr>
        <w:t>T</w:t>
      </w:r>
      <w:r w:rsidR="00D81668" w:rsidRPr="001109A5">
        <w:rPr>
          <w:iCs/>
          <w:color w:val="000000" w:themeColor="text1"/>
          <w:sz w:val="20"/>
          <w:szCs w:val="20"/>
        </w:rPr>
        <w:t>his study</w:t>
      </w:r>
      <w:r w:rsidR="00D81668" w:rsidRPr="001109A5">
        <w:rPr>
          <w:rFonts w:hint="eastAsia"/>
          <w:iCs/>
          <w:color w:val="000000" w:themeColor="text1"/>
          <w:sz w:val="20"/>
          <w:szCs w:val="20"/>
          <w:lang w:eastAsia="zh-CN"/>
        </w:rPr>
        <w:t xml:space="preserve"> </w:t>
      </w:r>
      <w:r w:rsidR="00D81668" w:rsidRPr="001109A5">
        <w:rPr>
          <w:iCs/>
          <w:color w:val="000000" w:themeColor="text1"/>
          <w:sz w:val="20"/>
          <w:szCs w:val="20"/>
        </w:rPr>
        <w:t>partner</w:t>
      </w:r>
      <w:r w:rsidR="00D81668" w:rsidRPr="001109A5">
        <w:rPr>
          <w:rFonts w:hint="eastAsia"/>
          <w:iCs/>
          <w:color w:val="000000" w:themeColor="text1"/>
          <w:sz w:val="20"/>
          <w:szCs w:val="20"/>
          <w:lang w:eastAsia="zh-CN"/>
        </w:rPr>
        <w:t>ed</w:t>
      </w:r>
      <w:r w:rsidR="00D81668" w:rsidRPr="001109A5">
        <w:rPr>
          <w:iCs/>
          <w:color w:val="000000" w:themeColor="text1"/>
          <w:sz w:val="20"/>
          <w:szCs w:val="20"/>
        </w:rPr>
        <w:t xml:space="preserve"> with Chinese caregivers of children with autism, autism intervention practitioners, </w:t>
      </w:r>
      <w:r w:rsidR="00D81668" w:rsidRPr="001109A5">
        <w:rPr>
          <w:rFonts w:hint="eastAsia"/>
          <w:iCs/>
          <w:color w:val="000000" w:themeColor="text1"/>
          <w:sz w:val="20"/>
          <w:szCs w:val="20"/>
          <w:lang w:eastAsia="zh-CN"/>
        </w:rPr>
        <w:t xml:space="preserve">as well as </w:t>
      </w:r>
      <w:r w:rsidR="00D81668" w:rsidRPr="001109A5">
        <w:rPr>
          <w:iCs/>
          <w:color w:val="000000" w:themeColor="text1"/>
          <w:sz w:val="20"/>
          <w:szCs w:val="20"/>
        </w:rPr>
        <w:t xml:space="preserve">JASPER </w:t>
      </w:r>
      <w:r w:rsidR="00D81668" w:rsidRPr="001109A5">
        <w:rPr>
          <w:rFonts w:hint="eastAsia"/>
          <w:iCs/>
          <w:color w:val="000000" w:themeColor="text1"/>
          <w:sz w:val="20"/>
          <w:szCs w:val="20"/>
          <w:lang w:eastAsia="zh-CN"/>
        </w:rPr>
        <w:t xml:space="preserve">and </w:t>
      </w:r>
      <w:r w:rsidR="00D81668" w:rsidRPr="001109A5">
        <w:rPr>
          <w:iCs/>
          <w:color w:val="000000" w:themeColor="text1"/>
          <w:sz w:val="20"/>
          <w:szCs w:val="20"/>
        </w:rPr>
        <w:t>cultural adaptation consultants</w:t>
      </w:r>
      <w:r w:rsidR="00D81668" w:rsidRPr="001109A5">
        <w:rPr>
          <w:rFonts w:hint="eastAsia"/>
          <w:iCs/>
          <w:color w:val="000000" w:themeColor="text1"/>
          <w:sz w:val="20"/>
          <w:szCs w:val="20"/>
          <w:lang w:eastAsia="zh-CN"/>
        </w:rPr>
        <w:t xml:space="preserve"> </w:t>
      </w:r>
      <w:r w:rsidR="00D81668" w:rsidRPr="001109A5">
        <w:rPr>
          <w:iCs/>
          <w:color w:val="000000" w:themeColor="text1"/>
          <w:sz w:val="20"/>
          <w:szCs w:val="20"/>
        </w:rPr>
        <w:t>to identify adaptations needed to improve the fit of these materials for Chinese communities. Based on feedback from community partners and refined with input from consultants, a checklist was developed to guide these adaptations.</w:t>
      </w:r>
      <w:r w:rsidR="00D81668" w:rsidRPr="00700C91">
        <w:rPr>
          <w:iCs/>
          <w:sz w:val="20"/>
          <w:szCs w:val="20"/>
        </w:rPr>
        <w:t xml:space="preserve"> The following research questio</w:t>
      </w:r>
      <w:r w:rsidR="00D81668" w:rsidRPr="00700C91">
        <w:rPr>
          <w:rFonts w:hint="eastAsia"/>
          <w:iCs/>
          <w:sz w:val="20"/>
          <w:szCs w:val="20"/>
        </w:rPr>
        <w:t>n</w:t>
      </w:r>
      <w:r w:rsidR="00D81668" w:rsidRPr="00700C91">
        <w:rPr>
          <w:iCs/>
          <w:sz w:val="20"/>
          <w:szCs w:val="20"/>
        </w:rPr>
        <w:t xml:space="preserve"> </w:t>
      </w:r>
      <w:r w:rsidR="00D81668" w:rsidRPr="00700C91">
        <w:rPr>
          <w:rFonts w:hint="eastAsia"/>
          <w:iCs/>
          <w:sz w:val="20"/>
          <w:szCs w:val="20"/>
        </w:rPr>
        <w:t>was</w:t>
      </w:r>
      <w:r w:rsidR="00D81668" w:rsidRPr="00700C91">
        <w:rPr>
          <w:iCs/>
          <w:sz w:val="20"/>
          <w:szCs w:val="20"/>
        </w:rPr>
        <w:t xml:space="preserve"> addressed in this study: framed within the </w:t>
      </w:r>
      <w:r w:rsidR="00D81668" w:rsidRPr="001109A5">
        <w:rPr>
          <w:iCs/>
          <w:color w:val="000000" w:themeColor="text1"/>
          <w:sz w:val="20"/>
          <w:szCs w:val="20"/>
        </w:rPr>
        <w:t>Ecological Validity Model (</w:t>
      </w:r>
      <w:r w:rsidR="00D81668">
        <w:rPr>
          <w:rFonts w:hint="eastAsia"/>
          <w:iCs/>
          <w:color w:val="000000" w:themeColor="text1"/>
          <w:sz w:val="20"/>
          <w:szCs w:val="20"/>
        </w:rPr>
        <w:t xml:space="preserve">EVM: </w:t>
      </w:r>
      <w:r w:rsidR="00D81668" w:rsidRPr="001109A5">
        <w:rPr>
          <w:iCs/>
          <w:color w:val="000000" w:themeColor="text1"/>
          <w:sz w:val="20"/>
          <w:szCs w:val="20"/>
        </w:rPr>
        <w:t>Bernal et al., 1995)</w:t>
      </w:r>
      <w:r w:rsidR="00D81668" w:rsidRPr="00700C91">
        <w:rPr>
          <w:iCs/>
          <w:sz w:val="20"/>
          <w:szCs w:val="20"/>
        </w:rPr>
        <w:t xml:space="preserve">, what adaptations do Chinese community partners recommend making to the translated caregiver-mediated JASPER </w:t>
      </w:r>
      <w:r w:rsidR="00D81668" w:rsidRPr="00700C91">
        <w:rPr>
          <w:rFonts w:hint="eastAsia"/>
          <w:iCs/>
          <w:sz w:val="20"/>
          <w:szCs w:val="20"/>
        </w:rPr>
        <w:t>training materials</w:t>
      </w:r>
      <w:r w:rsidR="00D81668" w:rsidRPr="00700C91">
        <w:rPr>
          <w:iCs/>
          <w:sz w:val="20"/>
          <w:szCs w:val="20"/>
        </w:rPr>
        <w:t>?</w:t>
      </w:r>
    </w:p>
    <w:p w14:paraId="7AC50373" w14:textId="7BF9C30A" w:rsidR="003D6244" w:rsidRDefault="003D6244" w:rsidP="003D6244">
      <w:pPr>
        <w:rPr>
          <w:color w:val="000000"/>
          <w:sz w:val="20"/>
          <w:szCs w:val="20"/>
          <w:lang w:val="en-GB"/>
        </w:rPr>
      </w:pPr>
      <w:r>
        <w:rPr>
          <w:b/>
          <w:color w:val="000000"/>
          <w:sz w:val="20"/>
          <w:szCs w:val="20"/>
          <w:lang w:val="en-GB"/>
        </w:rPr>
        <w:t>Method</w:t>
      </w:r>
      <w:r>
        <w:rPr>
          <w:color w:val="000000"/>
          <w:sz w:val="20"/>
          <w:szCs w:val="20"/>
          <w:lang w:val="en-GB"/>
        </w:rPr>
        <w:t xml:space="preserve">: </w:t>
      </w:r>
      <w:r w:rsidR="00D81668" w:rsidRPr="001109A5">
        <w:rPr>
          <w:rFonts w:hint="eastAsia"/>
          <w:iCs/>
          <w:color w:val="000000" w:themeColor="text1"/>
          <w:sz w:val="20"/>
          <w:szCs w:val="20"/>
        </w:rPr>
        <w:t>T</w:t>
      </w:r>
      <w:r w:rsidR="00D81668" w:rsidRPr="001109A5">
        <w:rPr>
          <w:iCs/>
          <w:color w:val="000000" w:themeColor="text1"/>
          <w:sz w:val="20"/>
          <w:szCs w:val="20"/>
        </w:rPr>
        <w:t xml:space="preserve">wo focus groups with caregivers and two with autism practitioners (six participants per group) were conducted </w:t>
      </w:r>
      <w:r w:rsidR="00D81668" w:rsidRPr="001109A5">
        <w:rPr>
          <w:rFonts w:hint="eastAsia"/>
          <w:iCs/>
          <w:color w:val="000000" w:themeColor="text1"/>
          <w:sz w:val="20"/>
          <w:szCs w:val="20"/>
        </w:rPr>
        <w:t>following</w:t>
      </w:r>
      <w:r w:rsidR="00D81668" w:rsidRPr="001109A5">
        <w:rPr>
          <w:iCs/>
          <w:color w:val="000000" w:themeColor="text1"/>
          <w:sz w:val="20"/>
          <w:szCs w:val="20"/>
        </w:rPr>
        <w:t xml:space="preserve"> a focus group guide (Krueger &amp; Casey, 2015) to gather feedback on the translated JASPER training materials. The focus groups were recorded, transcribed, and translated</w:t>
      </w:r>
      <w:r w:rsidR="00D81668" w:rsidRPr="001109A5">
        <w:rPr>
          <w:rFonts w:hint="eastAsia"/>
          <w:iCs/>
          <w:color w:val="000000" w:themeColor="text1"/>
          <w:sz w:val="20"/>
          <w:szCs w:val="20"/>
        </w:rPr>
        <w:t>. T</w:t>
      </w:r>
      <w:r w:rsidR="00D81668" w:rsidRPr="001109A5">
        <w:rPr>
          <w:iCs/>
          <w:color w:val="000000" w:themeColor="text1"/>
          <w:sz w:val="20"/>
          <w:szCs w:val="20"/>
        </w:rPr>
        <w:t>he translated transcripts were then analyzed using both inductive and deductive methods. Trained coders used a coding form</w:t>
      </w:r>
      <w:r w:rsidR="00D81668" w:rsidRPr="001109A5">
        <w:rPr>
          <w:rFonts w:hint="eastAsia"/>
          <w:iCs/>
          <w:color w:val="000000" w:themeColor="text1"/>
          <w:sz w:val="20"/>
          <w:szCs w:val="20"/>
          <w:lang w:eastAsia="zh-CN"/>
        </w:rPr>
        <w:t>,</w:t>
      </w:r>
      <w:r w:rsidR="00D81668" w:rsidRPr="001109A5">
        <w:rPr>
          <w:iCs/>
          <w:color w:val="000000" w:themeColor="text1"/>
          <w:sz w:val="20"/>
          <w:szCs w:val="20"/>
        </w:rPr>
        <w:t xml:space="preserve"> informed by the </w:t>
      </w:r>
      <w:r w:rsidR="00D81668">
        <w:rPr>
          <w:rFonts w:hint="eastAsia"/>
          <w:iCs/>
          <w:color w:val="000000" w:themeColor="text1"/>
          <w:sz w:val="20"/>
          <w:szCs w:val="20"/>
          <w:lang w:eastAsia="zh-CN"/>
        </w:rPr>
        <w:t>EVM,</w:t>
      </w:r>
      <w:r w:rsidR="00D81668" w:rsidRPr="001109A5">
        <w:rPr>
          <w:iCs/>
          <w:color w:val="000000" w:themeColor="text1"/>
          <w:sz w:val="20"/>
          <w:szCs w:val="20"/>
        </w:rPr>
        <w:t xml:space="preserve"> which outlined initial themes and codes with corresponding definitions, to code the transcripts. After </w:t>
      </w:r>
      <w:r w:rsidR="00D81668">
        <w:rPr>
          <w:rFonts w:hint="eastAsia"/>
          <w:iCs/>
          <w:color w:val="000000" w:themeColor="text1"/>
          <w:sz w:val="20"/>
          <w:szCs w:val="20"/>
          <w:lang w:eastAsia="zh-CN"/>
        </w:rPr>
        <w:t>each</w:t>
      </w:r>
      <w:r w:rsidR="00D81668" w:rsidRPr="001109A5">
        <w:rPr>
          <w:iCs/>
          <w:color w:val="000000" w:themeColor="text1"/>
          <w:sz w:val="20"/>
          <w:szCs w:val="20"/>
        </w:rPr>
        <w:t xml:space="preserve"> transcript w</w:t>
      </w:r>
      <w:r w:rsidR="00D81668">
        <w:rPr>
          <w:rFonts w:hint="eastAsia"/>
          <w:iCs/>
          <w:color w:val="000000" w:themeColor="text1"/>
          <w:sz w:val="20"/>
          <w:szCs w:val="20"/>
          <w:lang w:eastAsia="zh-CN"/>
        </w:rPr>
        <w:t>as</w:t>
      </w:r>
      <w:r w:rsidR="00D81668" w:rsidRPr="001109A5">
        <w:rPr>
          <w:iCs/>
          <w:color w:val="000000" w:themeColor="text1"/>
          <w:sz w:val="20"/>
          <w:szCs w:val="20"/>
        </w:rPr>
        <w:t xml:space="preserve"> coded</w:t>
      </w:r>
      <w:r w:rsidR="00D81668">
        <w:rPr>
          <w:rFonts w:hint="eastAsia"/>
          <w:iCs/>
          <w:color w:val="000000" w:themeColor="text1"/>
          <w:sz w:val="20"/>
          <w:szCs w:val="20"/>
          <w:lang w:eastAsia="zh-CN"/>
        </w:rPr>
        <w:t xml:space="preserve"> by two</w:t>
      </w:r>
      <w:r w:rsidR="00D81668" w:rsidRPr="001109A5">
        <w:rPr>
          <w:rFonts w:hint="eastAsia"/>
          <w:iCs/>
          <w:color w:val="000000" w:themeColor="text1"/>
          <w:sz w:val="20"/>
          <w:szCs w:val="20"/>
          <w:lang w:eastAsia="zh-CN"/>
        </w:rPr>
        <w:t xml:space="preserve"> </w:t>
      </w:r>
      <w:r w:rsidR="00D81668">
        <w:rPr>
          <w:rFonts w:hint="eastAsia"/>
          <w:iCs/>
          <w:color w:val="000000" w:themeColor="text1"/>
          <w:sz w:val="20"/>
          <w:szCs w:val="20"/>
          <w:lang w:eastAsia="zh-CN"/>
        </w:rPr>
        <w:t xml:space="preserve">coders, </w:t>
      </w:r>
      <w:r w:rsidR="00D81668" w:rsidRPr="001109A5">
        <w:rPr>
          <w:iCs/>
          <w:color w:val="000000" w:themeColor="text1"/>
          <w:sz w:val="20"/>
          <w:szCs w:val="20"/>
        </w:rPr>
        <w:t xml:space="preserve">codes from different focus groups were aggregated into a summary form to highlight common and differing feedback across groups and participants. Codes indicating necessary adjustments to the translated JASPER materials were grouped and rephrased </w:t>
      </w:r>
      <w:r w:rsidR="00D81668" w:rsidRPr="001109A5">
        <w:rPr>
          <w:rFonts w:hint="eastAsia"/>
          <w:iCs/>
          <w:color w:val="000000" w:themeColor="text1"/>
          <w:sz w:val="20"/>
          <w:szCs w:val="20"/>
          <w:lang w:eastAsia="zh-CN"/>
        </w:rPr>
        <w:t>into</w:t>
      </w:r>
      <w:r w:rsidR="00D81668" w:rsidRPr="001109A5">
        <w:rPr>
          <w:iCs/>
          <w:color w:val="000000" w:themeColor="text1"/>
          <w:sz w:val="20"/>
          <w:szCs w:val="20"/>
        </w:rPr>
        <w:t xml:space="preserve"> specific, actionable, and observable checklist items to guide adaptations to the JASPER caregiver training materials. The checklist was then presented in a </w:t>
      </w:r>
      <w:r w:rsidR="00D81668" w:rsidRPr="001109A5">
        <w:rPr>
          <w:rFonts w:hint="eastAsia"/>
          <w:iCs/>
          <w:color w:val="000000" w:themeColor="text1"/>
          <w:sz w:val="20"/>
          <w:szCs w:val="20"/>
          <w:lang w:eastAsia="zh-CN"/>
        </w:rPr>
        <w:t xml:space="preserve">group </w:t>
      </w:r>
      <w:r w:rsidR="00D81668" w:rsidRPr="001109A5">
        <w:rPr>
          <w:iCs/>
          <w:color w:val="000000" w:themeColor="text1"/>
          <w:sz w:val="20"/>
          <w:szCs w:val="20"/>
        </w:rPr>
        <w:t>meeting with JASPER and cultural adaptation consultants for feedback, and modifications were made accordingly.</w:t>
      </w:r>
    </w:p>
    <w:p w14:paraId="7AC50374" w14:textId="2EF9288E" w:rsidR="003D6244" w:rsidRPr="00B111EB" w:rsidRDefault="003D6244" w:rsidP="003D6244">
      <w:pPr>
        <w:rPr>
          <w:rFonts w:cs="Calibri"/>
          <w:iCs/>
          <w:color w:val="000000"/>
          <w:sz w:val="20"/>
          <w:szCs w:val="20"/>
          <w:lang w:val="en-GB"/>
        </w:rPr>
      </w:pPr>
      <w:r>
        <w:rPr>
          <w:b/>
          <w:color w:val="000000"/>
          <w:sz w:val="20"/>
          <w:szCs w:val="20"/>
          <w:lang w:val="en-GB"/>
        </w:rPr>
        <w:t>Results</w:t>
      </w:r>
      <w:r>
        <w:rPr>
          <w:color w:val="000000"/>
          <w:sz w:val="20"/>
          <w:szCs w:val="20"/>
          <w:lang w:val="en-GB"/>
        </w:rPr>
        <w:t xml:space="preserve">: </w:t>
      </w:r>
      <w:r w:rsidR="00D81668" w:rsidRPr="001109A5">
        <w:rPr>
          <w:rFonts w:hint="eastAsia"/>
          <w:color w:val="000000" w:themeColor="text1"/>
          <w:sz w:val="20"/>
          <w:szCs w:val="20"/>
          <w:lang w:val="en-GB" w:eastAsia="zh-CN"/>
        </w:rPr>
        <w:t xml:space="preserve">The feedback from the community partners </w:t>
      </w:r>
      <w:r w:rsidR="00D81668">
        <w:rPr>
          <w:color w:val="000000" w:themeColor="text1"/>
          <w:sz w:val="20"/>
          <w:szCs w:val="20"/>
          <w:lang w:val="en-GB" w:eastAsia="zh-CN"/>
        </w:rPr>
        <w:t>included themes describing positive features of the materials and themes describing constructive suggestions for modifications</w:t>
      </w:r>
      <w:r w:rsidR="00D81668" w:rsidRPr="001109A5">
        <w:rPr>
          <w:rFonts w:hint="eastAsia"/>
          <w:color w:val="000000" w:themeColor="text1"/>
          <w:sz w:val="20"/>
          <w:szCs w:val="20"/>
          <w:lang w:val="en-GB" w:eastAsia="zh-CN"/>
        </w:rPr>
        <w:t xml:space="preserve">. </w:t>
      </w:r>
      <w:r w:rsidR="00D81668">
        <w:rPr>
          <w:rFonts w:hint="eastAsia"/>
          <w:color w:val="000000" w:themeColor="text1"/>
          <w:sz w:val="20"/>
          <w:szCs w:val="20"/>
          <w:lang w:val="en-GB" w:eastAsia="zh-CN"/>
        </w:rPr>
        <w:t>Positive themes</w:t>
      </w:r>
      <w:r w:rsidR="00D81668" w:rsidRPr="001109A5">
        <w:rPr>
          <w:rFonts w:hint="eastAsia"/>
          <w:color w:val="000000" w:themeColor="text1"/>
          <w:sz w:val="20"/>
          <w:szCs w:val="20"/>
          <w:lang w:eastAsia="zh-CN"/>
        </w:rPr>
        <w:t xml:space="preserve"> indicated</w:t>
      </w:r>
      <w:r w:rsidR="00D81668" w:rsidRPr="001109A5">
        <w:rPr>
          <w:color w:val="000000" w:themeColor="text1"/>
          <w:sz w:val="20"/>
          <w:szCs w:val="20"/>
          <w:lang w:eastAsia="zh-CN"/>
        </w:rPr>
        <w:t xml:space="preserve"> tha</w:t>
      </w:r>
      <w:r w:rsidR="00D81668" w:rsidRPr="001109A5">
        <w:rPr>
          <w:rFonts w:hint="eastAsia"/>
          <w:color w:val="000000" w:themeColor="text1"/>
          <w:sz w:val="20"/>
          <w:szCs w:val="20"/>
          <w:lang w:eastAsia="zh-CN"/>
        </w:rPr>
        <w:t>t</w:t>
      </w:r>
      <w:r w:rsidR="00D81668" w:rsidRPr="001109A5">
        <w:rPr>
          <w:color w:val="000000" w:themeColor="text1"/>
          <w:sz w:val="20"/>
          <w:szCs w:val="20"/>
          <w:lang w:eastAsia="zh-CN"/>
        </w:rPr>
        <w:t xml:space="preserve"> participants appreciated the materials for being beneficial, incorporating visuals, and addressing important concepts and strategies</w:t>
      </w:r>
      <w:r w:rsidR="00D81668">
        <w:rPr>
          <w:rFonts w:hint="eastAsia"/>
          <w:color w:val="000000" w:themeColor="text1"/>
          <w:sz w:val="20"/>
          <w:szCs w:val="20"/>
          <w:lang w:eastAsia="zh-CN"/>
        </w:rPr>
        <w:t xml:space="preserve">. </w:t>
      </w:r>
      <w:r w:rsidR="00D81668">
        <w:rPr>
          <w:rFonts w:hint="eastAsia"/>
          <w:color w:val="000000" w:themeColor="text1"/>
          <w:sz w:val="20"/>
          <w:szCs w:val="20"/>
          <w:lang w:val="en-GB" w:eastAsia="zh-CN"/>
        </w:rPr>
        <w:t>Co</w:t>
      </w:r>
      <w:r w:rsidR="00D81668" w:rsidRPr="001109A5">
        <w:rPr>
          <w:rFonts w:hint="eastAsia"/>
          <w:color w:val="000000" w:themeColor="text1"/>
          <w:sz w:val="20"/>
          <w:szCs w:val="20"/>
          <w:lang w:val="en-GB" w:eastAsia="zh-CN"/>
        </w:rPr>
        <w:t xml:space="preserve">nstructive </w:t>
      </w:r>
      <w:r w:rsidR="00D81668">
        <w:rPr>
          <w:rFonts w:hint="eastAsia"/>
          <w:color w:val="000000" w:themeColor="text1"/>
          <w:sz w:val="20"/>
          <w:szCs w:val="20"/>
          <w:lang w:val="en-GB" w:eastAsia="zh-CN"/>
        </w:rPr>
        <w:t>themes</w:t>
      </w:r>
      <w:r w:rsidR="00D81668" w:rsidRPr="001109A5">
        <w:rPr>
          <w:rFonts w:hint="eastAsia"/>
          <w:color w:val="000000" w:themeColor="text1"/>
          <w:sz w:val="20"/>
          <w:szCs w:val="20"/>
          <w:lang w:val="en-GB" w:eastAsia="zh-CN"/>
        </w:rPr>
        <w:t xml:space="preserve"> focused mainly on the need to make language more family-friendly and regionally appropriate, clarify specific content through various methods (e.g., videos, examples, case scenarios), as well as individualize the materials to match families</w:t>
      </w:r>
      <w:r w:rsidR="00D81668" w:rsidRPr="001109A5">
        <w:rPr>
          <w:color w:val="000000" w:themeColor="text1"/>
          <w:sz w:val="20"/>
          <w:szCs w:val="20"/>
          <w:lang w:val="en-GB" w:eastAsia="zh-CN"/>
        </w:rPr>
        <w:t>’</w:t>
      </w:r>
      <w:r w:rsidR="00D81668" w:rsidRPr="001109A5">
        <w:rPr>
          <w:rFonts w:hint="eastAsia"/>
          <w:color w:val="000000" w:themeColor="text1"/>
          <w:sz w:val="20"/>
          <w:szCs w:val="20"/>
          <w:lang w:val="en-GB" w:eastAsia="zh-CN"/>
        </w:rPr>
        <w:t xml:space="preserve"> unique conditions and needs. There was also some divergent feedback. For instance, some participants </w:t>
      </w:r>
      <w:r w:rsidR="00D81668" w:rsidRPr="001109A5">
        <w:rPr>
          <w:color w:val="000000" w:themeColor="text1"/>
          <w:sz w:val="20"/>
          <w:szCs w:val="20"/>
          <w:lang w:val="en-GB" w:eastAsia="zh-CN"/>
        </w:rPr>
        <w:t>like</w:t>
      </w:r>
      <w:r w:rsidR="00D81668" w:rsidRPr="001109A5">
        <w:rPr>
          <w:rFonts w:hint="eastAsia"/>
          <w:color w:val="000000" w:themeColor="text1"/>
          <w:sz w:val="20"/>
          <w:szCs w:val="20"/>
          <w:lang w:val="en-GB" w:eastAsia="zh-CN"/>
        </w:rPr>
        <w:t xml:space="preserve">d the materials being brief and found them clear and easy to understand while others wanted more detailed information. </w:t>
      </w:r>
      <w:r w:rsidR="00D81668" w:rsidRPr="001109A5">
        <w:rPr>
          <w:color w:val="000000" w:themeColor="text1"/>
          <w:sz w:val="20"/>
          <w:szCs w:val="20"/>
          <w:lang w:eastAsia="zh-CN"/>
        </w:rPr>
        <w:t xml:space="preserve">Based on the feedback, the cultural adaptation checklist for the JASPER caregiver training materials </w:t>
      </w:r>
      <w:r w:rsidR="00D81668" w:rsidRPr="001109A5">
        <w:rPr>
          <w:rFonts w:hint="eastAsia"/>
          <w:color w:val="000000" w:themeColor="text1"/>
          <w:sz w:val="20"/>
          <w:szCs w:val="20"/>
          <w:lang w:eastAsia="zh-CN"/>
        </w:rPr>
        <w:t>emphasized</w:t>
      </w:r>
      <w:r w:rsidR="00D81668" w:rsidRPr="001109A5">
        <w:rPr>
          <w:color w:val="000000" w:themeColor="text1"/>
          <w:sz w:val="20"/>
          <w:szCs w:val="20"/>
          <w:lang w:eastAsia="zh-CN"/>
        </w:rPr>
        <w:t xml:space="preserve"> making the materials responsive to caregivers’ individual learning needs by creating interactive content that allows caregivers to select meaningful information for review,</w:t>
      </w:r>
      <w:r w:rsidR="00D81668" w:rsidRPr="001109A5">
        <w:rPr>
          <w:rFonts w:hint="eastAsia"/>
          <w:color w:val="000000" w:themeColor="text1"/>
          <w:sz w:val="20"/>
          <w:szCs w:val="20"/>
          <w:lang w:eastAsia="zh-CN"/>
        </w:rPr>
        <w:t xml:space="preserve"> thereby</w:t>
      </w:r>
      <w:r w:rsidR="00D81668" w:rsidRPr="001109A5">
        <w:rPr>
          <w:color w:val="000000" w:themeColor="text1"/>
          <w:sz w:val="20"/>
          <w:szCs w:val="20"/>
          <w:lang w:eastAsia="zh-CN"/>
        </w:rPr>
        <w:t xml:space="preserve"> maximizing flexibility and caregiver options.</w:t>
      </w:r>
    </w:p>
    <w:p w14:paraId="7AC50375" w14:textId="4865ABE2" w:rsidR="003D6244" w:rsidRPr="004E6CD2" w:rsidRDefault="003D6244" w:rsidP="003D6244">
      <w:pPr>
        <w:rPr>
          <w:rFonts w:hint="eastAsia"/>
          <w:color w:val="000000"/>
          <w:sz w:val="20"/>
          <w:szCs w:val="20"/>
          <w:lang w:val="en-GB" w:eastAsia="zh-CN"/>
        </w:rPr>
      </w:pPr>
      <w:r>
        <w:rPr>
          <w:b/>
          <w:iCs/>
          <w:color w:val="000000"/>
          <w:sz w:val="20"/>
          <w:szCs w:val="20"/>
          <w:lang w:val="en-GB"/>
        </w:rPr>
        <w:t xml:space="preserve">Discussion: </w:t>
      </w:r>
      <w:r w:rsidR="00D81668" w:rsidRPr="001608B4">
        <w:rPr>
          <w:rFonts w:hint="eastAsia"/>
          <w:bCs/>
          <w:iCs/>
          <w:color w:val="000000" w:themeColor="text1"/>
          <w:sz w:val="20"/>
          <w:szCs w:val="20"/>
          <w:lang w:val="en-GB" w:eastAsia="zh-CN"/>
        </w:rPr>
        <w:t>Even within a population that shares the same cultural background, individuals</w:t>
      </w:r>
      <w:r w:rsidR="00D81668" w:rsidRPr="001608B4">
        <w:rPr>
          <w:bCs/>
          <w:iCs/>
          <w:color w:val="000000" w:themeColor="text1"/>
          <w:sz w:val="20"/>
          <w:szCs w:val="20"/>
          <w:lang w:val="en-GB" w:eastAsia="zh-CN"/>
        </w:rPr>
        <w:t>’</w:t>
      </w:r>
      <w:r w:rsidR="00D81668" w:rsidRPr="001608B4">
        <w:rPr>
          <w:rFonts w:hint="eastAsia"/>
          <w:bCs/>
          <w:iCs/>
          <w:color w:val="000000" w:themeColor="text1"/>
          <w:sz w:val="20"/>
          <w:szCs w:val="20"/>
          <w:lang w:val="en-GB" w:eastAsia="zh-CN"/>
        </w:rPr>
        <w:t xml:space="preserve"> needs can vary significantly. Therefore, it is essential to maximize the flexibility and responsiveness of </w:t>
      </w:r>
      <w:r w:rsidR="00D81668" w:rsidRPr="001608B4">
        <w:rPr>
          <w:bCs/>
          <w:iCs/>
          <w:color w:val="000000" w:themeColor="text1"/>
          <w:sz w:val="20"/>
          <w:szCs w:val="20"/>
          <w:lang w:val="en-GB" w:eastAsia="zh-CN"/>
        </w:rPr>
        <w:t>the</w:t>
      </w:r>
      <w:r w:rsidR="00D81668" w:rsidRPr="001608B4">
        <w:rPr>
          <w:rFonts w:hint="eastAsia"/>
          <w:bCs/>
          <w:iCs/>
          <w:color w:val="000000" w:themeColor="text1"/>
          <w:sz w:val="20"/>
          <w:szCs w:val="20"/>
          <w:lang w:val="en-GB" w:eastAsia="zh-CN"/>
        </w:rPr>
        <w:t xml:space="preserve"> </w:t>
      </w:r>
      <w:r w:rsidR="00D81668" w:rsidRPr="001608B4">
        <w:rPr>
          <w:bCs/>
          <w:iCs/>
          <w:color w:val="000000" w:themeColor="text1"/>
          <w:sz w:val="20"/>
          <w:szCs w:val="20"/>
          <w:lang w:val="en-GB" w:eastAsia="zh-CN"/>
        </w:rPr>
        <w:t>training</w:t>
      </w:r>
      <w:r w:rsidR="00D81668" w:rsidRPr="001608B4">
        <w:rPr>
          <w:rFonts w:hint="eastAsia"/>
          <w:bCs/>
          <w:iCs/>
          <w:color w:val="000000" w:themeColor="text1"/>
          <w:sz w:val="20"/>
          <w:szCs w:val="20"/>
          <w:lang w:val="en-GB" w:eastAsia="zh-CN"/>
        </w:rPr>
        <w:t xml:space="preserve"> materials. The checklist developed in this study could be modified and used</w:t>
      </w:r>
      <w:r w:rsidR="00D81668" w:rsidRPr="001608B4">
        <w:rPr>
          <w:bCs/>
          <w:iCs/>
          <w:color w:val="000000" w:themeColor="text1"/>
          <w:sz w:val="20"/>
          <w:szCs w:val="20"/>
          <w:lang w:val="en-GB" w:eastAsia="zh-CN"/>
        </w:rPr>
        <w:t xml:space="preserve"> by</w:t>
      </w:r>
      <w:r w:rsidR="00D81668" w:rsidRPr="001608B4">
        <w:rPr>
          <w:rFonts w:hint="eastAsia"/>
          <w:bCs/>
          <w:iCs/>
          <w:color w:val="000000" w:themeColor="text1"/>
          <w:sz w:val="20"/>
          <w:szCs w:val="20"/>
          <w:lang w:val="en-GB" w:eastAsia="zh-CN"/>
        </w:rPr>
        <w:t xml:space="preserve"> </w:t>
      </w:r>
      <w:r w:rsidR="00D81668" w:rsidRPr="001608B4">
        <w:rPr>
          <w:bCs/>
          <w:iCs/>
          <w:color w:val="000000" w:themeColor="text1"/>
          <w:sz w:val="20"/>
          <w:szCs w:val="20"/>
          <w:lang w:val="en-GB" w:eastAsia="zh-CN"/>
        </w:rPr>
        <w:t>researchers and practitioners</w:t>
      </w:r>
      <w:r w:rsidR="00D81668" w:rsidRPr="001608B4">
        <w:rPr>
          <w:rFonts w:hint="eastAsia"/>
          <w:bCs/>
          <w:iCs/>
          <w:color w:val="000000" w:themeColor="text1"/>
          <w:sz w:val="20"/>
          <w:szCs w:val="20"/>
          <w:lang w:val="en-GB" w:eastAsia="zh-CN"/>
        </w:rPr>
        <w:t xml:space="preserve"> to adapt training materials for </w:t>
      </w:r>
      <w:r w:rsidR="00D81668" w:rsidRPr="001608B4">
        <w:rPr>
          <w:bCs/>
          <w:iCs/>
          <w:color w:val="000000" w:themeColor="text1"/>
          <w:sz w:val="20"/>
          <w:szCs w:val="20"/>
          <w:lang w:eastAsia="zh-CN"/>
        </w:rPr>
        <w:t>other cultural groups</w:t>
      </w:r>
      <w:r w:rsidR="00D81668" w:rsidRPr="001608B4">
        <w:rPr>
          <w:rFonts w:hint="eastAsia"/>
          <w:bCs/>
          <w:iCs/>
          <w:color w:val="000000" w:themeColor="text1"/>
          <w:sz w:val="20"/>
          <w:szCs w:val="20"/>
          <w:lang w:eastAsia="zh-CN"/>
        </w:rPr>
        <w:t xml:space="preserve"> or</w:t>
      </w:r>
      <w:r w:rsidR="00D81668" w:rsidRPr="001608B4">
        <w:rPr>
          <w:rFonts w:hint="eastAsia"/>
          <w:bCs/>
          <w:iCs/>
          <w:color w:val="000000" w:themeColor="text1"/>
          <w:sz w:val="20"/>
          <w:szCs w:val="20"/>
          <w:lang w:val="en-GB" w:eastAsia="zh-CN"/>
        </w:rPr>
        <w:t xml:space="preserve"> </w:t>
      </w:r>
      <w:r w:rsidR="00D81668">
        <w:rPr>
          <w:rFonts w:hint="eastAsia"/>
          <w:bCs/>
          <w:iCs/>
          <w:color w:val="000000" w:themeColor="text1"/>
          <w:sz w:val="20"/>
          <w:szCs w:val="20"/>
          <w:lang w:val="en-GB" w:eastAsia="zh-CN"/>
        </w:rPr>
        <w:t xml:space="preserve">other </w:t>
      </w:r>
      <w:r w:rsidR="00D81668" w:rsidRPr="001608B4">
        <w:rPr>
          <w:rFonts w:hint="eastAsia"/>
          <w:bCs/>
          <w:iCs/>
          <w:color w:val="000000" w:themeColor="text1"/>
          <w:sz w:val="20"/>
          <w:szCs w:val="20"/>
          <w:lang w:val="en-GB" w:eastAsia="zh-CN"/>
        </w:rPr>
        <w:t xml:space="preserve">caregiver-mediated interventions </w:t>
      </w:r>
      <w:r w:rsidR="00D81668" w:rsidRPr="001608B4">
        <w:rPr>
          <w:bCs/>
          <w:iCs/>
          <w:color w:val="000000" w:themeColor="text1"/>
          <w:sz w:val="20"/>
          <w:szCs w:val="20"/>
          <w:lang w:val="en-GB" w:eastAsia="zh-CN"/>
        </w:rPr>
        <w:t>before disseminating them to diverse populations</w:t>
      </w:r>
      <w:r w:rsidR="00D81668" w:rsidRPr="001608B4">
        <w:rPr>
          <w:rFonts w:hint="eastAsia"/>
          <w:bCs/>
          <w:iCs/>
          <w:color w:val="000000" w:themeColor="text1"/>
          <w:sz w:val="20"/>
          <w:szCs w:val="20"/>
          <w:lang w:val="en-GB" w:eastAsia="zh-CN"/>
        </w:rPr>
        <w:t>.</w:t>
      </w:r>
    </w:p>
    <w:p w14:paraId="3B6AF5DE" w14:textId="77777777" w:rsidR="00D81668" w:rsidRPr="001109A5" w:rsidRDefault="00D81668" w:rsidP="00D81668">
      <w:pPr>
        <w:spacing w:after="0" w:line="240" w:lineRule="auto"/>
        <w:rPr>
          <w:color w:val="000000" w:themeColor="text1"/>
          <w:sz w:val="20"/>
          <w:szCs w:val="20"/>
          <w:lang w:eastAsia="zh-CN"/>
        </w:rPr>
      </w:pPr>
      <w:r w:rsidRPr="001109A5">
        <w:rPr>
          <w:b/>
          <w:color w:val="000000" w:themeColor="text1"/>
          <w:sz w:val="20"/>
          <w:szCs w:val="20"/>
          <w:lang w:val="en-GB"/>
        </w:rPr>
        <w:t xml:space="preserve">References: </w:t>
      </w:r>
    </w:p>
    <w:p w14:paraId="11671FA4" w14:textId="77777777" w:rsidR="00D81668" w:rsidRPr="001109A5" w:rsidRDefault="00D81668" w:rsidP="00D81668">
      <w:pPr>
        <w:spacing w:after="0" w:line="240" w:lineRule="auto"/>
        <w:ind w:left="720" w:hanging="720"/>
        <w:rPr>
          <w:rFonts w:cstheme="minorHAnsi"/>
          <w:color w:val="000000" w:themeColor="text1"/>
          <w:sz w:val="20"/>
          <w:szCs w:val="20"/>
          <w:lang w:eastAsia="zh-CN"/>
        </w:rPr>
      </w:pPr>
      <w:r w:rsidRPr="001109A5">
        <w:rPr>
          <w:rFonts w:cstheme="minorHAnsi"/>
          <w:color w:val="000000" w:themeColor="text1"/>
          <w:sz w:val="20"/>
          <w:szCs w:val="20"/>
        </w:rPr>
        <w:t>Bernal, G.</w:t>
      </w:r>
      <w:r w:rsidRPr="001109A5">
        <w:rPr>
          <w:rFonts w:cstheme="minorHAnsi"/>
          <w:color w:val="000000" w:themeColor="text1"/>
          <w:sz w:val="20"/>
          <w:szCs w:val="20"/>
          <w:shd w:val="clear" w:color="auto" w:fill="FFFFFF"/>
        </w:rPr>
        <w:t>, </w:t>
      </w:r>
      <w:r w:rsidRPr="001109A5">
        <w:rPr>
          <w:rFonts w:cstheme="minorHAnsi"/>
          <w:color w:val="000000" w:themeColor="text1"/>
          <w:sz w:val="20"/>
          <w:szCs w:val="20"/>
        </w:rPr>
        <w:t>Bonilla, J.</w:t>
      </w:r>
      <w:r w:rsidRPr="001109A5">
        <w:rPr>
          <w:rFonts w:cstheme="minorHAnsi"/>
          <w:color w:val="000000" w:themeColor="text1"/>
          <w:sz w:val="20"/>
          <w:szCs w:val="20"/>
          <w:shd w:val="clear" w:color="auto" w:fill="FFFFFF"/>
        </w:rPr>
        <w:t>, &amp; </w:t>
      </w:r>
      <w:proofErr w:type="spellStart"/>
      <w:r w:rsidRPr="001109A5">
        <w:rPr>
          <w:rFonts w:cstheme="minorHAnsi"/>
          <w:color w:val="000000" w:themeColor="text1"/>
          <w:sz w:val="20"/>
          <w:szCs w:val="20"/>
        </w:rPr>
        <w:t>Bellido</w:t>
      </w:r>
      <w:proofErr w:type="spellEnd"/>
      <w:r w:rsidRPr="001109A5">
        <w:rPr>
          <w:rFonts w:cstheme="minorHAnsi"/>
          <w:color w:val="000000" w:themeColor="text1"/>
          <w:sz w:val="20"/>
          <w:szCs w:val="20"/>
        </w:rPr>
        <w:t>, C.</w:t>
      </w:r>
      <w:r w:rsidRPr="001109A5">
        <w:rPr>
          <w:rFonts w:cstheme="minorHAnsi"/>
          <w:color w:val="000000" w:themeColor="text1"/>
          <w:sz w:val="20"/>
          <w:szCs w:val="20"/>
          <w:shd w:val="clear" w:color="auto" w:fill="FFFFFF"/>
        </w:rPr>
        <w:t> (1995). Ecological validity and cultural sensitivity for outcome research: Issues for cultural adaptation and development of psychosocial treatments with Hispanics. </w:t>
      </w:r>
      <w:r w:rsidRPr="001109A5">
        <w:rPr>
          <w:rFonts w:cstheme="minorHAnsi"/>
          <w:i/>
          <w:iCs/>
          <w:color w:val="000000" w:themeColor="text1"/>
          <w:sz w:val="20"/>
          <w:szCs w:val="20"/>
        </w:rPr>
        <w:t>Journal of Abnormal Child Psychology</w:t>
      </w:r>
      <w:r w:rsidRPr="001109A5">
        <w:rPr>
          <w:rFonts w:cstheme="minorHAnsi"/>
          <w:color w:val="000000" w:themeColor="text1"/>
          <w:sz w:val="20"/>
          <w:szCs w:val="20"/>
          <w:shd w:val="clear" w:color="auto" w:fill="FFFFFF"/>
        </w:rPr>
        <w:t>, </w:t>
      </w:r>
      <w:r w:rsidRPr="001109A5">
        <w:rPr>
          <w:rFonts w:cstheme="minorHAnsi"/>
          <w:i/>
          <w:iCs/>
          <w:color w:val="000000" w:themeColor="text1"/>
          <w:sz w:val="20"/>
          <w:szCs w:val="20"/>
        </w:rPr>
        <w:t>23</w:t>
      </w:r>
      <w:r w:rsidRPr="001109A5">
        <w:rPr>
          <w:rFonts w:cstheme="minorHAnsi"/>
          <w:color w:val="000000" w:themeColor="text1"/>
          <w:sz w:val="20"/>
          <w:szCs w:val="20"/>
          <w:shd w:val="clear" w:color="auto" w:fill="FFFFFF"/>
        </w:rPr>
        <w:t>, 67–82.</w:t>
      </w:r>
      <w:r w:rsidRPr="001109A5">
        <w:rPr>
          <w:rFonts w:cstheme="minorHAnsi"/>
          <w:color w:val="000000" w:themeColor="text1"/>
          <w:sz w:val="20"/>
          <w:szCs w:val="20"/>
          <w:shd w:val="clear" w:color="auto" w:fill="FFFFFF"/>
          <w:lang w:eastAsia="zh-CN"/>
        </w:rPr>
        <w:t xml:space="preserve"> https://doi.org/10.1007/BF01447045</w:t>
      </w:r>
    </w:p>
    <w:p w14:paraId="3C358FD3" w14:textId="77777777" w:rsidR="00D81668" w:rsidRPr="001109A5" w:rsidRDefault="00D81668" w:rsidP="00D81668">
      <w:pPr>
        <w:spacing w:after="0" w:line="240" w:lineRule="auto"/>
        <w:ind w:left="720" w:hanging="720"/>
        <w:rPr>
          <w:rFonts w:eastAsia="Times New Roman" w:cstheme="minorHAnsi"/>
          <w:color w:val="000000" w:themeColor="text1"/>
          <w:sz w:val="20"/>
          <w:szCs w:val="20"/>
          <w:lang w:eastAsia="zh-CN"/>
        </w:rPr>
      </w:pPr>
      <w:proofErr w:type="spellStart"/>
      <w:r w:rsidRPr="001109A5">
        <w:rPr>
          <w:rFonts w:eastAsia="Times New Roman" w:cstheme="minorHAnsi"/>
          <w:color w:val="000000" w:themeColor="text1"/>
          <w:sz w:val="20"/>
          <w:szCs w:val="20"/>
        </w:rPr>
        <w:t>Kasari</w:t>
      </w:r>
      <w:proofErr w:type="spellEnd"/>
      <w:r w:rsidRPr="001109A5">
        <w:rPr>
          <w:rFonts w:eastAsia="Times New Roman" w:cstheme="minorHAnsi"/>
          <w:color w:val="000000" w:themeColor="text1"/>
          <w:sz w:val="20"/>
          <w:szCs w:val="20"/>
        </w:rPr>
        <w:t xml:space="preserve">, C., </w:t>
      </w:r>
      <w:proofErr w:type="spellStart"/>
      <w:r w:rsidRPr="001109A5">
        <w:rPr>
          <w:rFonts w:eastAsia="Times New Roman" w:cstheme="minorHAnsi"/>
          <w:color w:val="000000" w:themeColor="text1"/>
          <w:sz w:val="20"/>
          <w:szCs w:val="20"/>
        </w:rPr>
        <w:t>Gulsrud</w:t>
      </w:r>
      <w:proofErr w:type="spellEnd"/>
      <w:r w:rsidRPr="001109A5">
        <w:rPr>
          <w:rFonts w:eastAsia="Times New Roman" w:cstheme="minorHAnsi"/>
          <w:color w:val="000000" w:themeColor="text1"/>
          <w:sz w:val="20"/>
          <w:szCs w:val="20"/>
        </w:rPr>
        <w:t>, A. C., Shire, S. Y., &amp; Strawbridge, C. (202</w:t>
      </w:r>
      <w:r>
        <w:rPr>
          <w:rFonts w:eastAsia="Times New Roman" w:cstheme="minorHAnsi"/>
          <w:color w:val="000000" w:themeColor="text1"/>
          <w:sz w:val="20"/>
          <w:szCs w:val="20"/>
        </w:rPr>
        <w:t>1</w:t>
      </w:r>
      <w:r w:rsidRPr="001109A5">
        <w:rPr>
          <w:rFonts w:eastAsia="Times New Roman" w:cstheme="minorHAnsi"/>
          <w:color w:val="000000" w:themeColor="text1"/>
          <w:sz w:val="20"/>
          <w:szCs w:val="20"/>
        </w:rPr>
        <w:t xml:space="preserve">). </w:t>
      </w:r>
      <w:r w:rsidRPr="001109A5">
        <w:rPr>
          <w:rFonts w:eastAsia="Times New Roman" w:cstheme="minorHAnsi"/>
          <w:i/>
          <w:iCs/>
          <w:color w:val="000000" w:themeColor="text1"/>
          <w:sz w:val="20"/>
          <w:szCs w:val="20"/>
        </w:rPr>
        <w:t>The JASPER model for children with autism: promoting joint attention, symbolic play, engagement, and regulation</w:t>
      </w:r>
      <w:r w:rsidRPr="001109A5">
        <w:rPr>
          <w:rFonts w:eastAsia="Times New Roman" w:cstheme="minorHAnsi"/>
          <w:color w:val="000000" w:themeColor="text1"/>
          <w:sz w:val="20"/>
          <w:szCs w:val="20"/>
        </w:rPr>
        <w:t>. The Guilford Press.</w:t>
      </w:r>
    </w:p>
    <w:p w14:paraId="6DDB62CC" w14:textId="77777777" w:rsidR="00D81668" w:rsidRPr="001109A5" w:rsidRDefault="00D81668" w:rsidP="00D81668">
      <w:pPr>
        <w:spacing w:after="0" w:line="240" w:lineRule="auto"/>
        <w:ind w:left="720" w:hanging="720"/>
        <w:rPr>
          <w:rFonts w:cstheme="minorHAnsi"/>
          <w:color w:val="000000" w:themeColor="text1"/>
          <w:sz w:val="20"/>
          <w:szCs w:val="20"/>
        </w:rPr>
      </w:pPr>
      <w:r w:rsidRPr="001109A5">
        <w:rPr>
          <w:rFonts w:cstheme="minorHAnsi"/>
          <w:color w:val="000000" w:themeColor="text1"/>
          <w:sz w:val="20"/>
          <w:szCs w:val="20"/>
          <w:shd w:val="clear" w:color="auto" w:fill="FFFFFF"/>
        </w:rPr>
        <w:t>Krueger, R., &amp; Casey, Mary Anne. (2014). </w:t>
      </w:r>
      <w:r w:rsidRPr="001109A5">
        <w:rPr>
          <w:rFonts w:cstheme="minorHAnsi"/>
          <w:i/>
          <w:iCs/>
          <w:color w:val="000000" w:themeColor="text1"/>
          <w:sz w:val="20"/>
          <w:szCs w:val="20"/>
          <w:shd w:val="clear" w:color="auto" w:fill="FFFFFF"/>
        </w:rPr>
        <w:t>Focus groups: A practical guide for applied research</w:t>
      </w:r>
      <w:r w:rsidRPr="001109A5">
        <w:rPr>
          <w:rFonts w:cstheme="minorHAnsi"/>
          <w:color w:val="000000" w:themeColor="text1"/>
          <w:sz w:val="20"/>
          <w:szCs w:val="20"/>
          <w:shd w:val="clear" w:color="auto" w:fill="FFFFFF"/>
        </w:rPr>
        <w:t> (5</w:t>
      </w:r>
      <w:r w:rsidRPr="001109A5">
        <w:rPr>
          <w:rFonts w:cstheme="minorHAnsi"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Pr="001109A5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ed.). Thousand Oaks, Calif.: Sage Publications.</w:t>
      </w:r>
    </w:p>
    <w:p w14:paraId="146A2173" w14:textId="77777777" w:rsidR="00D81668" w:rsidRDefault="00D81668" w:rsidP="00D81668">
      <w:pPr>
        <w:pStyle w:val="FootnoteText"/>
        <w:rPr>
          <w:color w:val="000000" w:themeColor="text1"/>
          <w:lang w:eastAsia="zh-CN"/>
        </w:rPr>
      </w:pPr>
    </w:p>
    <w:p w14:paraId="7AC5037A" w14:textId="6D93E1C5" w:rsidR="001C735E" w:rsidRPr="00D81668" w:rsidRDefault="00D81668" w:rsidP="00D81668">
      <w:pPr>
        <w:pStyle w:val="FootnoteText"/>
        <w:rPr>
          <w:rFonts w:hint="eastAsia"/>
          <w:color w:val="000000" w:themeColor="text1"/>
          <w:lang w:val="en-CA" w:eastAsia="zh-CN"/>
        </w:rPr>
      </w:pPr>
      <w:r w:rsidRPr="001109A5">
        <w:rPr>
          <w:rStyle w:val="FootnoteReference"/>
          <w:color w:val="000000" w:themeColor="text1"/>
        </w:rPr>
        <w:footnoteRef/>
      </w:r>
      <w:r w:rsidRPr="001109A5">
        <w:rPr>
          <w:color w:val="000000" w:themeColor="text1"/>
        </w:rPr>
        <w:t xml:space="preserve"> </w:t>
      </w:r>
      <w:r w:rsidRPr="001109A5">
        <w:rPr>
          <w:color w:val="000000" w:themeColor="text1"/>
          <w:lang w:val="en-CA"/>
        </w:rPr>
        <w:t>University</w:t>
      </w:r>
      <w:r>
        <w:rPr>
          <w:rFonts w:hint="eastAsia"/>
          <w:color w:val="000000" w:themeColor="text1"/>
          <w:lang w:val="en-CA" w:eastAsia="zh-CN"/>
        </w:rPr>
        <w:t xml:space="preserve"> of Oregon</w:t>
      </w:r>
    </w:p>
    <w:sectPr w:rsidR="001C735E" w:rsidRPr="00D81668" w:rsidSect="00394E2C">
      <w:headerReference w:type="default" r:id="rId10"/>
      <w:footerReference w:type="default" r:id="rId11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8A8F9" w14:textId="77777777" w:rsidR="00364194" w:rsidRDefault="00364194" w:rsidP="00A16498">
      <w:pPr>
        <w:spacing w:after="0" w:line="240" w:lineRule="auto"/>
      </w:pPr>
      <w:r>
        <w:separator/>
      </w:r>
    </w:p>
  </w:endnote>
  <w:endnote w:type="continuationSeparator" w:id="0">
    <w:p w14:paraId="5D2FEA25" w14:textId="77777777" w:rsidR="00364194" w:rsidRDefault="00364194" w:rsidP="00A1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fa">
    <w:panose1 w:val="02000506000000020004"/>
    <w:charset w:val="4D"/>
    <w:family w:val="auto"/>
    <w:pitch w:val="variable"/>
    <w:sig w:usb0="800000AF" w:usb1="4000204B" w:usb2="000008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</w:rPr>
      <w:id w:val="-13160350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b/>
          </w:rPr>
          <w:id w:val="-1669238322"/>
          <w:docPartObj>
            <w:docPartGallery w:val="Page Numbers (Top of Page)"/>
            <w:docPartUnique/>
          </w:docPartObj>
        </w:sdtPr>
        <w:sdtContent>
          <w:p w14:paraId="7AC50381" w14:textId="77777777" w:rsidR="003D6244" w:rsidRPr="00F361B2" w:rsidRDefault="003D6244" w:rsidP="003D6244">
            <w:pPr>
              <w:pStyle w:val="Footer"/>
              <w:jc w:val="center"/>
              <w:rPr>
                <w:b/>
                <w:sz w:val="20"/>
                <w:szCs w:val="20"/>
              </w:rPr>
            </w:pPr>
            <w:r w:rsidRPr="00F361B2">
              <w:rPr>
                <w:b/>
                <w:sz w:val="20"/>
                <w:szCs w:val="20"/>
              </w:rPr>
              <w:t xml:space="preserve">Page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PAGE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00F361B2">
              <w:rPr>
                <w:b/>
                <w:bCs/>
              </w:rPr>
              <w:fldChar w:fldCharType="end"/>
            </w:r>
            <w:r w:rsidRPr="00F361B2">
              <w:rPr>
                <w:b/>
                <w:sz w:val="20"/>
                <w:szCs w:val="20"/>
              </w:rPr>
              <w:t xml:space="preserve"> of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NUMPAGES 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F361B2">
              <w:rPr>
                <w:b/>
                <w:bCs/>
              </w:rPr>
              <w:fldChar w:fldCharType="end"/>
            </w:r>
          </w:p>
        </w:sdtContent>
      </w:sdt>
    </w:sdtContent>
  </w:sdt>
  <w:p w14:paraId="7AC50382" w14:textId="77777777" w:rsidR="003D6244" w:rsidRDefault="003D6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70774" w14:textId="77777777" w:rsidR="00364194" w:rsidRDefault="00364194" w:rsidP="00A16498">
      <w:pPr>
        <w:spacing w:after="0" w:line="240" w:lineRule="auto"/>
      </w:pPr>
      <w:r>
        <w:separator/>
      </w:r>
    </w:p>
  </w:footnote>
  <w:footnote w:type="continuationSeparator" w:id="0">
    <w:p w14:paraId="5A6E8F9B" w14:textId="77777777" w:rsidR="00364194" w:rsidRDefault="00364194" w:rsidP="00A16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5037F" w14:textId="6ADD2F3A" w:rsidR="00A16498" w:rsidRDefault="00D8166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69C59F" wp14:editId="415CC4AB">
              <wp:simplePos x="0" y="0"/>
              <wp:positionH relativeFrom="column">
                <wp:posOffset>-23474</wp:posOffset>
              </wp:positionH>
              <wp:positionV relativeFrom="paragraph">
                <wp:posOffset>-233485</wp:posOffset>
              </wp:positionV>
              <wp:extent cx="5371689" cy="457200"/>
              <wp:effectExtent l="12700" t="12700" r="13335" b="12700"/>
              <wp:wrapNone/>
              <wp:docPr id="1869817315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71689" cy="45720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444C6A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alias w:val="Title"/>
                            <w:id w:val="-1038195335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AC50385" w14:textId="77E815E7" w:rsidR="00A16498" w:rsidRPr="007B4CE7" w:rsidRDefault="00A16498">
                              <w:pPr>
                                <w:pStyle w:val="Header"/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</w:pPr>
                              <w:r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3C4D59"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59601C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5</w:t>
                              </w:r>
                              <w:r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 xml:space="preserve"> Gatlinburg Conference Poster Submission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69C59F" id="Rectangle 197" o:spid="_x0000_s1026" style="position:absolute;margin-left:-1.85pt;margin-top:-18.4pt;width:422.9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" filled="f" strokecolor="#444c6a" strokeweight="2pt">
              <v:textbox>
                <w:txbxContent>
                  <w:sdt>
                    <w:sdtPr>
                      <w:rPr>
                        <w:rFonts w:ascii="Kefa" w:hAnsi="Kefa"/>
                        <w:b/>
                        <w:color w:val="444C6A"/>
                        <w:sz w:val="36"/>
                        <w:szCs w:val="36"/>
                      </w:rPr>
                      <w:alias w:val="Title"/>
                      <w:id w:val="-1038195335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7AC50385" w14:textId="77E815E7" w:rsidR="00A16498" w:rsidRPr="007B4CE7" w:rsidRDefault="00A16498">
                        <w:pPr>
                          <w:pStyle w:val="Header"/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</w:pPr>
                        <w:r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20</w:t>
                        </w:r>
                        <w:r w:rsidR="003C4D59"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2</w:t>
                        </w:r>
                        <w:r w:rsidR="0059601C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5</w:t>
                        </w:r>
                        <w:r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 xml:space="preserve"> Gatlinburg Conference Poster Submission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</w:p>
  <w:p w14:paraId="7AC50380" w14:textId="77777777" w:rsidR="00A16498" w:rsidRDefault="00A16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3CF4"/>
    <w:multiLevelType w:val="hybridMultilevel"/>
    <w:tmpl w:val="53A6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65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98"/>
    <w:rsid w:val="000130DA"/>
    <w:rsid w:val="000D0162"/>
    <w:rsid w:val="001C735E"/>
    <w:rsid w:val="00226854"/>
    <w:rsid w:val="00244C29"/>
    <w:rsid w:val="002872AA"/>
    <w:rsid w:val="00300310"/>
    <w:rsid w:val="00312417"/>
    <w:rsid w:val="00316B3B"/>
    <w:rsid w:val="0032171F"/>
    <w:rsid w:val="00324E6F"/>
    <w:rsid w:val="0033415B"/>
    <w:rsid w:val="00364194"/>
    <w:rsid w:val="00394E2C"/>
    <w:rsid w:val="003B0285"/>
    <w:rsid w:val="003C2A0A"/>
    <w:rsid w:val="003C4D59"/>
    <w:rsid w:val="003D6244"/>
    <w:rsid w:val="003F558A"/>
    <w:rsid w:val="00412A17"/>
    <w:rsid w:val="00444D82"/>
    <w:rsid w:val="004473AC"/>
    <w:rsid w:val="00452576"/>
    <w:rsid w:val="0045428A"/>
    <w:rsid w:val="00550360"/>
    <w:rsid w:val="00577DC4"/>
    <w:rsid w:val="0059601C"/>
    <w:rsid w:val="005F3158"/>
    <w:rsid w:val="00625543"/>
    <w:rsid w:val="006535AF"/>
    <w:rsid w:val="006637E7"/>
    <w:rsid w:val="00680A88"/>
    <w:rsid w:val="0069448E"/>
    <w:rsid w:val="006C05DD"/>
    <w:rsid w:val="00751FEE"/>
    <w:rsid w:val="007722E4"/>
    <w:rsid w:val="0077649B"/>
    <w:rsid w:val="00777D73"/>
    <w:rsid w:val="007B4CE7"/>
    <w:rsid w:val="00801D2A"/>
    <w:rsid w:val="00817FE3"/>
    <w:rsid w:val="0087492A"/>
    <w:rsid w:val="008938D8"/>
    <w:rsid w:val="008D432B"/>
    <w:rsid w:val="009462E3"/>
    <w:rsid w:val="009B1DAB"/>
    <w:rsid w:val="009E1B56"/>
    <w:rsid w:val="00A16498"/>
    <w:rsid w:val="00AB7B37"/>
    <w:rsid w:val="00AE4ADB"/>
    <w:rsid w:val="00B226B4"/>
    <w:rsid w:val="00B71AFF"/>
    <w:rsid w:val="00BA2D2D"/>
    <w:rsid w:val="00C6243D"/>
    <w:rsid w:val="00C80718"/>
    <w:rsid w:val="00CF3CDF"/>
    <w:rsid w:val="00D46241"/>
    <w:rsid w:val="00D60D08"/>
    <w:rsid w:val="00D81668"/>
    <w:rsid w:val="00DC15FA"/>
    <w:rsid w:val="00E15391"/>
    <w:rsid w:val="00E34365"/>
    <w:rsid w:val="00EC1345"/>
    <w:rsid w:val="00F023E6"/>
    <w:rsid w:val="00F2162A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50370"/>
  <w15:docId w15:val="{1CB715C7-E6A7-4079-B70E-22452003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498"/>
  </w:style>
  <w:style w:type="paragraph" w:styleId="Footer">
    <w:name w:val="footer"/>
    <w:basedOn w:val="Normal"/>
    <w:link w:val="Foot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498"/>
  </w:style>
  <w:style w:type="paragraph" w:styleId="ListParagraph">
    <w:name w:val="List Paragraph"/>
    <w:basedOn w:val="Normal"/>
    <w:uiPriority w:val="34"/>
    <w:qFormat/>
    <w:rsid w:val="00772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3D62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2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D62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1ABB3E504A945B7C7D972A09C49C0" ma:contentTypeVersion="11" ma:contentTypeDescription="Create a new document." ma:contentTypeScope="" ma:versionID="8fa2410153a5c9696cbeafc9ece5970e">
  <xsd:schema xmlns:xsd="http://www.w3.org/2001/XMLSchema" xmlns:xs="http://www.w3.org/2001/XMLSchema" xmlns:p="http://schemas.microsoft.com/office/2006/metadata/properties" xmlns:ns2="bfec5155-cd0c-46a7-a3ba-4de02cda8ac5" xmlns:ns3="ef7c5145-e159-46d3-924d-b50a59624be6" targetNamespace="http://schemas.microsoft.com/office/2006/metadata/properties" ma:root="true" ma:fieldsID="7a26540e980c8688c1a83705706ff85b" ns2:_="" ns3:_="">
    <xsd:import namespace="bfec5155-cd0c-46a7-a3ba-4de02cda8ac5"/>
    <xsd:import namespace="ef7c5145-e159-46d3-924d-b50a59624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c5155-cd0c-46a7-a3ba-4de02cda8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c5145-e159-46d3-924d-b50a59624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63F606-8B19-4711-ADE9-8A7FB97D4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F0E6EA-1369-4068-AD7C-C451C18C9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c5155-cd0c-46a7-a3ba-4de02cda8ac5"/>
    <ds:schemaRef ds:uri="ef7c5145-e159-46d3-924d-b50a59624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F406F6-B0D6-45E4-A23C-56A9FD2C1D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Gatlinburg Conference Poster Submission</vt:lpstr>
    </vt:vector>
  </TitlesOfParts>
  <Company>UCDHS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Gatlinburg Conference Poster Submission</dc:title>
  <dc:creator>BSHELTON</dc:creator>
  <cp:lastModifiedBy>Wenjing Bao</cp:lastModifiedBy>
  <cp:revision>4</cp:revision>
  <dcterms:created xsi:type="dcterms:W3CDTF">2023-09-01T15:06:00Z</dcterms:created>
  <dcterms:modified xsi:type="dcterms:W3CDTF">2024-11-05T02:00:00Z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0x0101003E11ABB3E504A945B7C7D972A09C49C0</vt:lpwstr>
  </property>
</Properties>
</file>