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0370" w14:textId="5E7D6753" w:rsidR="003D6244" w:rsidRPr="00B775C0" w:rsidRDefault="003D6244" w:rsidP="003D6244">
      <w:pPr>
        <w:rPr>
          <w:rFonts w:ascii="Segoe UI" w:hAnsi="Segoe UI" w:cstheme="minorHAnsi"/>
          <w:sz w:val="20"/>
          <w:szCs w:val="20"/>
        </w:rPr>
      </w:pPr>
      <w:r w:rsidRPr="00B775C0">
        <w:rPr>
          <w:b/>
          <w:sz w:val="20"/>
          <w:szCs w:val="20"/>
        </w:rPr>
        <w:t>Title</w:t>
      </w:r>
      <w:r w:rsidRPr="00B775C0">
        <w:rPr>
          <w:sz w:val="20"/>
          <w:szCs w:val="20"/>
        </w:rPr>
        <w:t>:</w:t>
      </w:r>
      <w:r w:rsidR="00EF6E68" w:rsidRPr="00B775C0">
        <w:rPr>
          <w:b/>
          <w:sz w:val="20"/>
          <w:szCs w:val="20"/>
          <w:lang w:val="en"/>
        </w:rPr>
        <w:t xml:space="preserve"> </w:t>
      </w:r>
      <w:r w:rsidR="00EF6E68" w:rsidRPr="00B775C0">
        <w:rPr>
          <w:bCs/>
          <w:sz w:val="20"/>
          <w:szCs w:val="20"/>
          <w:lang w:val="en"/>
        </w:rPr>
        <w:t>Comprehensive framework for understanding employment barriers and facilitators.</w:t>
      </w:r>
    </w:p>
    <w:p w14:paraId="7AC50371" w14:textId="291F84D1" w:rsidR="003D6244" w:rsidRPr="006C721E" w:rsidRDefault="003D6244" w:rsidP="003D6244">
      <w:pPr>
        <w:rPr>
          <w:sz w:val="20"/>
          <w:szCs w:val="20"/>
          <w:vertAlign w:val="superscript"/>
        </w:rPr>
      </w:pPr>
      <w:r w:rsidRPr="006C721E">
        <w:rPr>
          <w:b/>
          <w:sz w:val="20"/>
          <w:szCs w:val="20"/>
        </w:rPr>
        <w:t>Authors</w:t>
      </w:r>
      <w:r w:rsidRPr="006C721E">
        <w:rPr>
          <w:sz w:val="20"/>
          <w:szCs w:val="20"/>
        </w:rPr>
        <w:t xml:space="preserve">: </w:t>
      </w:r>
      <w:r w:rsidR="00AA49D1" w:rsidRPr="006C721E">
        <w:rPr>
          <w:sz w:val="20"/>
          <w:szCs w:val="20"/>
        </w:rPr>
        <w:t xml:space="preserve">Grace </w:t>
      </w:r>
      <w:r w:rsidR="004F2005">
        <w:rPr>
          <w:sz w:val="20"/>
          <w:szCs w:val="20"/>
        </w:rPr>
        <w:t>A</w:t>
      </w:r>
      <w:r w:rsidR="0090642E">
        <w:rPr>
          <w:sz w:val="20"/>
          <w:szCs w:val="20"/>
        </w:rPr>
        <w:t>.</w:t>
      </w:r>
      <w:r w:rsidR="004F2005">
        <w:rPr>
          <w:sz w:val="20"/>
          <w:szCs w:val="20"/>
        </w:rPr>
        <w:t xml:space="preserve"> </w:t>
      </w:r>
      <w:r w:rsidR="00AA49D1" w:rsidRPr="006C721E">
        <w:rPr>
          <w:sz w:val="20"/>
          <w:szCs w:val="20"/>
        </w:rPr>
        <w:t>Herbert</w:t>
      </w:r>
      <w:r w:rsidR="00D9266A" w:rsidRPr="006C721E">
        <w:rPr>
          <w:sz w:val="20"/>
          <w:szCs w:val="20"/>
        </w:rPr>
        <w:t>, M</w:t>
      </w:r>
      <w:r w:rsidR="001F33D4">
        <w:rPr>
          <w:sz w:val="20"/>
          <w:szCs w:val="20"/>
        </w:rPr>
        <w:t>S</w:t>
      </w:r>
      <w:r w:rsidR="0095367E" w:rsidRPr="006C721E">
        <w:rPr>
          <w:sz w:val="20"/>
          <w:szCs w:val="20"/>
          <w:vertAlign w:val="superscript"/>
        </w:rPr>
        <w:t xml:space="preserve"> 1</w:t>
      </w:r>
      <w:r w:rsidR="00DA4E3B" w:rsidRPr="006C721E">
        <w:rPr>
          <w:sz w:val="20"/>
          <w:szCs w:val="20"/>
        </w:rPr>
        <w:t xml:space="preserve">, </w:t>
      </w:r>
      <w:r w:rsidR="00282DCE" w:rsidRPr="006C721E">
        <w:rPr>
          <w:sz w:val="20"/>
          <w:szCs w:val="20"/>
        </w:rPr>
        <w:t>Julie Lounds Taylor, Ph.D.</w:t>
      </w:r>
      <w:r w:rsidR="00282DCE" w:rsidRPr="006C721E">
        <w:rPr>
          <w:sz w:val="20"/>
          <w:szCs w:val="20"/>
          <w:vertAlign w:val="superscript"/>
        </w:rPr>
        <w:t>1</w:t>
      </w:r>
      <w:r w:rsidR="006A76DC">
        <w:rPr>
          <w:sz w:val="20"/>
          <w:szCs w:val="20"/>
        </w:rPr>
        <w:t>, A</w:t>
      </w:r>
      <w:r w:rsidR="004F2005">
        <w:rPr>
          <w:sz w:val="20"/>
          <w:szCs w:val="20"/>
        </w:rPr>
        <w:t>shley Sellars</w:t>
      </w:r>
      <w:r w:rsidR="001F33D4">
        <w:rPr>
          <w:sz w:val="20"/>
          <w:szCs w:val="20"/>
        </w:rPr>
        <w:t>, MS</w:t>
      </w:r>
      <w:r w:rsidR="004F2005">
        <w:rPr>
          <w:sz w:val="20"/>
          <w:szCs w:val="20"/>
          <w:vertAlign w:val="superscript"/>
        </w:rPr>
        <w:t>2</w:t>
      </w:r>
      <w:r w:rsidR="00D9266A" w:rsidRPr="006C721E">
        <w:rPr>
          <w:sz w:val="20"/>
          <w:szCs w:val="20"/>
        </w:rPr>
        <w:t>,</w:t>
      </w:r>
      <w:r w:rsidR="00A25E20">
        <w:rPr>
          <w:sz w:val="20"/>
          <w:szCs w:val="20"/>
        </w:rPr>
        <w:t xml:space="preserve"> K</w:t>
      </w:r>
      <w:r w:rsidR="004F71F6">
        <w:rPr>
          <w:sz w:val="20"/>
          <w:szCs w:val="20"/>
        </w:rPr>
        <w:t>e</w:t>
      </w:r>
      <w:r w:rsidR="00A25E20">
        <w:rPr>
          <w:sz w:val="20"/>
          <w:szCs w:val="20"/>
        </w:rPr>
        <w:t>mberlee Bonnet</w:t>
      </w:r>
      <w:r w:rsidR="001E1A30">
        <w:rPr>
          <w:sz w:val="20"/>
          <w:szCs w:val="20"/>
        </w:rPr>
        <w:t>, MA</w:t>
      </w:r>
      <w:r w:rsidR="0081271B">
        <w:rPr>
          <w:sz w:val="20"/>
          <w:szCs w:val="20"/>
          <w:vertAlign w:val="superscript"/>
        </w:rPr>
        <w:t>2</w:t>
      </w:r>
      <w:r w:rsidR="0081271B">
        <w:rPr>
          <w:sz w:val="20"/>
          <w:szCs w:val="20"/>
        </w:rPr>
        <w:t>, David</w:t>
      </w:r>
      <w:r w:rsidR="00667DC1">
        <w:rPr>
          <w:sz w:val="20"/>
          <w:szCs w:val="20"/>
        </w:rPr>
        <w:t xml:space="preserve"> Sch</w:t>
      </w:r>
      <w:r w:rsidR="007C6AAC">
        <w:rPr>
          <w:sz w:val="20"/>
          <w:szCs w:val="20"/>
        </w:rPr>
        <w:t>lundt</w:t>
      </w:r>
      <w:r w:rsidR="001F33D4">
        <w:rPr>
          <w:sz w:val="20"/>
          <w:szCs w:val="20"/>
        </w:rPr>
        <w:t>,</w:t>
      </w:r>
      <w:r w:rsidR="007C6AAC">
        <w:rPr>
          <w:sz w:val="20"/>
          <w:szCs w:val="20"/>
        </w:rPr>
        <w:t xml:space="preserve"> Ph.D.</w:t>
      </w:r>
      <w:r w:rsidR="007C6AAC" w:rsidRPr="007C6AAC">
        <w:rPr>
          <w:sz w:val="20"/>
          <w:szCs w:val="20"/>
          <w:vertAlign w:val="superscript"/>
        </w:rPr>
        <w:t xml:space="preserve"> </w:t>
      </w:r>
      <w:r w:rsidR="007C6AAC">
        <w:rPr>
          <w:sz w:val="20"/>
          <w:szCs w:val="20"/>
          <w:vertAlign w:val="superscript"/>
        </w:rPr>
        <w:t>2</w:t>
      </w:r>
      <w:r w:rsidR="00F256F5">
        <w:rPr>
          <w:sz w:val="20"/>
          <w:szCs w:val="20"/>
        </w:rPr>
        <w:t>,</w:t>
      </w:r>
      <w:r w:rsidR="00282DCE">
        <w:rPr>
          <w:sz w:val="20"/>
          <w:szCs w:val="20"/>
        </w:rPr>
        <w:t xml:space="preserve"> &amp;</w:t>
      </w:r>
      <w:r w:rsidR="00F256F5">
        <w:rPr>
          <w:sz w:val="20"/>
          <w:szCs w:val="20"/>
        </w:rPr>
        <w:t xml:space="preserve"> </w:t>
      </w:r>
      <w:r w:rsidR="00DA4E3B" w:rsidRPr="006C721E">
        <w:rPr>
          <w:sz w:val="20"/>
          <w:szCs w:val="20"/>
        </w:rPr>
        <w:t xml:space="preserve">Leann </w:t>
      </w:r>
      <w:r w:rsidR="00BB0E8A">
        <w:rPr>
          <w:sz w:val="20"/>
          <w:szCs w:val="20"/>
        </w:rPr>
        <w:t xml:space="preserve">Smith </w:t>
      </w:r>
      <w:r w:rsidR="00DA4E3B" w:rsidRPr="006C721E">
        <w:rPr>
          <w:sz w:val="20"/>
          <w:szCs w:val="20"/>
        </w:rPr>
        <w:t>DaWalt, Ph.D.</w:t>
      </w:r>
      <w:r w:rsidR="0095367E" w:rsidRPr="006C721E">
        <w:rPr>
          <w:sz w:val="20"/>
          <w:szCs w:val="20"/>
          <w:vertAlign w:val="superscript"/>
        </w:rPr>
        <w:t xml:space="preserve"> </w:t>
      </w:r>
      <w:r w:rsidR="004F2005">
        <w:rPr>
          <w:sz w:val="20"/>
          <w:szCs w:val="20"/>
          <w:vertAlign w:val="superscript"/>
        </w:rPr>
        <w:t>3</w:t>
      </w:r>
      <w:r w:rsidR="006A76DC">
        <w:rPr>
          <w:sz w:val="20"/>
          <w:szCs w:val="20"/>
        </w:rPr>
        <w:t xml:space="preserve"> </w:t>
      </w:r>
    </w:p>
    <w:p w14:paraId="3BFCB2F4" w14:textId="1591B179" w:rsidR="00840C0D" w:rsidRDefault="003D6244" w:rsidP="003D6244">
      <w:pPr>
        <w:rPr>
          <w:bCs/>
          <w:sz w:val="20"/>
          <w:szCs w:val="20"/>
          <w:lang w:val="en"/>
        </w:rPr>
      </w:pPr>
      <w:r w:rsidRPr="00B775C0">
        <w:rPr>
          <w:b/>
          <w:sz w:val="20"/>
          <w:szCs w:val="20"/>
        </w:rPr>
        <w:t>Introduction</w:t>
      </w:r>
      <w:r w:rsidRPr="00B775C0">
        <w:rPr>
          <w:sz w:val="20"/>
          <w:szCs w:val="20"/>
        </w:rPr>
        <w:t xml:space="preserve">: </w:t>
      </w:r>
      <w:r w:rsidR="00C22A7F">
        <w:rPr>
          <w:sz w:val="20"/>
          <w:szCs w:val="20"/>
        </w:rPr>
        <w:t>Gaining and sustaining meaningful employment is a</w:t>
      </w:r>
      <w:r w:rsidR="00B775C0" w:rsidRPr="00B775C0">
        <w:rPr>
          <w:sz w:val="20"/>
          <w:szCs w:val="20"/>
          <w:lang w:val="en"/>
        </w:rPr>
        <w:t xml:space="preserve"> key research priority identified by the autism community</w:t>
      </w:r>
      <w:r w:rsidR="00B775C0" w:rsidRPr="00B775C0">
        <w:rPr>
          <w:sz w:val="20"/>
          <w:szCs w:val="20"/>
        </w:rPr>
        <w:t xml:space="preserve"> (Davies et al., 2024; Hayward et al., 2019). </w:t>
      </w:r>
      <w:r w:rsidR="00C04386">
        <w:rPr>
          <w:iCs/>
          <w:color w:val="000000"/>
          <w:sz w:val="20"/>
          <w:szCs w:val="20"/>
        </w:rPr>
        <w:t>I</w:t>
      </w:r>
      <w:r w:rsidR="00681D52">
        <w:rPr>
          <w:iCs/>
          <w:color w:val="000000"/>
          <w:sz w:val="20"/>
          <w:szCs w:val="20"/>
        </w:rPr>
        <w:t>t</w:t>
      </w:r>
      <w:r w:rsidR="007C74D1">
        <w:rPr>
          <w:sz w:val="20"/>
          <w:szCs w:val="20"/>
        </w:rPr>
        <w:t xml:space="preserve"> </w:t>
      </w:r>
      <w:r w:rsidR="00AD2D71">
        <w:rPr>
          <w:sz w:val="20"/>
          <w:szCs w:val="20"/>
        </w:rPr>
        <w:t>is</w:t>
      </w:r>
      <w:r w:rsidR="00CF011F">
        <w:rPr>
          <w:sz w:val="20"/>
          <w:szCs w:val="20"/>
        </w:rPr>
        <w:t xml:space="preserve"> </w:t>
      </w:r>
      <w:r w:rsidR="007C74D1">
        <w:rPr>
          <w:sz w:val="20"/>
          <w:szCs w:val="20"/>
        </w:rPr>
        <w:t>important</w:t>
      </w:r>
      <w:r w:rsidR="00CF011F">
        <w:rPr>
          <w:sz w:val="20"/>
          <w:szCs w:val="20"/>
        </w:rPr>
        <w:t xml:space="preserve"> to examine</w:t>
      </w:r>
      <w:r w:rsidR="00B775C0" w:rsidRPr="00B775C0">
        <w:rPr>
          <w:sz w:val="20"/>
          <w:szCs w:val="20"/>
        </w:rPr>
        <w:t xml:space="preserve"> facilitators of meaningful employment</w:t>
      </w:r>
      <w:r w:rsidR="00F41C2A">
        <w:rPr>
          <w:sz w:val="20"/>
          <w:szCs w:val="20"/>
        </w:rPr>
        <w:t xml:space="preserve"> </w:t>
      </w:r>
      <w:r w:rsidR="00DD0171">
        <w:rPr>
          <w:sz w:val="20"/>
          <w:szCs w:val="20"/>
        </w:rPr>
        <w:t xml:space="preserve">and find </w:t>
      </w:r>
      <w:r w:rsidR="00B775C0" w:rsidRPr="00B775C0">
        <w:rPr>
          <w:sz w:val="20"/>
          <w:szCs w:val="20"/>
        </w:rPr>
        <w:t>solutions to employment barriers</w:t>
      </w:r>
      <w:r w:rsidR="00F41C2A">
        <w:rPr>
          <w:sz w:val="20"/>
          <w:szCs w:val="20"/>
        </w:rPr>
        <w:t xml:space="preserve"> for autistic adults</w:t>
      </w:r>
      <w:r w:rsidR="00B775C0" w:rsidRPr="00B775C0">
        <w:rPr>
          <w:sz w:val="20"/>
          <w:szCs w:val="20"/>
        </w:rPr>
        <w:t xml:space="preserve"> (Diener et al. 2020). </w:t>
      </w:r>
      <w:r w:rsidR="00BB0E8A">
        <w:rPr>
          <w:sz w:val="20"/>
          <w:szCs w:val="20"/>
        </w:rPr>
        <w:t>The goal of this qualitative study was</w:t>
      </w:r>
      <w:r w:rsidR="00B775C0" w:rsidRPr="00B775C0">
        <w:rPr>
          <w:sz w:val="20"/>
          <w:szCs w:val="20"/>
        </w:rPr>
        <w:t xml:space="preserve"> to capture a comprehensive range of factors that contribute to improving employment outcomes for autistic adults.</w:t>
      </w:r>
      <w:r w:rsidR="00C114E9" w:rsidRPr="006F2ED7">
        <w:rPr>
          <w:bCs/>
          <w:sz w:val="20"/>
          <w:szCs w:val="20"/>
          <w:lang w:val="en"/>
        </w:rPr>
        <w:t xml:space="preserve"> </w:t>
      </w:r>
    </w:p>
    <w:p w14:paraId="1A7B64AA" w14:textId="43AFC7C8" w:rsidR="00AF035C" w:rsidRPr="00556277" w:rsidRDefault="003D6244" w:rsidP="00556277">
      <w:pPr>
        <w:rPr>
          <w:sz w:val="20"/>
          <w:szCs w:val="20"/>
        </w:rPr>
      </w:pPr>
      <w:r w:rsidRPr="00AF035C">
        <w:rPr>
          <w:b/>
          <w:color w:val="000000"/>
          <w:sz w:val="20"/>
          <w:szCs w:val="20"/>
          <w:lang w:val="en-GB"/>
        </w:rPr>
        <w:t>Method</w:t>
      </w:r>
      <w:r w:rsidRPr="00AF035C">
        <w:rPr>
          <w:color w:val="000000"/>
          <w:sz w:val="20"/>
          <w:szCs w:val="20"/>
          <w:lang w:val="en-GB"/>
        </w:rPr>
        <w:t xml:space="preserve">: </w:t>
      </w:r>
      <w:r w:rsidR="00DE7DFD">
        <w:rPr>
          <w:rFonts w:eastAsia="Calibri"/>
          <w:sz w:val="20"/>
          <w:szCs w:val="20"/>
        </w:rPr>
        <w:t xml:space="preserve">Current </w:t>
      </w:r>
      <w:r w:rsidR="00AF035C" w:rsidRPr="00AF035C">
        <w:rPr>
          <w:rFonts w:eastAsia="Calibri"/>
          <w:sz w:val="20"/>
          <w:szCs w:val="20"/>
        </w:rPr>
        <w:t>analysis presents data</w:t>
      </w:r>
      <w:r w:rsidR="002651A3">
        <w:rPr>
          <w:rFonts w:eastAsia="Calibri"/>
          <w:sz w:val="20"/>
          <w:szCs w:val="20"/>
        </w:rPr>
        <w:t xml:space="preserve"> c</w:t>
      </w:r>
      <w:r w:rsidR="00AF035C" w:rsidRPr="00AF035C">
        <w:rPr>
          <w:rFonts w:eastAsia="Calibri"/>
          <w:sz w:val="20"/>
          <w:szCs w:val="20"/>
        </w:rPr>
        <w:t xml:space="preserve">ollected </w:t>
      </w:r>
      <w:r w:rsidR="001D4AB2">
        <w:rPr>
          <w:rFonts w:eastAsia="Calibri"/>
          <w:sz w:val="20"/>
          <w:szCs w:val="20"/>
        </w:rPr>
        <w:t xml:space="preserve">as part </w:t>
      </w:r>
      <w:r w:rsidR="00AF035C" w:rsidRPr="00AF035C">
        <w:rPr>
          <w:rFonts w:eastAsia="Calibri"/>
          <w:sz w:val="20"/>
          <w:szCs w:val="20"/>
        </w:rPr>
        <w:t xml:space="preserve">of an ongoing longitudinal study examining employment and education stability in autistic </w:t>
      </w:r>
      <w:r w:rsidR="000C42AF">
        <w:rPr>
          <w:rFonts w:eastAsia="Calibri"/>
          <w:sz w:val="20"/>
          <w:szCs w:val="20"/>
        </w:rPr>
        <w:t>individuals</w:t>
      </w:r>
      <w:r w:rsidR="00AF035C" w:rsidRPr="00AF035C">
        <w:rPr>
          <w:rFonts w:eastAsia="Calibri"/>
          <w:sz w:val="20"/>
          <w:szCs w:val="20"/>
        </w:rPr>
        <w:t>. Participants in this analysis included 80 autistic adults (58 biological males) between the ages of 18-45 (</w:t>
      </w:r>
      <w:r w:rsidR="00AF035C" w:rsidRPr="00AF035C">
        <w:rPr>
          <w:rFonts w:eastAsia="Calibri"/>
          <w:i/>
          <w:iCs/>
          <w:sz w:val="20"/>
          <w:szCs w:val="20"/>
        </w:rPr>
        <w:t>M</w:t>
      </w:r>
      <w:r w:rsidR="00AF035C" w:rsidRPr="00AF035C">
        <w:rPr>
          <w:rFonts w:eastAsia="Calibri"/>
          <w:sz w:val="20"/>
          <w:szCs w:val="20"/>
        </w:rPr>
        <w:t xml:space="preserve">=31.52), and 73 informants (51 mothers). </w:t>
      </w:r>
      <w:r w:rsidR="000C42AF">
        <w:rPr>
          <w:rFonts w:eastAsia="Calibri"/>
          <w:sz w:val="20"/>
          <w:szCs w:val="20"/>
        </w:rPr>
        <w:t xml:space="preserve">Autistic adults </w:t>
      </w:r>
      <w:r w:rsidR="00AF035C" w:rsidRPr="00AF035C">
        <w:rPr>
          <w:rFonts w:eastAsia="Calibri"/>
          <w:sz w:val="20"/>
          <w:szCs w:val="20"/>
        </w:rPr>
        <w:t xml:space="preserve">were </w:t>
      </w:r>
      <w:r w:rsidR="00BB0E8A">
        <w:rPr>
          <w:rFonts w:eastAsia="Calibri"/>
          <w:sz w:val="20"/>
          <w:szCs w:val="20"/>
        </w:rPr>
        <w:t xml:space="preserve">interviewed </w:t>
      </w:r>
      <w:r w:rsidR="00171CA1">
        <w:rPr>
          <w:rFonts w:eastAsia="Calibri"/>
          <w:sz w:val="20"/>
          <w:szCs w:val="20"/>
        </w:rPr>
        <w:t xml:space="preserve">about </w:t>
      </w:r>
      <w:r w:rsidR="00BB0E8A">
        <w:rPr>
          <w:rFonts w:eastAsia="Calibri"/>
          <w:sz w:val="20"/>
          <w:szCs w:val="20"/>
        </w:rPr>
        <w:t xml:space="preserve">their </w:t>
      </w:r>
      <w:r w:rsidR="00AF035C" w:rsidRPr="00AF035C">
        <w:rPr>
          <w:rFonts w:eastAsia="Calibri"/>
          <w:sz w:val="20"/>
          <w:szCs w:val="20"/>
        </w:rPr>
        <w:t xml:space="preserve">workplace successes and challenges within the last six months </w:t>
      </w:r>
      <w:r w:rsidR="0053324C">
        <w:rPr>
          <w:rFonts w:eastAsia="Calibri"/>
          <w:sz w:val="20"/>
          <w:szCs w:val="20"/>
        </w:rPr>
        <w:t xml:space="preserve">and </w:t>
      </w:r>
      <w:r w:rsidR="00BB0E8A">
        <w:rPr>
          <w:rFonts w:eastAsia="Calibri"/>
          <w:sz w:val="20"/>
          <w:szCs w:val="20"/>
        </w:rPr>
        <w:t xml:space="preserve">were asked </w:t>
      </w:r>
      <w:r w:rsidR="00171CA1">
        <w:rPr>
          <w:rFonts w:eastAsia="Calibri"/>
          <w:sz w:val="20"/>
          <w:szCs w:val="20"/>
        </w:rPr>
        <w:t>to describe</w:t>
      </w:r>
      <w:r w:rsidR="00AF035C" w:rsidRPr="00AF035C">
        <w:rPr>
          <w:rFonts w:eastAsia="Calibri"/>
          <w:sz w:val="20"/>
          <w:szCs w:val="20"/>
        </w:rPr>
        <w:t xml:space="preserve"> strengths, difficulties and external supports </w:t>
      </w:r>
      <w:r w:rsidR="002651A3">
        <w:rPr>
          <w:rFonts w:eastAsia="Calibri"/>
          <w:sz w:val="20"/>
          <w:szCs w:val="20"/>
        </w:rPr>
        <w:t xml:space="preserve">related to </w:t>
      </w:r>
      <w:r w:rsidR="00736171">
        <w:rPr>
          <w:rFonts w:eastAsia="Calibri"/>
          <w:sz w:val="20"/>
          <w:szCs w:val="20"/>
        </w:rPr>
        <w:t xml:space="preserve">these </w:t>
      </w:r>
      <w:r w:rsidR="00AF035C" w:rsidRPr="00AF035C">
        <w:rPr>
          <w:rFonts w:eastAsia="Calibri"/>
          <w:sz w:val="20"/>
          <w:szCs w:val="20"/>
        </w:rPr>
        <w:t xml:space="preserve">employment experiences. </w:t>
      </w:r>
      <w:r w:rsidR="00677327">
        <w:rPr>
          <w:rFonts w:eastAsia="Calibri"/>
          <w:sz w:val="20"/>
          <w:szCs w:val="20"/>
        </w:rPr>
        <w:t>I</w:t>
      </w:r>
      <w:r w:rsidR="0053324C">
        <w:rPr>
          <w:rFonts w:eastAsia="Calibri"/>
          <w:sz w:val="20"/>
          <w:szCs w:val="20"/>
        </w:rPr>
        <w:t>n</w:t>
      </w:r>
      <w:r w:rsidR="00AF035C" w:rsidRPr="00AF035C">
        <w:rPr>
          <w:rFonts w:eastAsia="Calibri"/>
          <w:sz w:val="20"/>
          <w:szCs w:val="20"/>
        </w:rPr>
        <w:t xml:space="preserve">formants </w:t>
      </w:r>
      <w:r w:rsidR="00AF035C" w:rsidRPr="00AF035C">
        <w:rPr>
          <w:sz w:val="20"/>
          <w:szCs w:val="20"/>
        </w:rPr>
        <w:t xml:space="preserve">who know the autistic </w:t>
      </w:r>
      <w:r w:rsidR="000C42AF">
        <w:rPr>
          <w:sz w:val="20"/>
          <w:szCs w:val="20"/>
        </w:rPr>
        <w:t xml:space="preserve">participants </w:t>
      </w:r>
      <w:r w:rsidR="00AF035C" w:rsidRPr="00AF035C">
        <w:rPr>
          <w:sz w:val="20"/>
          <w:szCs w:val="20"/>
        </w:rPr>
        <w:t xml:space="preserve">well (e.g., parent, spouse, or friend) </w:t>
      </w:r>
      <w:r w:rsidR="00AF035C" w:rsidRPr="00AF035C">
        <w:rPr>
          <w:rFonts w:eastAsia="Calibri"/>
          <w:sz w:val="20"/>
          <w:szCs w:val="20"/>
        </w:rPr>
        <w:t xml:space="preserve">were </w:t>
      </w:r>
      <w:r w:rsidR="0053324C">
        <w:rPr>
          <w:rFonts w:eastAsia="Calibri"/>
          <w:sz w:val="20"/>
          <w:szCs w:val="20"/>
        </w:rPr>
        <w:t xml:space="preserve">also </w:t>
      </w:r>
      <w:r w:rsidR="00AF035C" w:rsidRPr="00AF035C">
        <w:rPr>
          <w:rFonts w:eastAsia="Calibri"/>
          <w:sz w:val="20"/>
          <w:szCs w:val="20"/>
        </w:rPr>
        <w:t>asked to report on the autistic adult’s workplace successes and challenge</w:t>
      </w:r>
      <w:r w:rsidR="0035671A">
        <w:rPr>
          <w:rFonts w:eastAsia="Calibri"/>
          <w:sz w:val="20"/>
          <w:szCs w:val="20"/>
        </w:rPr>
        <w:t>s</w:t>
      </w:r>
      <w:r w:rsidR="00AF035C" w:rsidRPr="00AF035C">
        <w:rPr>
          <w:rFonts w:eastAsia="Calibri"/>
          <w:sz w:val="20"/>
          <w:szCs w:val="20"/>
        </w:rPr>
        <w:t xml:space="preserve">. </w:t>
      </w:r>
      <w:r w:rsidR="0035671A">
        <w:rPr>
          <w:rFonts w:eastAsia="Calibri"/>
          <w:sz w:val="20"/>
          <w:szCs w:val="20"/>
        </w:rPr>
        <w:t>All i</w:t>
      </w:r>
      <w:r w:rsidR="00AF035C" w:rsidRPr="00AF035C">
        <w:rPr>
          <w:rFonts w:eastAsia="Calibri"/>
          <w:sz w:val="20"/>
          <w:szCs w:val="20"/>
        </w:rPr>
        <w:t>nterview</w:t>
      </w:r>
      <w:r w:rsidR="009E4A4A">
        <w:rPr>
          <w:rFonts w:eastAsia="Calibri"/>
          <w:sz w:val="20"/>
          <w:szCs w:val="20"/>
        </w:rPr>
        <w:t xml:space="preserve"> responses </w:t>
      </w:r>
      <w:r w:rsidR="00AF035C" w:rsidRPr="00AF035C">
        <w:rPr>
          <w:rFonts w:eastAsia="Calibri"/>
          <w:sz w:val="20"/>
          <w:szCs w:val="20"/>
        </w:rPr>
        <w:t xml:space="preserve">were recorded and transcribed verbatim. Transcriptions were checked and verified for accuracy before coding. </w:t>
      </w:r>
    </w:p>
    <w:p w14:paraId="7AC50373" w14:textId="566CF0C4" w:rsidR="003D6244" w:rsidRDefault="00AF035C" w:rsidP="00F15100">
      <w:pPr>
        <w:spacing w:after="0"/>
        <w:rPr>
          <w:rFonts w:eastAsia="Calibri"/>
          <w:sz w:val="20"/>
          <w:szCs w:val="20"/>
        </w:rPr>
      </w:pPr>
      <w:r w:rsidRPr="00AF035C">
        <w:rPr>
          <w:rFonts w:eastAsia="Calibri"/>
          <w:sz w:val="20"/>
          <w:szCs w:val="20"/>
        </w:rPr>
        <w:t xml:space="preserve">Data coding and analysis was conducted by following COREQ guidelines, an evidence-based qualitative methodology </w:t>
      </w:r>
      <w:r w:rsidRPr="00AF035C">
        <w:rPr>
          <w:rFonts w:eastAsia="Calibri"/>
          <w:sz w:val="20"/>
          <w:szCs w:val="20"/>
        </w:rPr>
        <w:fldChar w:fldCharType="begin"/>
      </w:r>
      <w:r w:rsidRPr="00AF035C">
        <w:rPr>
          <w:rFonts w:eastAsia="Calibri"/>
          <w:sz w:val="20"/>
          <w:szCs w:val="20"/>
        </w:rPr>
        <w:instrText xml:space="preserve"> ADDIN EN.CITE &lt;EndNote&gt;&lt;Cite&gt;&lt;Author&gt;Tong&lt;/Author&gt;&lt;Year&gt;2007&lt;/Year&gt;&lt;RecNum&gt;3&lt;/RecNum&gt;&lt;DisplayText&gt;(Tong et al., 2007)&lt;/DisplayText&gt;&lt;record&gt;&lt;rec-number&gt;3&lt;/rec-number&gt;&lt;foreign-keys&gt;&lt;key app="EN" db-id="5w0rxeef3vzz54e5d9epe00uprwxt2s9aftf" timestamp="1584468141"&gt;3&lt;/key&gt;&lt;/foreign-keys&gt;&lt;ref-type name="Journal Article"&gt;17&lt;/ref-type&gt;&lt;contributors&gt;&lt;authors&gt;&lt;author&gt;Tong, Allison&lt;/author&gt;&lt;author&gt;Sainsbury, Peter&lt;/author&gt;&lt;author&gt;Craig, Jonathan&lt;/author&gt;&lt;/authors&gt;&lt;/contributors&gt;&lt;titles&gt;&lt;title&gt;Consolidated criteria for reporting qualitative research (COREQ): a 32-item checklist for interviews and focus groups&lt;/title&gt;&lt;secondary-title&gt;International Journal for Quality in Health Care&lt;/secondary-title&gt;&lt;/titles&gt;&lt;periodical&gt;&lt;full-title&gt;International Journal for Quality in Health Care&lt;/full-title&gt;&lt;/periodical&gt;&lt;pages&gt;349-357&lt;/pages&gt;&lt;volume&gt;19&lt;/volume&gt;&lt;number&gt;6&lt;/number&gt;&lt;dates&gt;&lt;year&gt;2007&lt;/year&gt;&lt;/dates&gt;&lt;isbn&gt;1353-4505&lt;/isbn&gt;&lt;urls&gt;&lt;related-urls&gt;&lt;url&gt;https://doi.org/10.1093/intqhc/mzm042&lt;/url&gt;&lt;/related-urls&gt;&lt;/urls&gt;&lt;electronic-resource-num&gt;10.1093/intqhc/mzm042&lt;/electronic-resource-num&gt;&lt;access-date&gt;3/17/2020&lt;/access-date&gt;&lt;/record&gt;&lt;/Cite&gt;&lt;/EndNote&gt;</w:instrText>
      </w:r>
      <w:r w:rsidRPr="00AF035C">
        <w:rPr>
          <w:rFonts w:eastAsia="Calibri"/>
          <w:sz w:val="20"/>
          <w:szCs w:val="20"/>
        </w:rPr>
        <w:fldChar w:fldCharType="separate"/>
      </w:r>
      <w:r w:rsidRPr="00AF035C">
        <w:rPr>
          <w:rFonts w:eastAsia="Calibri"/>
          <w:noProof/>
          <w:sz w:val="20"/>
          <w:szCs w:val="20"/>
        </w:rPr>
        <w:t>(Tong et al., 2007)</w:t>
      </w:r>
      <w:r w:rsidRPr="00AF035C">
        <w:rPr>
          <w:rFonts w:eastAsia="Calibri"/>
          <w:sz w:val="20"/>
          <w:szCs w:val="20"/>
        </w:rPr>
        <w:fldChar w:fldCharType="end"/>
      </w:r>
      <w:r w:rsidRPr="00AF035C">
        <w:rPr>
          <w:rFonts w:eastAsia="Calibri"/>
          <w:sz w:val="20"/>
          <w:szCs w:val="20"/>
        </w:rPr>
        <w:t xml:space="preserve">. A hierarchical coding system was developed and refined using a preliminary review of the transcripts. Coders established reliability using the coding system on one transcript. Coding was compared and discrepancies resolved through reconciliation. Remaining transcripts were independently coded </w:t>
      </w:r>
      <w:r w:rsidR="00524E80">
        <w:rPr>
          <w:rFonts w:eastAsia="Calibri"/>
          <w:sz w:val="20"/>
          <w:szCs w:val="20"/>
        </w:rPr>
        <w:t>within</w:t>
      </w:r>
      <w:r w:rsidR="00524E80" w:rsidRPr="00AF035C">
        <w:rPr>
          <w:rFonts w:eastAsia="Calibri"/>
          <w:sz w:val="20"/>
          <w:szCs w:val="20"/>
        </w:rPr>
        <w:t xml:space="preserve"> </w:t>
      </w:r>
      <w:r w:rsidR="00A63420">
        <w:rPr>
          <w:rFonts w:eastAsia="Calibri"/>
          <w:sz w:val="20"/>
          <w:szCs w:val="20"/>
        </w:rPr>
        <w:t xml:space="preserve">adult-informant </w:t>
      </w:r>
      <w:r w:rsidRPr="00AF035C">
        <w:rPr>
          <w:rFonts w:eastAsia="Calibri"/>
          <w:sz w:val="20"/>
          <w:szCs w:val="20"/>
        </w:rPr>
        <w:t xml:space="preserve">dyads to consider each adult within their context. We used an iterative inductive/deductive approach to qualitative data analysis </w:t>
      </w:r>
      <w:r w:rsidRPr="00AF035C">
        <w:rPr>
          <w:rFonts w:eastAsia="Calibri"/>
          <w:sz w:val="20"/>
          <w:szCs w:val="20"/>
        </w:rPr>
        <w:fldChar w:fldCharType="begin"/>
      </w:r>
      <w:r w:rsidRPr="00AF035C">
        <w:rPr>
          <w:rFonts w:eastAsia="Calibri"/>
          <w:sz w:val="20"/>
          <w:szCs w:val="20"/>
        </w:rPr>
        <w:instrText xml:space="preserve"> ADDIN EN.CITE &lt;EndNote&gt;&lt;Cite&gt;&lt;Author&gt;Fereday&lt;/Author&gt;&lt;Year&gt;2006&lt;/Year&gt;&lt;RecNum&gt;4&lt;/RecNum&gt;&lt;DisplayText&gt;(Azungah, 2018; Fereday &amp;amp; Muir-Cochrane, 2006)&lt;/DisplayText&gt;&lt;record&gt;&lt;rec-number&gt;4&lt;/rec-number&gt;&lt;foreign-keys&gt;&lt;key app="EN" db-id="5w0rxeef3vzz54e5d9epe00uprwxt2s9aftf" timestamp="1584468203"&gt;4&lt;/key&gt;&lt;/foreign-keys&gt;&lt;ref-type name="Journal Article"&gt;17&lt;/ref-type&gt;&lt;contributors&gt;&lt;authors&gt;&lt;author&gt;Fereday, Jennifer&lt;/author&gt;&lt;author&gt;Muir-Cochrane, Eimear&lt;/author&gt;&lt;/authors&gt;&lt;/contributors&gt;&lt;titles&gt;&lt;title&gt;Demonstrating rigor using thematic analysis: A hybrid approach of inductive and deductive coding and theme development&lt;/title&gt;&lt;secondary-title&gt;International journal of qualitative methods&lt;/secondary-title&gt;&lt;/titles&gt;&lt;periodical&gt;&lt;full-title&gt;International journal of qualitative methods&lt;/full-title&gt;&lt;/periodical&gt;&lt;pages&gt;80-92&lt;/pages&gt;&lt;volume&gt;5&lt;/volume&gt;&lt;number&gt;1&lt;/number&gt;&lt;dates&gt;&lt;year&gt;2006&lt;/year&gt;&lt;/dates&gt;&lt;isbn&gt;1609-4069&lt;/isbn&gt;&lt;urls&gt;&lt;/urls&gt;&lt;/record&gt;&lt;/Cite&gt;&lt;Cite&gt;&lt;Author&gt;Azungah&lt;/Author&gt;&lt;Year&gt;2018&lt;/Year&gt;&lt;RecNum&gt;2&lt;/RecNum&gt;&lt;record&gt;&lt;rec-number&gt;2&lt;/rec-number&gt;&lt;foreign-keys&gt;&lt;key app="EN" db-id="5w0rxeef3vzz54e5d9epe00uprwxt2s9aftf" timestamp="1584468112"&gt;2&lt;/key&gt;&lt;/foreign-keys&gt;&lt;ref-type name="Journal Article"&gt;17&lt;/ref-type&gt;&lt;contributors&gt;&lt;authors&gt;&lt;author&gt;Azungah, Theophilus&lt;/author&gt;&lt;/authors&gt;&lt;/contributors&gt;&lt;titles&gt;&lt;title&gt;Qualitative research: deductive and inductive approaches to data analysis&lt;/title&gt;&lt;secondary-title&gt;Qualitative Research Journal&lt;/secondary-title&gt;&lt;/titles&gt;&lt;periodical&gt;&lt;full-title&gt;Qualitative Research Journal&lt;/full-title&gt;&lt;/periodical&gt;&lt;dates&gt;&lt;year&gt;2018&lt;/year&gt;&lt;/dates&gt;&lt;urls&gt;&lt;/urls&gt;&lt;/record&gt;&lt;/Cite&gt;&lt;/EndNote&gt;</w:instrText>
      </w:r>
      <w:r w:rsidRPr="00AF035C">
        <w:rPr>
          <w:rFonts w:eastAsia="Calibri"/>
          <w:sz w:val="20"/>
          <w:szCs w:val="20"/>
        </w:rPr>
        <w:fldChar w:fldCharType="separate"/>
      </w:r>
      <w:r w:rsidRPr="00AF035C">
        <w:rPr>
          <w:rFonts w:eastAsia="Calibri"/>
          <w:noProof/>
          <w:sz w:val="20"/>
          <w:szCs w:val="20"/>
        </w:rPr>
        <w:t>(Azungah, 2018; Fereday &amp; Muir-Cochrane, 2006)</w:t>
      </w:r>
      <w:r w:rsidRPr="00AF035C">
        <w:rPr>
          <w:rFonts w:eastAsia="Calibri"/>
          <w:sz w:val="20"/>
          <w:szCs w:val="20"/>
        </w:rPr>
        <w:fldChar w:fldCharType="end"/>
      </w:r>
      <w:r w:rsidRPr="00AF035C">
        <w:rPr>
          <w:rFonts w:eastAsia="Calibri"/>
          <w:sz w:val="20"/>
          <w:szCs w:val="20"/>
        </w:rPr>
        <w:t xml:space="preserve">. Deductively, the conceptual framework was informed by social ecological theory (Golden &amp; Earp, 2012; </w:t>
      </w:r>
      <w:proofErr w:type="spellStart"/>
      <w:r w:rsidRPr="00AF035C">
        <w:rPr>
          <w:rFonts w:eastAsia="Calibri"/>
          <w:sz w:val="20"/>
          <w:szCs w:val="20"/>
        </w:rPr>
        <w:t>Stokels</w:t>
      </w:r>
      <w:proofErr w:type="spellEnd"/>
      <w:r w:rsidRPr="00AF035C">
        <w:rPr>
          <w:rFonts w:eastAsia="Calibri"/>
          <w:sz w:val="20"/>
          <w:szCs w:val="20"/>
        </w:rPr>
        <w:t>, 1996). Inductively, we used coded quotes to identify higher order themes and relationships between themes.</w:t>
      </w:r>
    </w:p>
    <w:p w14:paraId="3BA6F602" w14:textId="77777777" w:rsidR="00F15100" w:rsidRPr="00F15100" w:rsidRDefault="00F15100" w:rsidP="00F15100">
      <w:pPr>
        <w:spacing w:after="0"/>
        <w:rPr>
          <w:rFonts w:eastAsia="Calibri"/>
          <w:sz w:val="20"/>
          <w:szCs w:val="20"/>
        </w:rPr>
      </w:pPr>
    </w:p>
    <w:p w14:paraId="76CEBBCE" w14:textId="5F619C91" w:rsidR="0031433C" w:rsidRDefault="003D6244" w:rsidP="00C473FF">
      <w:pPr>
        <w:rPr>
          <w:sz w:val="20"/>
          <w:szCs w:val="20"/>
          <w:lang w:val="en"/>
        </w:rPr>
      </w:pPr>
      <w:r>
        <w:rPr>
          <w:b/>
          <w:color w:val="000000"/>
          <w:sz w:val="20"/>
          <w:szCs w:val="20"/>
          <w:lang w:val="en-GB"/>
        </w:rPr>
        <w:t>Results</w:t>
      </w:r>
      <w:r>
        <w:rPr>
          <w:color w:val="000000"/>
          <w:sz w:val="20"/>
          <w:szCs w:val="20"/>
          <w:lang w:val="en-GB"/>
        </w:rPr>
        <w:t xml:space="preserve">: </w:t>
      </w:r>
      <w:r w:rsidR="000800F9">
        <w:rPr>
          <w:color w:val="000000"/>
          <w:sz w:val="20"/>
          <w:szCs w:val="20"/>
          <w:lang w:val="en-GB"/>
        </w:rPr>
        <w:t xml:space="preserve">The </w:t>
      </w:r>
      <w:r w:rsidR="000800F9" w:rsidRPr="004513CE">
        <w:rPr>
          <w:sz w:val="20"/>
          <w:szCs w:val="20"/>
          <w:lang w:val="en"/>
        </w:rPr>
        <w:t>qualitative</w:t>
      </w:r>
      <w:r w:rsidR="004513CE" w:rsidRPr="004513CE">
        <w:rPr>
          <w:sz w:val="20"/>
          <w:szCs w:val="20"/>
          <w:lang w:val="en"/>
        </w:rPr>
        <w:t xml:space="preserve"> analysis </w:t>
      </w:r>
      <w:r w:rsidR="000B13D9">
        <w:rPr>
          <w:sz w:val="20"/>
          <w:szCs w:val="20"/>
          <w:lang w:val="en"/>
        </w:rPr>
        <w:t>presented</w:t>
      </w:r>
      <w:r w:rsidR="004513CE" w:rsidRPr="004513CE">
        <w:rPr>
          <w:sz w:val="20"/>
          <w:szCs w:val="20"/>
          <w:lang w:val="en"/>
        </w:rPr>
        <w:t xml:space="preserve"> a multidimensional model of </w:t>
      </w:r>
      <w:r w:rsidR="00C50857">
        <w:rPr>
          <w:sz w:val="20"/>
          <w:szCs w:val="20"/>
          <w:lang w:val="en"/>
        </w:rPr>
        <w:t>contributors</w:t>
      </w:r>
      <w:r w:rsidR="0000687F">
        <w:rPr>
          <w:sz w:val="20"/>
          <w:szCs w:val="20"/>
          <w:lang w:val="en"/>
        </w:rPr>
        <w:t xml:space="preserve"> shaping </w:t>
      </w:r>
      <w:r w:rsidR="004513CE" w:rsidRPr="004513CE">
        <w:rPr>
          <w:sz w:val="20"/>
          <w:szCs w:val="20"/>
          <w:lang w:val="en"/>
        </w:rPr>
        <w:t xml:space="preserve">employment </w:t>
      </w:r>
      <w:r w:rsidR="006D3874">
        <w:rPr>
          <w:sz w:val="20"/>
          <w:szCs w:val="20"/>
          <w:lang w:val="en"/>
        </w:rPr>
        <w:t>outcomes</w:t>
      </w:r>
      <w:r w:rsidR="004513CE" w:rsidRPr="004513CE">
        <w:rPr>
          <w:sz w:val="20"/>
          <w:szCs w:val="20"/>
          <w:lang w:val="en"/>
        </w:rPr>
        <w:t xml:space="preserve">. </w:t>
      </w:r>
      <w:r w:rsidR="003E519E">
        <w:rPr>
          <w:sz w:val="20"/>
          <w:szCs w:val="20"/>
          <w:lang w:val="en"/>
        </w:rPr>
        <w:t>Several i</w:t>
      </w:r>
      <w:r w:rsidR="0088597B">
        <w:rPr>
          <w:sz w:val="20"/>
          <w:szCs w:val="20"/>
          <w:lang w:val="en"/>
        </w:rPr>
        <w:t xml:space="preserve">ndividual </w:t>
      </w:r>
      <w:r w:rsidR="002E672C">
        <w:rPr>
          <w:sz w:val="20"/>
          <w:szCs w:val="20"/>
          <w:lang w:val="en"/>
        </w:rPr>
        <w:t xml:space="preserve">factors </w:t>
      </w:r>
      <w:r w:rsidR="00854C4B">
        <w:rPr>
          <w:sz w:val="20"/>
          <w:szCs w:val="20"/>
          <w:lang w:val="en"/>
        </w:rPr>
        <w:t>contributed to employment</w:t>
      </w:r>
      <w:r w:rsidR="00003EC9">
        <w:rPr>
          <w:sz w:val="20"/>
          <w:szCs w:val="20"/>
          <w:lang w:val="en"/>
        </w:rPr>
        <w:t xml:space="preserve"> </w:t>
      </w:r>
      <w:r w:rsidR="006D3874">
        <w:rPr>
          <w:sz w:val="20"/>
          <w:szCs w:val="20"/>
          <w:lang w:val="en"/>
        </w:rPr>
        <w:t xml:space="preserve">experience </w:t>
      </w:r>
      <w:r w:rsidR="00854C4B">
        <w:rPr>
          <w:sz w:val="20"/>
          <w:szCs w:val="20"/>
          <w:lang w:val="en"/>
        </w:rPr>
        <w:t xml:space="preserve">and </w:t>
      </w:r>
      <w:r w:rsidR="002E672C">
        <w:rPr>
          <w:sz w:val="20"/>
          <w:szCs w:val="20"/>
          <w:lang w:val="en"/>
        </w:rPr>
        <w:t xml:space="preserve">were </w:t>
      </w:r>
      <w:r w:rsidR="0088597B">
        <w:rPr>
          <w:sz w:val="20"/>
          <w:szCs w:val="20"/>
          <w:lang w:val="en"/>
        </w:rPr>
        <w:t xml:space="preserve">modified by mental health supports and family involvement. </w:t>
      </w:r>
      <w:r w:rsidR="000110FB">
        <w:rPr>
          <w:sz w:val="20"/>
          <w:szCs w:val="20"/>
          <w:lang w:val="en"/>
        </w:rPr>
        <w:t>Additionally, there were e</w:t>
      </w:r>
      <w:r w:rsidR="0088597B">
        <w:rPr>
          <w:sz w:val="20"/>
          <w:szCs w:val="20"/>
          <w:lang w:val="en"/>
        </w:rPr>
        <w:t>xternal factors, such</w:t>
      </w:r>
      <w:r w:rsidR="0088597B" w:rsidRPr="004513CE">
        <w:rPr>
          <w:sz w:val="20"/>
          <w:szCs w:val="20"/>
          <w:lang w:val="en"/>
        </w:rPr>
        <w:t xml:space="preserve"> as </w:t>
      </w:r>
      <w:r w:rsidR="0088597B">
        <w:rPr>
          <w:sz w:val="20"/>
          <w:szCs w:val="20"/>
          <w:lang w:val="en"/>
        </w:rPr>
        <w:t>workplace</w:t>
      </w:r>
      <w:r w:rsidR="0088597B" w:rsidRPr="004513CE">
        <w:rPr>
          <w:sz w:val="20"/>
          <w:szCs w:val="20"/>
          <w:lang w:val="en"/>
        </w:rPr>
        <w:t xml:space="preserve"> settings,</w:t>
      </w:r>
      <w:r w:rsidR="0088597B">
        <w:rPr>
          <w:sz w:val="20"/>
          <w:szCs w:val="20"/>
          <w:lang w:val="en"/>
        </w:rPr>
        <w:t xml:space="preserve"> job </w:t>
      </w:r>
      <w:r w:rsidR="0088597B" w:rsidRPr="004513CE">
        <w:rPr>
          <w:sz w:val="20"/>
          <w:szCs w:val="20"/>
          <w:lang w:val="en"/>
        </w:rPr>
        <w:t>characteristics, and</w:t>
      </w:r>
      <w:r w:rsidR="0088597B">
        <w:rPr>
          <w:sz w:val="20"/>
          <w:szCs w:val="20"/>
          <w:lang w:val="en"/>
        </w:rPr>
        <w:t xml:space="preserve"> employment </w:t>
      </w:r>
      <w:r w:rsidR="0088597B" w:rsidRPr="004513CE">
        <w:rPr>
          <w:sz w:val="20"/>
          <w:szCs w:val="20"/>
          <w:lang w:val="en"/>
        </w:rPr>
        <w:t>logistics</w:t>
      </w:r>
      <w:r w:rsidR="0088597B">
        <w:rPr>
          <w:sz w:val="20"/>
          <w:szCs w:val="20"/>
          <w:lang w:val="en"/>
        </w:rPr>
        <w:t>,</w:t>
      </w:r>
      <w:r w:rsidR="0088597B" w:rsidRPr="004513CE">
        <w:rPr>
          <w:sz w:val="20"/>
          <w:szCs w:val="20"/>
          <w:lang w:val="en"/>
        </w:rPr>
        <w:t xml:space="preserve"> </w:t>
      </w:r>
      <w:r w:rsidR="00AE61F6">
        <w:rPr>
          <w:sz w:val="20"/>
          <w:szCs w:val="20"/>
          <w:lang w:val="en"/>
        </w:rPr>
        <w:t>affecting</w:t>
      </w:r>
      <w:r w:rsidR="0088597B">
        <w:rPr>
          <w:sz w:val="20"/>
          <w:szCs w:val="20"/>
          <w:lang w:val="en"/>
        </w:rPr>
        <w:t xml:space="preserve"> employment engagement.</w:t>
      </w:r>
    </w:p>
    <w:p w14:paraId="4A955F26" w14:textId="1CC17A05" w:rsidR="00DD30D0" w:rsidRDefault="0031433C" w:rsidP="00C473FF">
      <w:pPr>
        <w:rPr>
          <w:sz w:val="20"/>
          <w:szCs w:val="20"/>
        </w:rPr>
      </w:pPr>
      <w:r>
        <w:rPr>
          <w:sz w:val="20"/>
          <w:szCs w:val="20"/>
          <w:lang w:val="en"/>
        </w:rPr>
        <w:t xml:space="preserve">In this abstract we focus on the individual factors that impact employment </w:t>
      </w:r>
      <w:r w:rsidR="006D3874">
        <w:rPr>
          <w:sz w:val="20"/>
          <w:szCs w:val="20"/>
          <w:lang w:val="en"/>
        </w:rPr>
        <w:t>experiences</w:t>
      </w:r>
      <w:r>
        <w:rPr>
          <w:sz w:val="20"/>
          <w:szCs w:val="20"/>
          <w:lang w:val="en"/>
        </w:rPr>
        <w:t xml:space="preserve">. </w:t>
      </w:r>
      <w:r w:rsidR="004513CE" w:rsidRPr="004513CE">
        <w:rPr>
          <w:sz w:val="20"/>
          <w:szCs w:val="20"/>
          <w:lang w:val="en"/>
        </w:rPr>
        <w:t xml:space="preserve">Emerging themes that influenced employment </w:t>
      </w:r>
      <w:r w:rsidR="003F5FA3">
        <w:rPr>
          <w:sz w:val="20"/>
          <w:szCs w:val="20"/>
          <w:lang w:val="en"/>
        </w:rPr>
        <w:t>included</w:t>
      </w:r>
      <w:r w:rsidR="004513CE" w:rsidRPr="004513CE">
        <w:rPr>
          <w:sz w:val="20"/>
          <w:szCs w:val="20"/>
          <w:lang w:val="en"/>
        </w:rPr>
        <w:t xml:space="preserve"> persistence, self-awareness, self-efficacy, coping</w:t>
      </w:r>
      <w:r w:rsidR="002C79E6">
        <w:rPr>
          <w:sz w:val="20"/>
          <w:szCs w:val="20"/>
          <w:lang w:val="en"/>
        </w:rPr>
        <w:t xml:space="preserve"> strategies</w:t>
      </w:r>
      <w:r w:rsidR="004513CE" w:rsidRPr="004513CE">
        <w:rPr>
          <w:sz w:val="20"/>
          <w:szCs w:val="20"/>
          <w:lang w:val="en"/>
        </w:rPr>
        <w:t>, motivators, and expectations.</w:t>
      </w:r>
      <w:r w:rsidR="000643D1">
        <w:rPr>
          <w:sz w:val="20"/>
          <w:szCs w:val="20"/>
          <w:lang w:val="en"/>
        </w:rPr>
        <w:t xml:space="preserve"> </w:t>
      </w:r>
      <w:r w:rsidR="009850A4">
        <w:rPr>
          <w:sz w:val="20"/>
          <w:szCs w:val="20"/>
          <w:lang w:val="en"/>
        </w:rPr>
        <w:t>Under s</w:t>
      </w:r>
      <w:r w:rsidR="00B44B17">
        <w:rPr>
          <w:sz w:val="20"/>
          <w:szCs w:val="20"/>
          <w:lang w:val="en"/>
        </w:rPr>
        <w:t>elf-awareness</w:t>
      </w:r>
      <w:r w:rsidR="00B827C9">
        <w:rPr>
          <w:sz w:val="20"/>
          <w:szCs w:val="20"/>
          <w:lang w:val="en"/>
        </w:rPr>
        <w:t>,</w:t>
      </w:r>
      <w:r w:rsidR="003965B3">
        <w:rPr>
          <w:sz w:val="20"/>
          <w:szCs w:val="20"/>
          <w:lang w:val="en"/>
        </w:rPr>
        <w:t xml:space="preserve"> </w:t>
      </w:r>
      <w:r w:rsidR="008A4322">
        <w:rPr>
          <w:sz w:val="20"/>
          <w:szCs w:val="20"/>
          <w:lang w:val="en"/>
        </w:rPr>
        <w:t xml:space="preserve">one </w:t>
      </w:r>
      <w:r w:rsidR="00515479">
        <w:rPr>
          <w:sz w:val="20"/>
          <w:szCs w:val="20"/>
        </w:rPr>
        <w:t>participant</w:t>
      </w:r>
      <w:r w:rsidR="008A4322">
        <w:rPr>
          <w:sz w:val="20"/>
          <w:szCs w:val="20"/>
        </w:rPr>
        <w:t xml:space="preserve"> noted </w:t>
      </w:r>
      <w:r w:rsidR="009E3435">
        <w:rPr>
          <w:sz w:val="20"/>
          <w:szCs w:val="20"/>
        </w:rPr>
        <w:t xml:space="preserve">that </w:t>
      </w:r>
      <w:r w:rsidR="00E427D2">
        <w:rPr>
          <w:sz w:val="20"/>
          <w:szCs w:val="20"/>
        </w:rPr>
        <w:t xml:space="preserve">reducing </w:t>
      </w:r>
      <w:r w:rsidR="009E3435">
        <w:rPr>
          <w:sz w:val="20"/>
          <w:szCs w:val="20"/>
        </w:rPr>
        <w:t>“masking” of autistic traits</w:t>
      </w:r>
      <w:r w:rsidR="00D25F81">
        <w:rPr>
          <w:sz w:val="20"/>
          <w:szCs w:val="20"/>
        </w:rPr>
        <w:t xml:space="preserve"> helped conserve energy, </w:t>
      </w:r>
      <w:r w:rsidR="009850A4">
        <w:rPr>
          <w:sz w:val="20"/>
          <w:szCs w:val="20"/>
        </w:rPr>
        <w:t>while</w:t>
      </w:r>
      <w:r w:rsidR="008B031B">
        <w:rPr>
          <w:sz w:val="20"/>
          <w:szCs w:val="20"/>
        </w:rPr>
        <w:t xml:space="preserve"> </w:t>
      </w:r>
      <w:r w:rsidR="003965B3">
        <w:rPr>
          <w:sz w:val="20"/>
          <w:szCs w:val="20"/>
        </w:rPr>
        <w:t>another</w:t>
      </w:r>
      <w:r w:rsidR="00A0790F">
        <w:rPr>
          <w:sz w:val="20"/>
          <w:szCs w:val="20"/>
        </w:rPr>
        <w:t xml:space="preserve"> participant</w:t>
      </w:r>
      <w:r w:rsidR="003965B3">
        <w:rPr>
          <w:sz w:val="20"/>
          <w:szCs w:val="20"/>
        </w:rPr>
        <w:t xml:space="preserve"> </w:t>
      </w:r>
      <w:r w:rsidR="00177ABA">
        <w:rPr>
          <w:sz w:val="20"/>
          <w:szCs w:val="20"/>
        </w:rPr>
        <w:t>focused</w:t>
      </w:r>
      <w:r w:rsidR="001902F6">
        <w:rPr>
          <w:sz w:val="20"/>
          <w:szCs w:val="20"/>
        </w:rPr>
        <w:t xml:space="preserve"> </w:t>
      </w:r>
      <w:r w:rsidR="00177ABA">
        <w:rPr>
          <w:sz w:val="20"/>
          <w:szCs w:val="20"/>
        </w:rPr>
        <w:t xml:space="preserve">on </w:t>
      </w:r>
      <w:r w:rsidR="008D17A3">
        <w:rPr>
          <w:sz w:val="20"/>
          <w:szCs w:val="20"/>
        </w:rPr>
        <w:t>learn</w:t>
      </w:r>
      <w:r w:rsidR="00177ABA">
        <w:rPr>
          <w:sz w:val="20"/>
          <w:szCs w:val="20"/>
        </w:rPr>
        <w:t>ing</w:t>
      </w:r>
      <w:r w:rsidR="0082218C">
        <w:rPr>
          <w:sz w:val="20"/>
          <w:szCs w:val="20"/>
        </w:rPr>
        <w:t xml:space="preserve"> </w:t>
      </w:r>
      <w:r w:rsidR="00C10774">
        <w:rPr>
          <w:sz w:val="20"/>
          <w:szCs w:val="20"/>
        </w:rPr>
        <w:t xml:space="preserve">to </w:t>
      </w:r>
      <w:r w:rsidR="005D7A4E">
        <w:rPr>
          <w:sz w:val="20"/>
          <w:szCs w:val="20"/>
        </w:rPr>
        <w:t>work</w:t>
      </w:r>
      <w:r w:rsidR="00C361C9">
        <w:rPr>
          <w:sz w:val="20"/>
          <w:szCs w:val="20"/>
        </w:rPr>
        <w:t xml:space="preserve"> diligently</w:t>
      </w:r>
      <w:r w:rsidR="00531D18">
        <w:rPr>
          <w:sz w:val="20"/>
          <w:szCs w:val="20"/>
        </w:rPr>
        <w:t xml:space="preserve"> </w:t>
      </w:r>
      <w:r w:rsidR="00FA06B4">
        <w:rPr>
          <w:sz w:val="20"/>
          <w:szCs w:val="20"/>
        </w:rPr>
        <w:t xml:space="preserve">without risking burnout. </w:t>
      </w:r>
      <w:r w:rsidR="001B4C88">
        <w:rPr>
          <w:sz w:val="20"/>
          <w:szCs w:val="20"/>
        </w:rPr>
        <w:t xml:space="preserve">In terms of </w:t>
      </w:r>
      <w:r w:rsidR="00B827C9">
        <w:rPr>
          <w:sz w:val="20"/>
          <w:szCs w:val="20"/>
        </w:rPr>
        <w:t xml:space="preserve">self-efficacy, </w:t>
      </w:r>
      <w:r w:rsidR="00A14BDD">
        <w:rPr>
          <w:sz w:val="20"/>
          <w:szCs w:val="20"/>
        </w:rPr>
        <w:t>participant</w:t>
      </w:r>
      <w:r w:rsidR="00C361C9">
        <w:rPr>
          <w:sz w:val="20"/>
          <w:szCs w:val="20"/>
        </w:rPr>
        <w:t>s</w:t>
      </w:r>
      <w:r w:rsidR="005D5FF8">
        <w:rPr>
          <w:sz w:val="20"/>
          <w:szCs w:val="20"/>
        </w:rPr>
        <w:t xml:space="preserve"> </w:t>
      </w:r>
      <w:r w:rsidR="001B4C88">
        <w:rPr>
          <w:sz w:val="20"/>
          <w:szCs w:val="20"/>
        </w:rPr>
        <w:t xml:space="preserve">emphasized </w:t>
      </w:r>
      <w:r w:rsidR="005D5FF8">
        <w:rPr>
          <w:sz w:val="20"/>
          <w:szCs w:val="20"/>
        </w:rPr>
        <w:t xml:space="preserve">recognizing when to </w:t>
      </w:r>
      <w:r w:rsidR="0027769D" w:rsidRPr="005C1802">
        <w:rPr>
          <w:sz w:val="20"/>
          <w:szCs w:val="20"/>
        </w:rPr>
        <w:t>persevere</w:t>
      </w:r>
      <w:r w:rsidR="0094747A">
        <w:rPr>
          <w:sz w:val="20"/>
          <w:szCs w:val="20"/>
        </w:rPr>
        <w:t xml:space="preserve"> </w:t>
      </w:r>
      <w:r w:rsidR="0025475F">
        <w:rPr>
          <w:sz w:val="20"/>
          <w:szCs w:val="20"/>
        </w:rPr>
        <w:t>versus</w:t>
      </w:r>
      <w:r w:rsidR="0094747A">
        <w:rPr>
          <w:sz w:val="20"/>
          <w:szCs w:val="20"/>
        </w:rPr>
        <w:t xml:space="preserve"> when </w:t>
      </w:r>
      <w:r w:rsidR="0027769D" w:rsidRPr="005C1802">
        <w:rPr>
          <w:sz w:val="20"/>
          <w:szCs w:val="20"/>
        </w:rPr>
        <w:t xml:space="preserve">to </w:t>
      </w:r>
      <w:r w:rsidR="00E92069">
        <w:rPr>
          <w:sz w:val="20"/>
          <w:szCs w:val="20"/>
        </w:rPr>
        <w:t>see</w:t>
      </w:r>
      <w:r w:rsidR="00B336E9">
        <w:rPr>
          <w:sz w:val="20"/>
          <w:szCs w:val="20"/>
        </w:rPr>
        <w:t>k</w:t>
      </w:r>
      <w:r w:rsidR="00E92069">
        <w:rPr>
          <w:sz w:val="20"/>
          <w:szCs w:val="20"/>
        </w:rPr>
        <w:t xml:space="preserve"> </w:t>
      </w:r>
      <w:r w:rsidR="000C0AA8">
        <w:rPr>
          <w:sz w:val="20"/>
          <w:szCs w:val="20"/>
        </w:rPr>
        <w:t>support and resources</w:t>
      </w:r>
      <w:r w:rsidR="00E92069">
        <w:rPr>
          <w:sz w:val="20"/>
          <w:szCs w:val="20"/>
        </w:rPr>
        <w:t xml:space="preserve">. </w:t>
      </w:r>
      <w:r w:rsidR="00A3647E">
        <w:rPr>
          <w:sz w:val="20"/>
          <w:szCs w:val="20"/>
        </w:rPr>
        <w:t xml:space="preserve">For coping with overwhelm, </w:t>
      </w:r>
      <w:r w:rsidR="0094747A">
        <w:rPr>
          <w:sz w:val="20"/>
          <w:szCs w:val="20"/>
        </w:rPr>
        <w:t xml:space="preserve">strategies for </w:t>
      </w:r>
      <w:r w:rsidR="001C21C2">
        <w:rPr>
          <w:sz w:val="20"/>
          <w:szCs w:val="20"/>
        </w:rPr>
        <w:t xml:space="preserve">managing anxiety and executive dysfunction emerged as essential, particularly </w:t>
      </w:r>
      <w:r w:rsidR="00CF4DAA">
        <w:rPr>
          <w:sz w:val="20"/>
          <w:szCs w:val="20"/>
        </w:rPr>
        <w:t>when</w:t>
      </w:r>
      <w:r w:rsidR="001C21C2">
        <w:rPr>
          <w:sz w:val="20"/>
          <w:szCs w:val="20"/>
        </w:rPr>
        <w:t xml:space="preserve"> personal responsibilities</w:t>
      </w:r>
      <w:r w:rsidR="0027769D" w:rsidRPr="005C1802">
        <w:rPr>
          <w:sz w:val="20"/>
          <w:szCs w:val="20"/>
        </w:rPr>
        <w:t xml:space="preserve"> </w:t>
      </w:r>
      <w:r w:rsidR="00380126">
        <w:rPr>
          <w:sz w:val="20"/>
          <w:szCs w:val="20"/>
        </w:rPr>
        <w:t>felt daunting</w:t>
      </w:r>
      <w:r w:rsidR="0027769D" w:rsidRPr="005C1802">
        <w:rPr>
          <w:sz w:val="20"/>
          <w:szCs w:val="20"/>
        </w:rPr>
        <w:t xml:space="preserve"> after prioritizing work and social commitments.</w:t>
      </w:r>
      <w:r w:rsidR="004A5CE8" w:rsidRPr="004A5CE8">
        <w:rPr>
          <w:sz w:val="20"/>
          <w:szCs w:val="20"/>
          <w:lang w:val="en"/>
        </w:rPr>
        <w:t xml:space="preserve"> </w:t>
      </w:r>
      <w:r w:rsidR="00D1434B">
        <w:rPr>
          <w:sz w:val="20"/>
          <w:szCs w:val="20"/>
          <w:lang w:val="en"/>
        </w:rPr>
        <w:t>These individual factors revealed participants demonstrating resilience and resourcefulness while highlighting the need to balance personal well-being with productivity.</w:t>
      </w:r>
    </w:p>
    <w:p w14:paraId="6088486E" w14:textId="7390202D" w:rsidR="00A4421A" w:rsidRDefault="003D6244" w:rsidP="003D6244">
      <w:pPr>
        <w:rPr>
          <w:bCs/>
          <w:sz w:val="20"/>
          <w:szCs w:val="20"/>
          <w:lang w:val="en"/>
        </w:rPr>
      </w:pPr>
      <w:r w:rsidRPr="00F15100">
        <w:rPr>
          <w:b/>
          <w:iCs/>
          <w:color w:val="000000"/>
          <w:sz w:val="20"/>
          <w:szCs w:val="20"/>
          <w:lang w:val="en-GB"/>
        </w:rPr>
        <w:t xml:space="preserve">Discussion: </w:t>
      </w:r>
      <w:r w:rsidR="00F15100" w:rsidRPr="00F15100">
        <w:rPr>
          <w:bCs/>
          <w:sz w:val="20"/>
          <w:szCs w:val="20"/>
          <w:lang w:val="en"/>
        </w:rPr>
        <w:t>This study identified several individual strengths and challenges that contribute to positive and negative employment experiences. This fram</w:t>
      </w:r>
      <w:r w:rsidR="001857EA">
        <w:rPr>
          <w:bCs/>
          <w:sz w:val="20"/>
          <w:szCs w:val="20"/>
          <w:lang w:val="en"/>
        </w:rPr>
        <w:t>e</w:t>
      </w:r>
      <w:r w:rsidR="00F15100" w:rsidRPr="00F15100">
        <w:rPr>
          <w:bCs/>
          <w:sz w:val="20"/>
          <w:szCs w:val="20"/>
          <w:lang w:val="en"/>
        </w:rPr>
        <w:t xml:space="preserve">work </w:t>
      </w:r>
      <w:r w:rsidR="000754A7">
        <w:rPr>
          <w:bCs/>
          <w:sz w:val="20"/>
          <w:szCs w:val="20"/>
          <w:lang w:val="en"/>
        </w:rPr>
        <w:t>offer</w:t>
      </w:r>
      <w:r w:rsidR="00714779">
        <w:rPr>
          <w:bCs/>
          <w:sz w:val="20"/>
          <w:szCs w:val="20"/>
          <w:lang w:val="en"/>
        </w:rPr>
        <w:t>s guidance for</w:t>
      </w:r>
      <w:r w:rsidR="00F15100" w:rsidRPr="00F15100">
        <w:rPr>
          <w:bCs/>
          <w:sz w:val="20"/>
          <w:szCs w:val="20"/>
          <w:lang w:val="en"/>
        </w:rPr>
        <w:t xml:space="preserve"> future research and practice</w:t>
      </w:r>
      <w:r w:rsidR="00714779">
        <w:rPr>
          <w:bCs/>
          <w:sz w:val="20"/>
          <w:szCs w:val="20"/>
          <w:lang w:val="en"/>
        </w:rPr>
        <w:t>, providing r</w:t>
      </w:r>
      <w:r w:rsidR="00BE1E25" w:rsidRPr="00F15100">
        <w:rPr>
          <w:bCs/>
          <w:sz w:val="20"/>
          <w:szCs w:val="20"/>
          <w:lang w:val="en"/>
        </w:rPr>
        <w:t>esearchers</w:t>
      </w:r>
      <w:r w:rsidR="00714779">
        <w:rPr>
          <w:bCs/>
          <w:sz w:val="20"/>
          <w:szCs w:val="20"/>
          <w:lang w:val="en"/>
        </w:rPr>
        <w:t xml:space="preserve"> with a structured approach to understanding factors that </w:t>
      </w:r>
      <w:r w:rsidR="004A671B">
        <w:rPr>
          <w:bCs/>
          <w:sz w:val="20"/>
          <w:szCs w:val="20"/>
          <w:lang w:val="en"/>
        </w:rPr>
        <w:t xml:space="preserve">impact </w:t>
      </w:r>
      <w:r w:rsidR="00714779">
        <w:rPr>
          <w:bCs/>
          <w:sz w:val="20"/>
          <w:szCs w:val="20"/>
          <w:lang w:val="en"/>
        </w:rPr>
        <w:t xml:space="preserve">meaningful employment for autistic adults. In turn, employers can use </w:t>
      </w:r>
      <w:r w:rsidR="00083D5F">
        <w:rPr>
          <w:bCs/>
          <w:sz w:val="20"/>
          <w:szCs w:val="20"/>
          <w:lang w:val="en"/>
        </w:rPr>
        <w:t>th</w:t>
      </w:r>
      <w:r w:rsidR="00CB5B8C">
        <w:rPr>
          <w:bCs/>
          <w:sz w:val="20"/>
          <w:szCs w:val="20"/>
          <w:lang w:val="en"/>
        </w:rPr>
        <w:t xml:space="preserve">e </w:t>
      </w:r>
      <w:r w:rsidR="00C92A47">
        <w:rPr>
          <w:bCs/>
          <w:sz w:val="20"/>
          <w:szCs w:val="20"/>
          <w:lang w:val="en"/>
        </w:rPr>
        <w:t xml:space="preserve">overall </w:t>
      </w:r>
      <w:r w:rsidR="00CB5B8C">
        <w:rPr>
          <w:bCs/>
          <w:sz w:val="20"/>
          <w:szCs w:val="20"/>
          <w:lang w:val="en"/>
        </w:rPr>
        <w:t>framework</w:t>
      </w:r>
      <w:r w:rsidR="00083D5F">
        <w:rPr>
          <w:bCs/>
          <w:sz w:val="20"/>
          <w:szCs w:val="20"/>
          <w:lang w:val="en"/>
        </w:rPr>
        <w:t xml:space="preserve"> </w:t>
      </w:r>
      <w:r w:rsidR="00EC0CF7">
        <w:rPr>
          <w:bCs/>
          <w:sz w:val="20"/>
          <w:szCs w:val="20"/>
          <w:lang w:val="en"/>
        </w:rPr>
        <w:t xml:space="preserve">for </w:t>
      </w:r>
      <w:r w:rsidR="003824B6">
        <w:rPr>
          <w:bCs/>
          <w:sz w:val="20"/>
          <w:szCs w:val="20"/>
          <w:lang w:val="en"/>
        </w:rPr>
        <w:t>practical</w:t>
      </w:r>
      <w:r w:rsidR="00EC0CF7">
        <w:rPr>
          <w:bCs/>
          <w:sz w:val="20"/>
          <w:szCs w:val="20"/>
          <w:lang w:val="en"/>
        </w:rPr>
        <w:t xml:space="preserve"> application </w:t>
      </w:r>
      <w:r w:rsidR="007E7335">
        <w:rPr>
          <w:bCs/>
          <w:sz w:val="20"/>
          <w:szCs w:val="20"/>
          <w:lang w:val="en"/>
        </w:rPr>
        <w:t xml:space="preserve">by </w:t>
      </w:r>
      <w:r w:rsidR="00083D5F">
        <w:rPr>
          <w:bCs/>
          <w:sz w:val="20"/>
          <w:szCs w:val="20"/>
          <w:lang w:val="en"/>
        </w:rPr>
        <w:t>implement</w:t>
      </w:r>
      <w:r w:rsidR="005E1220">
        <w:rPr>
          <w:bCs/>
          <w:sz w:val="20"/>
          <w:szCs w:val="20"/>
          <w:lang w:val="en"/>
        </w:rPr>
        <w:t>ing</w:t>
      </w:r>
      <w:r w:rsidR="00083D5F">
        <w:rPr>
          <w:bCs/>
          <w:sz w:val="20"/>
          <w:szCs w:val="20"/>
          <w:lang w:val="en"/>
        </w:rPr>
        <w:t xml:space="preserve"> individualized workplace accommodations that </w:t>
      </w:r>
      <w:r w:rsidR="000F0668">
        <w:rPr>
          <w:bCs/>
          <w:sz w:val="20"/>
          <w:szCs w:val="20"/>
          <w:lang w:val="en"/>
        </w:rPr>
        <w:t xml:space="preserve">support autistic employees’ specific needs while </w:t>
      </w:r>
      <w:r w:rsidR="00B602A9">
        <w:rPr>
          <w:bCs/>
          <w:sz w:val="20"/>
          <w:szCs w:val="20"/>
          <w:lang w:val="en"/>
        </w:rPr>
        <w:t>leverag</w:t>
      </w:r>
      <w:r w:rsidR="000F0668">
        <w:rPr>
          <w:bCs/>
          <w:sz w:val="20"/>
          <w:szCs w:val="20"/>
          <w:lang w:val="en"/>
        </w:rPr>
        <w:t>ing</w:t>
      </w:r>
      <w:r w:rsidR="00B602A9">
        <w:rPr>
          <w:bCs/>
          <w:sz w:val="20"/>
          <w:szCs w:val="20"/>
          <w:lang w:val="en"/>
        </w:rPr>
        <w:t xml:space="preserve"> the</w:t>
      </w:r>
      <w:r w:rsidR="000F0668">
        <w:rPr>
          <w:bCs/>
          <w:sz w:val="20"/>
          <w:szCs w:val="20"/>
          <w:lang w:val="en"/>
        </w:rPr>
        <w:t xml:space="preserve">ir </w:t>
      </w:r>
      <w:r w:rsidR="00B602A9">
        <w:rPr>
          <w:bCs/>
          <w:sz w:val="20"/>
          <w:szCs w:val="20"/>
          <w:lang w:val="en"/>
        </w:rPr>
        <w:t xml:space="preserve">unique </w:t>
      </w:r>
      <w:r w:rsidR="005E1220">
        <w:rPr>
          <w:bCs/>
          <w:sz w:val="20"/>
          <w:szCs w:val="20"/>
          <w:lang w:val="en"/>
        </w:rPr>
        <w:t>strengths</w:t>
      </w:r>
      <w:r w:rsidR="00590882">
        <w:rPr>
          <w:bCs/>
          <w:sz w:val="20"/>
          <w:szCs w:val="20"/>
          <w:lang w:val="en"/>
        </w:rPr>
        <w:t xml:space="preserve">. </w:t>
      </w:r>
    </w:p>
    <w:p w14:paraId="0FC08AD3" w14:textId="77777777" w:rsidR="00225D8A" w:rsidRPr="00B73309" w:rsidRDefault="00225D8A" w:rsidP="003D6244">
      <w:pPr>
        <w:rPr>
          <w:bCs/>
          <w:sz w:val="20"/>
          <w:szCs w:val="20"/>
          <w:lang w:val="en"/>
        </w:rPr>
      </w:pPr>
    </w:p>
    <w:p w14:paraId="7AC50376" w14:textId="14F5BDB9" w:rsidR="003D6244" w:rsidRDefault="003D6244" w:rsidP="003D6244">
      <w:pPr>
        <w:rPr>
          <w:b/>
          <w:color w:val="000000"/>
          <w:sz w:val="20"/>
          <w:szCs w:val="20"/>
          <w:lang w:val="en-GB"/>
        </w:rPr>
      </w:pPr>
      <w:r w:rsidRPr="00514B99">
        <w:rPr>
          <w:b/>
          <w:color w:val="000000"/>
          <w:sz w:val="20"/>
          <w:szCs w:val="20"/>
          <w:lang w:val="en-GB"/>
        </w:rPr>
        <w:lastRenderedPageBreak/>
        <w:t>References</w:t>
      </w:r>
      <w:r>
        <w:rPr>
          <w:b/>
          <w:color w:val="000000"/>
          <w:sz w:val="20"/>
          <w:szCs w:val="20"/>
          <w:lang w:val="en-GB"/>
        </w:rPr>
        <w:t xml:space="preserve">: </w:t>
      </w:r>
    </w:p>
    <w:p w14:paraId="1B0FA236" w14:textId="77777777" w:rsidR="000E03C4" w:rsidRPr="000E03C4" w:rsidRDefault="000E03C4" w:rsidP="000E03C4">
      <w:pPr>
        <w:rPr>
          <w:rFonts w:cstheme="minorHAnsi"/>
          <w:sz w:val="20"/>
          <w:szCs w:val="20"/>
        </w:rPr>
      </w:pPr>
      <w:proofErr w:type="spellStart"/>
      <w:r w:rsidRPr="000E03C4">
        <w:rPr>
          <w:rFonts w:cstheme="minorHAnsi"/>
          <w:sz w:val="20"/>
          <w:szCs w:val="20"/>
        </w:rPr>
        <w:t>Azungah</w:t>
      </w:r>
      <w:proofErr w:type="spellEnd"/>
      <w:r w:rsidRPr="000E03C4">
        <w:rPr>
          <w:rFonts w:cstheme="minorHAnsi"/>
          <w:sz w:val="20"/>
          <w:szCs w:val="20"/>
        </w:rPr>
        <w:t>, T. (2018). Qualitative research: deductive and inductive approaches to data analysis. </w:t>
      </w:r>
      <w:r w:rsidRPr="000E03C4">
        <w:rPr>
          <w:rFonts w:cstheme="minorHAnsi"/>
          <w:i/>
          <w:iCs/>
          <w:sz w:val="20"/>
          <w:szCs w:val="20"/>
        </w:rPr>
        <w:t xml:space="preserve">Qualitative Research Journal, </w:t>
      </w:r>
      <w:r w:rsidRPr="000E03C4">
        <w:rPr>
          <w:rFonts w:cstheme="minorHAnsi"/>
          <w:i/>
          <w:iCs/>
          <w:sz w:val="20"/>
          <w:szCs w:val="20"/>
        </w:rPr>
        <w:tab/>
        <w:t>18</w:t>
      </w:r>
      <w:r w:rsidRPr="000E03C4">
        <w:rPr>
          <w:rFonts w:cstheme="minorHAnsi"/>
          <w:sz w:val="20"/>
          <w:szCs w:val="20"/>
        </w:rPr>
        <w:t>(4), 383-400. doi:10.1108/QRJ-D-18-00035</w:t>
      </w:r>
    </w:p>
    <w:p w14:paraId="41CEA565" w14:textId="77777777" w:rsidR="000E03C4" w:rsidRPr="000E03C4" w:rsidRDefault="000E03C4" w:rsidP="000E03C4">
      <w:pPr>
        <w:rPr>
          <w:rFonts w:cstheme="minorHAnsi"/>
          <w:sz w:val="20"/>
          <w:szCs w:val="20"/>
        </w:rPr>
      </w:pPr>
      <w:r w:rsidRPr="000E03C4">
        <w:rPr>
          <w:rFonts w:cstheme="minorHAnsi"/>
          <w:sz w:val="20"/>
          <w:szCs w:val="20"/>
        </w:rPr>
        <w:t xml:space="preserve">Davies, J., Romualdez, A. M., </w:t>
      </w:r>
      <w:proofErr w:type="spellStart"/>
      <w:r w:rsidRPr="000E03C4">
        <w:rPr>
          <w:rFonts w:cstheme="minorHAnsi"/>
          <w:sz w:val="20"/>
          <w:szCs w:val="20"/>
        </w:rPr>
        <w:t>Malyan</w:t>
      </w:r>
      <w:proofErr w:type="spellEnd"/>
      <w:r w:rsidRPr="000E03C4">
        <w:rPr>
          <w:rFonts w:cstheme="minorHAnsi"/>
          <w:sz w:val="20"/>
          <w:szCs w:val="20"/>
        </w:rPr>
        <w:t xml:space="preserve">, D., Heasman, B., Livesey, A., Walker, A., Pellicano, E., &amp; Remington, A. (2023). Autistic </w:t>
      </w:r>
      <w:r w:rsidRPr="000E03C4">
        <w:rPr>
          <w:rFonts w:cstheme="minorHAnsi"/>
          <w:sz w:val="20"/>
          <w:szCs w:val="20"/>
        </w:rPr>
        <w:tab/>
        <w:t xml:space="preserve">adults’ priorities for future autism employment research: Perspectives from the United Kingdom. </w:t>
      </w:r>
      <w:r w:rsidRPr="000E03C4">
        <w:rPr>
          <w:rFonts w:cstheme="minorHAnsi"/>
          <w:i/>
          <w:iCs/>
          <w:sz w:val="20"/>
          <w:szCs w:val="20"/>
        </w:rPr>
        <w:t>Autism in Adulthood</w:t>
      </w:r>
      <w:r w:rsidRPr="000E03C4">
        <w:rPr>
          <w:rFonts w:cstheme="minorHAnsi"/>
          <w:sz w:val="20"/>
          <w:szCs w:val="20"/>
        </w:rPr>
        <w:t xml:space="preserve">, </w:t>
      </w:r>
      <w:r w:rsidRPr="000E03C4">
        <w:rPr>
          <w:rFonts w:cstheme="minorHAnsi"/>
          <w:sz w:val="20"/>
          <w:szCs w:val="20"/>
        </w:rPr>
        <w:tab/>
      </w:r>
      <w:r w:rsidRPr="000E03C4">
        <w:rPr>
          <w:rFonts w:cstheme="minorHAnsi"/>
          <w:i/>
          <w:iCs/>
          <w:sz w:val="20"/>
          <w:szCs w:val="20"/>
        </w:rPr>
        <w:t>6</w:t>
      </w:r>
      <w:r w:rsidRPr="000E03C4">
        <w:rPr>
          <w:rFonts w:cstheme="minorHAnsi"/>
          <w:sz w:val="20"/>
          <w:szCs w:val="20"/>
        </w:rPr>
        <w:t xml:space="preserve">(1), 72-85. </w:t>
      </w:r>
      <w:hyperlink r:id="rId11" w:history="1">
        <w:r w:rsidRPr="000E03C4">
          <w:rPr>
            <w:rStyle w:val="Hyperlink"/>
            <w:rFonts w:cstheme="minorHAnsi"/>
            <w:sz w:val="20"/>
            <w:szCs w:val="20"/>
          </w:rPr>
          <w:t>https://doi.org/10.1089/aut.2022.0087</w:t>
        </w:r>
      </w:hyperlink>
    </w:p>
    <w:p w14:paraId="2FABDAE0" w14:textId="1E8E2426" w:rsidR="000E03C4" w:rsidRPr="000E03C4" w:rsidRDefault="000E03C4" w:rsidP="000E03C4">
      <w:pPr>
        <w:rPr>
          <w:rFonts w:cstheme="minorHAnsi"/>
          <w:sz w:val="20"/>
          <w:szCs w:val="20"/>
        </w:rPr>
      </w:pPr>
      <w:r w:rsidRPr="000E03C4">
        <w:rPr>
          <w:rFonts w:cstheme="minorHAnsi"/>
          <w:sz w:val="20"/>
          <w:szCs w:val="20"/>
        </w:rPr>
        <w:t xml:space="preserve">Diener, M. L., Wright, C. A., Taylor, C., </w:t>
      </w:r>
      <w:proofErr w:type="spellStart"/>
      <w:r w:rsidRPr="000E03C4">
        <w:rPr>
          <w:rFonts w:cstheme="minorHAnsi"/>
          <w:sz w:val="20"/>
          <w:szCs w:val="20"/>
        </w:rPr>
        <w:t>D’Astous</w:t>
      </w:r>
      <w:proofErr w:type="spellEnd"/>
      <w:r w:rsidRPr="000E03C4">
        <w:rPr>
          <w:rFonts w:cstheme="minorHAnsi"/>
          <w:sz w:val="20"/>
          <w:szCs w:val="20"/>
        </w:rPr>
        <w:t xml:space="preserve">, V., &amp; </w:t>
      </w:r>
      <w:proofErr w:type="spellStart"/>
      <w:r w:rsidRPr="000E03C4">
        <w:rPr>
          <w:rFonts w:cstheme="minorHAnsi"/>
          <w:sz w:val="20"/>
          <w:szCs w:val="20"/>
        </w:rPr>
        <w:t>Lasrich</w:t>
      </w:r>
      <w:proofErr w:type="spellEnd"/>
      <w:r w:rsidRPr="000E03C4">
        <w:rPr>
          <w:rFonts w:cstheme="minorHAnsi"/>
          <w:sz w:val="20"/>
          <w:szCs w:val="20"/>
        </w:rPr>
        <w:t>, L. (2020). Dual perspectives in autism spectrum disorders and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0E03C4">
        <w:rPr>
          <w:rFonts w:cstheme="minorHAnsi"/>
          <w:sz w:val="20"/>
          <w:szCs w:val="20"/>
        </w:rPr>
        <w:t xml:space="preserve">employment: Toward a better fit in the workplace. </w:t>
      </w:r>
      <w:r w:rsidRPr="000E03C4">
        <w:rPr>
          <w:rFonts w:cstheme="minorHAnsi"/>
          <w:i/>
          <w:iCs/>
          <w:sz w:val="20"/>
          <w:szCs w:val="20"/>
        </w:rPr>
        <w:t>WORK: A Journal of Prevention, Assessment &amp; Rehabilitation</w:t>
      </w:r>
      <w:r w:rsidRPr="000E03C4">
        <w:rPr>
          <w:rFonts w:cstheme="minorHAnsi"/>
          <w:sz w:val="20"/>
          <w:szCs w:val="20"/>
        </w:rPr>
        <w:t xml:space="preserve">, </w:t>
      </w:r>
      <w:r w:rsidRPr="000E03C4">
        <w:rPr>
          <w:rFonts w:cstheme="minorHAnsi"/>
          <w:i/>
          <w:iCs/>
          <w:sz w:val="20"/>
          <w:szCs w:val="20"/>
        </w:rPr>
        <w:t>67</w:t>
      </w:r>
      <w:r w:rsidRPr="000E03C4">
        <w:rPr>
          <w:rFonts w:cstheme="minorHAnsi"/>
          <w:sz w:val="20"/>
          <w:szCs w:val="20"/>
        </w:rPr>
        <w:t xml:space="preserve">(1), </w:t>
      </w:r>
      <w:r>
        <w:rPr>
          <w:rFonts w:cstheme="minorHAnsi"/>
          <w:sz w:val="20"/>
          <w:szCs w:val="20"/>
        </w:rPr>
        <w:tab/>
      </w:r>
      <w:r w:rsidRPr="000E03C4">
        <w:rPr>
          <w:rFonts w:cstheme="minorHAnsi"/>
          <w:sz w:val="20"/>
          <w:szCs w:val="20"/>
        </w:rPr>
        <w:t xml:space="preserve">223–237. </w:t>
      </w:r>
      <w:hyperlink r:id="rId12" w:history="1">
        <w:r w:rsidRPr="000E03C4">
          <w:rPr>
            <w:rStyle w:val="Hyperlink"/>
            <w:rFonts w:cstheme="minorHAnsi"/>
            <w:sz w:val="20"/>
            <w:szCs w:val="20"/>
          </w:rPr>
          <w:t>https://doi.org/10.3233/WOR-203268</w:t>
        </w:r>
      </w:hyperlink>
    </w:p>
    <w:p w14:paraId="6EF88C47" w14:textId="392EBA89" w:rsidR="000E03C4" w:rsidRPr="000E03C4" w:rsidRDefault="000E03C4" w:rsidP="000E03C4">
      <w:pPr>
        <w:rPr>
          <w:rFonts w:cstheme="minorHAnsi"/>
          <w:sz w:val="20"/>
          <w:szCs w:val="20"/>
        </w:rPr>
      </w:pPr>
      <w:r w:rsidRPr="000E03C4">
        <w:rPr>
          <w:rFonts w:cstheme="minorHAnsi"/>
          <w:sz w:val="20"/>
          <w:szCs w:val="20"/>
        </w:rPr>
        <w:t>Fereday, J., &amp; Muir-Cochrane, E. (2006). Demonstrating Rigor Using Thematic Analysis: A Hybrid Approach of Inductive and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0E03C4">
        <w:rPr>
          <w:rFonts w:cstheme="minorHAnsi"/>
          <w:sz w:val="20"/>
          <w:szCs w:val="20"/>
        </w:rPr>
        <w:t>Deductive Coding and Theme Development. </w:t>
      </w:r>
      <w:r w:rsidRPr="000E03C4">
        <w:rPr>
          <w:rFonts w:cstheme="minorHAnsi"/>
          <w:i/>
          <w:iCs/>
          <w:sz w:val="20"/>
          <w:szCs w:val="20"/>
        </w:rPr>
        <w:t>International Journal of Qualitative Methods</w:t>
      </w:r>
      <w:r w:rsidRPr="000E03C4">
        <w:rPr>
          <w:rFonts w:cstheme="minorHAnsi"/>
          <w:sz w:val="20"/>
          <w:szCs w:val="20"/>
        </w:rPr>
        <w:t xml:space="preserve">, 80-92. </w:t>
      </w:r>
      <w:r w:rsidRPr="000E03C4">
        <w:rPr>
          <w:rFonts w:cstheme="minorHAnsi"/>
          <w:sz w:val="20"/>
          <w:szCs w:val="20"/>
        </w:rPr>
        <w:tab/>
      </w:r>
      <w:hyperlink r:id="rId13" w:history="1">
        <w:r w:rsidRPr="000E03C4">
          <w:rPr>
            <w:rStyle w:val="Hyperlink"/>
            <w:rFonts w:cstheme="minorHAnsi"/>
            <w:sz w:val="20"/>
            <w:szCs w:val="20"/>
          </w:rPr>
          <w:t>https://doi.org/10.1177/160940690600500107</w:t>
        </w:r>
      </w:hyperlink>
    </w:p>
    <w:p w14:paraId="502A75E1" w14:textId="2BF7F628" w:rsidR="000E03C4" w:rsidRPr="000E03C4" w:rsidRDefault="000E03C4" w:rsidP="000E03C4">
      <w:pPr>
        <w:rPr>
          <w:rFonts w:cstheme="minorHAnsi"/>
          <w:sz w:val="20"/>
          <w:szCs w:val="20"/>
        </w:rPr>
      </w:pPr>
      <w:r w:rsidRPr="000E03C4">
        <w:rPr>
          <w:rFonts w:cstheme="minorHAnsi"/>
          <w:sz w:val="20"/>
          <w:szCs w:val="20"/>
        </w:rPr>
        <w:t xml:space="preserve">Golden, S.D., Earp, J.A. (2012). Social ecological approaches to individuals and their contexts: twenty years of health education &amp; </w:t>
      </w:r>
      <w:r w:rsidRPr="000E03C4">
        <w:rPr>
          <w:rFonts w:cstheme="minorHAnsi"/>
          <w:sz w:val="20"/>
          <w:szCs w:val="20"/>
        </w:rPr>
        <w:tab/>
        <w:t>behavior health promotion interventions. </w:t>
      </w:r>
      <w:r w:rsidRPr="000E03C4">
        <w:rPr>
          <w:rFonts w:cstheme="minorHAnsi"/>
          <w:i/>
          <w:iCs/>
          <w:sz w:val="20"/>
          <w:szCs w:val="20"/>
        </w:rPr>
        <w:t xml:space="preserve">Health Educ </w:t>
      </w:r>
      <w:proofErr w:type="spellStart"/>
      <w:r w:rsidRPr="000E03C4">
        <w:rPr>
          <w:rFonts w:cstheme="minorHAnsi"/>
          <w:i/>
          <w:iCs/>
          <w:sz w:val="20"/>
          <w:szCs w:val="20"/>
        </w:rPr>
        <w:t>Behav</w:t>
      </w:r>
      <w:proofErr w:type="spellEnd"/>
      <w:r w:rsidRPr="000E03C4">
        <w:rPr>
          <w:rFonts w:cstheme="minorHAnsi"/>
          <w:sz w:val="20"/>
          <w:szCs w:val="20"/>
        </w:rPr>
        <w:t xml:space="preserve">. </w:t>
      </w:r>
      <w:r w:rsidRPr="000E03C4">
        <w:rPr>
          <w:rFonts w:cstheme="minorHAnsi"/>
          <w:i/>
          <w:iCs/>
          <w:sz w:val="20"/>
          <w:szCs w:val="20"/>
        </w:rPr>
        <w:t>39</w:t>
      </w:r>
      <w:r w:rsidRPr="000E03C4">
        <w:rPr>
          <w:rFonts w:cstheme="minorHAnsi"/>
          <w:sz w:val="20"/>
          <w:szCs w:val="20"/>
        </w:rPr>
        <w:t>(3), 364‐372. doi:10.1177/1090198111418634</w:t>
      </w:r>
    </w:p>
    <w:p w14:paraId="07F91CC5" w14:textId="599FBAC4" w:rsidR="000E03C4" w:rsidRDefault="000E03C4" w:rsidP="000E03C4">
      <w:pPr>
        <w:rPr>
          <w:rStyle w:val="Hyperlink"/>
          <w:rFonts w:cstheme="minorHAnsi"/>
          <w:sz w:val="20"/>
          <w:szCs w:val="20"/>
        </w:rPr>
      </w:pPr>
      <w:r w:rsidRPr="000E03C4">
        <w:rPr>
          <w:rFonts w:cstheme="minorHAnsi"/>
          <w:sz w:val="20"/>
          <w:szCs w:val="20"/>
        </w:rPr>
        <w:t xml:space="preserve">Hayward, S. M., </w:t>
      </w:r>
      <w:proofErr w:type="spellStart"/>
      <w:r w:rsidRPr="000E03C4">
        <w:rPr>
          <w:rFonts w:cstheme="minorHAnsi"/>
          <w:sz w:val="20"/>
          <w:szCs w:val="20"/>
        </w:rPr>
        <w:t>McVilly</w:t>
      </w:r>
      <w:proofErr w:type="spellEnd"/>
      <w:r w:rsidRPr="000E03C4">
        <w:rPr>
          <w:rFonts w:cstheme="minorHAnsi"/>
          <w:sz w:val="20"/>
          <w:szCs w:val="20"/>
        </w:rPr>
        <w:t xml:space="preserve">, K. R., &amp; Stokes, M. A. (2019). Autism and employment: What works. </w:t>
      </w:r>
      <w:r w:rsidRPr="000E03C4">
        <w:rPr>
          <w:rFonts w:cstheme="minorHAnsi"/>
          <w:i/>
          <w:iCs/>
          <w:sz w:val="20"/>
          <w:szCs w:val="20"/>
        </w:rPr>
        <w:t>Research in Autism Spectrum</w:t>
      </w:r>
      <w:r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cstheme="minorHAnsi"/>
          <w:i/>
          <w:iCs/>
          <w:sz w:val="20"/>
          <w:szCs w:val="20"/>
        </w:rPr>
        <w:tab/>
      </w:r>
      <w:r w:rsidRPr="000E03C4">
        <w:rPr>
          <w:rFonts w:cstheme="minorHAnsi"/>
          <w:i/>
          <w:iCs/>
          <w:sz w:val="20"/>
          <w:szCs w:val="20"/>
        </w:rPr>
        <w:t>Disorders, 60</w:t>
      </w:r>
      <w:r w:rsidRPr="000E03C4">
        <w:rPr>
          <w:rFonts w:cstheme="minorHAnsi"/>
          <w:sz w:val="20"/>
          <w:szCs w:val="20"/>
        </w:rPr>
        <w:t xml:space="preserve">, 48–58. </w:t>
      </w:r>
      <w:hyperlink r:id="rId14" w:history="1">
        <w:r w:rsidRPr="000E03C4">
          <w:rPr>
            <w:rStyle w:val="Hyperlink"/>
            <w:rFonts w:cstheme="minorHAnsi"/>
            <w:sz w:val="20"/>
            <w:szCs w:val="20"/>
          </w:rPr>
          <w:t>https://doi.org/10.1016/j.rasd.2019.01.006</w:t>
        </w:r>
      </w:hyperlink>
    </w:p>
    <w:p w14:paraId="7AD177D9" w14:textId="5CEE8EE8" w:rsidR="000E03C4" w:rsidRPr="000E03C4" w:rsidRDefault="000E03C4" w:rsidP="000E03C4">
      <w:pPr>
        <w:rPr>
          <w:rFonts w:cstheme="minorHAnsi"/>
          <w:sz w:val="20"/>
          <w:szCs w:val="20"/>
        </w:rPr>
      </w:pPr>
      <w:r w:rsidRPr="000E03C4">
        <w:rPr>
          <w:rFonts w:cstheme="minorHAnsi"/>
          <w:sz w:val="20"/>
          <w:szCs w:val="20"/>
        </w:rPr>
        <w:t>Stokols, D. (1996). Translating social ecological theory into guidelines for community health promotion. </w:t>
      </w:r>
      <w:r w:rsidRPr="000E03C4">
        <w:rPr>
          <w:rFonts w:cstheme="minorHAnsi"/>
          <w:i/>
          <w:iCs/>
          <w:sz w:val="20"/>
          <w:szCs w:val="20"/>
        </w:rPr>
        <w:t>American journal of</w:t>
      </w:r>
      <w:r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cstheme="minorHAnsi"/>
          <w:i/>
          <w:iCs/>
          <w:sz w:val="20"/>
          <w:szCs w:val="20"/>
        </w:rPr>
        <w:tab/>
      </w:r>
      <w:r w:rsidRPr="000E03C4">
        <w:rPr>
          <w:rFonts w:cstheme="minorHAnsi"/>
          <w:i/>
          <w:iCs/>
          <w:sz w:val="20"/>
          <w:szCs w:val="20"/>
        </w:rPr>
        <w:t>health promotion</w:t>
      </w:r>
      <w:r w:rsidRPr="000E03C4">
        <w:rPr>
          <w:rFonts w:cstheme="minorHAnsi"/>
          <w:sz w:val="20"/>
          <w:szCs w:val="20"/>
        </w:rPr>
        <w:t xml:space="preserve">, </w:t>
      </w:r>
      <w:r w:rsidRPr="000E03C4">
        <w:rPr>
          <w:rFonts w:cstheme="minorHAnsi"/>
          <w:i/>
          <w:iCs/>
          <w:sz w:val="20"/>
          <w:szCs w:val="20"/>
        </w:rPr>
        <w:t>10</w:t>
      </w:r>
      <w:r w:rsidRPr="000E03C4">
        <w:rPr>
          <w:rFonts w:cstheme="minorHAnsi"/>
          <w:sz w:val="20"/>
          <w:szCs w:val="20"/>
        </w:rPr>
        <w:t>(4), 282-298.</w:t>
      </w:r>
    </w:p>
    <w:p w14:paraId="3999E671" w14:textId="3B123775" w:rsidR="000E03C4" w:rsidRDefault="000E03C4" w:rsidP="003D6244">
      <w:pPr>
        <w:rPr>
          <w:rFonts w:cstheme="minorHAnsi"/>
          <w:sz w:val="20"/>
          <w:szCs w:val="20"/>
        </w:rPr>
      </w:pPr>
      <w:r w:rsidRPr="000E03C4">
        <w:rPr>
          <w:rFonts w:cstheme="minorHAnsi"/>
          <w:sz w:val="20"/>
          <w:szCs w:val="20"/>
        </w:rPr>
        <w:t xml:space="preserve">Tong, A., Sainsbury, P., &amp; Craig, J.  (2007). Consolidated criteria for reporting qualitative research (COREQ): a 32-item checklist for </w:t>
      </w:r>
      <w:r w:rsidRPr="000E03C4">
        <w:rPr>
          <w:rFonts w:cstheme="minorHAnsi"/>
          <w:sz w:val="20"/>
          <w:szCs w:val="20"/>
        </w:rPr>
        <w:tab/>
        <w:t>interviews and focus groups, </w:t>
      </w:r>
      <w:r w:rsidRPr="000E03C4">
        <w:rPr>
          <w:rFonts w:cstheme="minorHAnsi"/>
          <w:i/>
          <w:iCs/>
          <w:sz w:val="20"/>
          <w:szCs w:val="20"/>
        </w:rPr>
        <w:t>International Journal for Quality in Health Care</w:t>
      </w:r>
      <w:r w:rsidRPr="000E03C4">
        <w:rPr>
          <w:rFonts w:cstheme="minorHAnsi"/>
          <w:sz w:val="20"/>
          <w:szCs w:val="20"/>
        </w:rPr>
        <w:t xml:space="preserve">, </w:t>
      </w:r>
      <w:r w:rsidRPr="000E03C4">
        <w:rPr>
          <w:rFonts w:cstheme="minorHAnsi"/>
          <w:i/>
          <w:iCs/>
          <w:sz w:val="20"/>
          <w:szCs w:val="20"/>
        </w:rPr>
        <w:t>19</w:t>
      </w:r>
      <w:r w:rsidRPr="000E03C4">
        <w:rPr>
          <w:rFonts w:cstheme="minorHAnsi"/>
          <w:sz w:val="20"/>
          <w:szCs w:val="20"/>
        </w:rPr>
        <w:t xml:space="preserve">(6), 349- 357, </w:t>
      </w:r>
      <w:r w:rsidRPr="000E03C4">
        <w:rPr>
          <w:rFonts w:cstheme="minorHAnsi"/>
          <w:sz w:val="20"/>
          <w:szCs w:val="20"/>
        </w:rPr>
        <w:tab/>
      </w:r>
      <w:hyperlink r:id="rId15" w:history="1">
        <w:r w:rsidRPr="000E03C4">
          <w:rPr>
            <w:rStyle w:val="Hyperlink"/>
            <w:rFonts w:cstheme="minorHAnsi"/>
            <w:sz w:val="20"/>
            <w:szCs w:val="20"/>
          </w:rPr>
          <w:t>https://doi.org/10.1093/intqhc/mzm042</w:t>
        </w:r>
      </w:hyperlink>
      <w:r w:rsidRPr="000E03C4">
        <w:rPr>
          <w:rFonts w:cstheme="minorHAnsi"/>
          <w:sz w:val="20"/>
          <w:szCs w:val="20"/>
        </w:rPr>
        <w:t> </w:t>
      </w:r>
    </w:p>
    <w:p w14:paraId="551C04B1" w14:textId="77777777" w:rsidR="00A4421A" w:rsidRPr="000E03C4" w:rsidRDefault="00A4421A" w:rsidP="003D6244">
      <w:pPr>
        <w:rPr>
          <w:rFonts w:cstheme="minorHAnsi"/>
          <w:sz w:val="20"/>
          <w:szCs w:val="20"/>
        </w:rPr>
      </w:pPr>
    </w:p>
    <w:p w14:paraId="7AC50377" w14:textId="3AF1DBDC" w:rsidR="003D6244" w:rsidRPr="008B1E03" w:rsidRDefault="003D6244" w:rsidP="003D6244">
      <w:pPr>
        <w:pStyle w:val="FootnoteText"/>
        <w:rPr>
          <w:lang w:val="en-CA"/>
        </w:rPr>
      </w:pPr>
      <w:r w:rsidRPr="008B1E03">
        <w:rPr>
          <w:rStyle w:val="FootnoteReference"/>
        </w:rPr>
        <w:footnoteRef/>
      </w:r>
      <w:r w:rsidRPr="008B1E03">
        <w:t xml:space="preserve"> </w:t>
      </w:r>
      <w:r w:rsidR="0095367E">
        <w:rPr>
          <w:lang w:val="en-CA"/>
        </w:rPr>
        <w:t>Vanderbilt University Medical Center</w:t>
      </w:r>
    </w:p>
    <w:p w14:paraId="18947BD6" w14:textId="66A28ADC" w:rsidR="004F2005" w:rsidRDefault="003D6244" w:rsidP="003D6244">
      <w:pPr>
        <w:pStyle w:val="FootnoteText"/>
      </w:pPr>
      <w:r>
        <w:rPr>
          <w:rStyle w:val="FootnoteReference"/>
        </w:rPr>
        <w:t>2</w:t>
      </w:r>
      <w:r w:rsidRPr="008B1E03">
        <w:t xml:space="preserve"> </w:t>
      </w:r>
      <w:r w:rsidR="004F2005">
        <w:t>Vanderbilt University</w:t>
      </w:r>
    </w:p>
    <w:p w14:paraId="7AC50378" w14:textId="2FC4499F" w:rsidR="003D6244" w:rsidRPr="008B1E03" w:rsidRDefault="004F2005" w:rsidP="003D6244">
      <w:pPr>
        <w:pStyle w:val="FootnoteText"/>
        <w:rPr>
          <w:lang w:val="en-CA"/>
        </w:rPr>
      </w:pPr>
      <w:r>
        <w:rPr>
          <w:vertAlign w:val="superscript"/>
        </w:rPr>
        <w:t>3</w:t>
      </w:r>
      <w:r w:rsidR="003D6244" w:rsidRPr="008B1E03">
        <w:rPr>
          <w:lang w:val="en-CA"/>
        </w:rPr>
        <w:t xml:space="preserve">University of </w:t>
      </w:r>
      <w:r w:rsidR="0095367E">
        <w:rPr>
          <w:lang w:val="en-CA"/>
        </w:rPr>
        <w:t>Wisconsin-Madison</w:t>
      </w:r>
    </w:p>
    <w:p w14:paraId="297E97C3" w14:textId="2ED69153" w:rsidR="00A7283E" w:rsidRPr="003D6244" w:rsidRDefault="00A7283E" w:rsidP="00A7283E">
      <w:r w:rsidRPr="00A7283E">
        <w:t> </w:t>
      </w:r>
    </w:p>
    <w:sectPr w:rsidR="00A7283E" w:rsidRPr="003D6244" w:rsidSect="00394E2C">
      <w:headerReference w:type="default" r:id="rId16"/>
      <w:footerReference w:type="default" r:id="rId17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CDEDB" w14:textId="77777777" w:rsidR="00CA04D0" w:rsidRDefault="00CA04D0" w:rsidP="00A16498">
      <w:pPr>
        <w:spacing w:after="0" w:line="240" w:lineRule="auto"/>
      </w:pPr>
      <w:r>
        <w:separator/>
      </w:r>
    </w:p>
  </w:endnote>
  <w:endnote w:type="continuationSeparator" w:id="0">
    <w:p w14:paraId="0097F5A0" w14:textId="77777777" w:rsidR="00CA04D0" w:rsidRDefault="00CA04D0" w:rsidP="00A16498">
      <w:pPr>
        <w:spacing w:after="0" w:line="240" w:lineRule="auto"/>
      </w:pPr>
      <w:r>
        <w:continuationSeparator/>
      </w:r>
    </w:p>
  </w:endnote>
  <w:endnote w:type="continuationNotice" w:id="1">
    <w:p w14:paraId="5B101EB9" w14:textId="77777777" w:rsidR="00CA04D0" w:rsidRDefault="00CA04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efa">
    <w:altName w:val="Ebrima"/>
    <w:charset w:val="00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09EBE" w14:textId="77777777" w:rsidR="00CA04D0" w:rsidRDefault="00CA04D0" w:rsidP="00A16498">
      <w:pPr>
        <w:spacing w:after="0" w:line="240" w:lineRule="auto"/>
      </w:pPr>
      <w:r>
        <w:separator/>
      </w:r>
    </w:p>
  </w:footnote>
  <w:footnote w:type="continuationSeparator" w:id="0">
    <w:p w14:paraId="45FCDAB1" w14:textId="77777777" w:rsidR="00CA04D0" w:rsidRDefault="00CA04D0" w:rsidP="00A16498">
      <w:pPr>
        <w:spacing w:after="0" w:line="240" w:lineRule="auto"/>
      </w:pPr>
      <w:r>
        <w:continuationSeparator/>
      </w:r>
    </w:p>
  </w:footnote>
  <w:footnote w:type="continuationNotice" w:id="1">
    <w:p w14:paraId="195826E3" w14:textId="77777777" w:rsidR="00CA04D0" w:rsidRDefault="00CA04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3F4B987D" w:rsidR="00A16498" w:rsidRDefault="00EE06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25BF9D" wp14:editId="7DB248D5">
              <wp:simplePos x="0" y="0"/>
              <wp:positionH relativeFrom="column">
                <wp:posOffset>-20867</wp:posOffset>
              </wp:positionH>
              <wp:positionV relativeFrom="paragraph">
                <wp:posOffset>-230368</wp:posOffset>
              </wp:positionV>
              <wp:extent cx="5371689" cy="457200"/>
              <wp:effectExtent l="0" t="0" r="19685" b="19050"/>
              <wp:wrapNone/>
              <wp:docPr id="226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1689" cy="4572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444C6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Kefa" w:hAnsi="Kefa"/>
                              <w:b/>
                              <w:color w:val="444C6A"/>
                              <w:sz w:val="34"/>
                              <w:szCs w:val="34"/>
                            </w:rPr>
                            <w:alias w:val="Title"/>
                            <w:id w:val="-103819533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7AC50385" w14:textId="7B697A81" w:rsidR="00A16498" w:rsidRPr="005C0907" w:rsidRDefault="00A16498">
                              <w:pPr>
                                <w:pStyle w:val="Header"/>
                                <w:rPr>
                                  <w:rFonts w:ascii="Kefa" w:hAnsi="Kefa"/>
                                  <w:b/>
                                  <w:color w:val="444C6A"/>
                                  <w:sz w:val="34"/>
                                  <w:szCs w:val="34"/>
                                </w:rPr>
                              </w:pPr>
                              <w:r w:rsidRPr="005C0907">
                                <w:rPr>
                                  <w:rFonts w:ascii="Kefa" w:hAnsi="Kefa"/>
                                  <w:b/>
                                  <w:color w:val="444C6A"/>
                                  <w:sz w:val="34"/>
                                  <w:szCs w:val="34"/>
                                </w:rPr>
                                <w:t>20</w:t>
                              </w:r>
                              <w:r w:rsidR="003C4D59" w:rsidRPr="005C0907">
                                <w:rPr>
                                  <w:rFonts w:ascii="Kefa" w:hAnsi="Kefa"/>
                                  <w:b/>
                                  <w:color w:val="444C6A"/>
                                  <w:sz w:val="34"/>
                                  <w:szCs w:val="34"/>
                                </w:rPr>
                                <w:t>2</w:t>
                              </w:r>
                              <w:r w:rsidR="00EE062C" w:rsidRPr="005C0907">
                                <w:rPr>
                                  <w:rFonts w:ascii="Kefa" w:hAnsi="Kefa"/>
                                  <w:b/>
                                  <w:color w:val="444C6A"/>
                                  <w:sz w:val="34"/>
                                  <w:szCs w:val="34"/>
                                </w:rPr>
                                <w:t>5</w:t>
                              </w:r>
                              <w:r w:rsidRPr="005C0907">
                                <w:rPr>
                                  <w:rFonts w:ascii="Kefa" w:hAnsi="Kefa"/>
                                  <w:b/>
                                  <w:color w:val="444C6A"/>
                                  <w:sz w:val="34"/>
                                  <w:szCs w:val="34"/>
                                </w:rPr>
                                <w:t xml:space="preserve"> Gatlinburg Conference Poster Submission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25BF9D" id="Rectangle 197" o:spid="_x0000_s1026" style="position:absolute;margin-left:-1.65pt;margin-top:-18.15pt;width:422.95pt;height:3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" filled="f" strokecolor="#444c6a" strokeweight="2pt">
              <v:textbox>
                <w:txbxContent>
                  <w:sdt>
                    <w:sdtPr>
                      <w:rPr>
                        <w:rFonts w:ascii="Kefa" w:hAnsi="Kefa"/>
                        <w:b/>
                        <w:color w:val="444C6A"/>
                        <w:sz w:val="34"/>
                        <w:szCs w:val="34"/>
                      </w:rPr>
                      <w:alias w:val="Title"/>
                      <w:id w:val="-103819533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7AC50385" w14:textId="7B697A81" w:rsidR="00A16498" w:rsidRPr="005C0907" w:rsidRDefault="00A16498">
                        <w:pPr>
                          <w:pStyle w:val="Header"/>
                          <w:rPr>
                            <w:rFonts w:ascii="Kefa" w:hAnsi="Kefa"/>
                            <w:b/>
                            <w:color w:val="444C6A"/>
                            <w:sz w:val="34"/>
                            <w:szCs w:val="34"/>
                          </w:rPr>
                        </w:pPr>
                        <w:r w:rsidRPr="005C0907">
                          <w:rPr>
                            <w:rFonts w:ascii="Kefa" w:hAnsi="Kefa"/>
                            <w:b/>
                            <w:color w:val="444C6A"/>
                            <w:sz w:val="34"/>
                            <w:szCs w:val="34"/>
                          </w:rPr>
                          <w:t>20</w:t>
                        </w:r>
                        <w:r w:rsidR="003C4D59" w:rsidRPr="005C0907">
                          <w:rPr>
                            <w:rFonts w:ascii="Kefa" w:hAnsi="Kefa"/>
                            <w:b/>
                            <w:color w:val="444C6A"/>
                            <w:sz w:val="34"/>
                            <w:szCs w:val="34"/>
                          </w:rPr>
                          <w:t>2</w:t>
                        </w:r>
                        <w:r w:rsidR="00EE062C" w:rsidRPr="005C0907">
                          <w:rPr>
                            <w:rFonts w:ascii="Kefa" w:hAnsi="Kefa"/>
                            <w:b/>
                            <w:color w:val="444C6A"/>
                            <w:sz w:val="34"/>
                            <w:szCs w:val="34"/>
                          </w:rPr>
                          <w:t>5</w:t>
                        </w:r>
                        <w:r w:rsidRPr="005C0907">
                          <w:rPr>
                            <w:rFonts w:ascii="Kefa" w:hAnsi="Kefa"/>
                            <w:b/>
                            <w:color w:val="444C6A"/>
                            <w:sz w:val="34"/>
                            <w:szCs w:val="34"/>
                          </w:rPr>
                          <w:t xml:space="preserve"> Gatlinburg Conference Poster Submission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A7EC1"/>
    <w:multiLevelType w:val="hybridMultilevel"/>
    <w:tmpl w:val="33049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4A96"/>
    <w:multiLevelType w:val="hybridMultilevel"/>
    <w:tmpl w:val="43F6A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2F4"/>
    <w:multiLevelType w:val="multilevel"/>
    <w:tmpl w:val="B5CE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C7519"/>
    <w:multiLevelType w:val="hybridMultilevel"/>
    <w:tmpl w:val="1C22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C5150"/>
    <w:multiLevelType w:val="multilevel"/>
    <w:tmpl w:val="56BE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094ABF"/>
    <w:multiLevelType w:val="multilevel"/>
    <w:tmpl w:val="9BF4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511C5E"/>
    <w:multiLevelType w:val="multilevel"/>
    <w:tmpl w:val="DD08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921D39"/>
    <w:multiLevelType w:val="multilevel"/>
    <w:tmpl w:val="A39E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294552"/>
    <w:multiLevelType w:val="hybridMultilevel"/>
    <w:tmpl w:val="37169746"/>
    <w:lvl w:ilvl="0" w:tplc="D8B88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DA90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50E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2D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4C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202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EE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121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4F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99357374">
    <w:abstractNumId w:val="0"/>
  </w:num>
  <w:num w:numId="2" w16cid:durableId="1429471475">
    <w:abstractNumId w:val="3"/>
  </w:num>
  <w:num w:numId="3" w16cid:durableId="978614803">
    <w:abstractNumId w:val="7"/>
  </w:num>
  <w:num w:numId="4" w16cid:durableId="1263415409">
    <w:abstractNumId w:val="9"/>
  </w:num>
  <w:num w:numId="5" w16cid:durableId="831332392">
    <w:abstractNumId w:val="6"/>
  </w:num>
  <w:num w:numId="6" w16cid:durableId="720517046">
    <w:abstractNumId w:val="5"/>
  </w:num>
  <w:num w:numId="7" w16cid:durableId="285741100">
    <w:abstractNumId w:val="4"/>
  </w:num>
  <w:num w:numId="8" w16cid:durableId="1507671061">
    <w:abstractNumId w:val="1"/>
  </w:num>
  <w:num w:numId="9" w16cid:durableId="1491411924">
    <w:abstractNumId w:val="2"/>
  </w:num>
  <w:num w:numId="10" w16cid:durableId="5499227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03EC9"/>
    <w:rsid w:val="0000687F"/>
    <w:rsid w:val="000110FB"/>
    <w:rsid w:val="000130DA"/>
    <w:rsid w:val="00014238"/>
    <w:rsid w:val="0003632B"/>
    <w:rsid w:val="00041398"/>
    <w:rsid w:val="00042C54"/>
    <w:rsid w:val="0004640D"/>
    <w:rsid w:val="00054F67"/>
    <w:rsid w:val="000643D1"/>
    <w:rsid w:val="000754A7"/>
    <w:rsid w:val="000800F9"/>
    <w:rsid w:val="00081CFC"/>
    <w:rsid w:val="00083D5F"/>
    <w:rsid w:val="0009798D"/>
    <w:rsid w:val="000A013B"/>
    <w:rsid w:val="000A074C"/>
    <w:rsid w:val="000A3011"/>
    <w:rsid w:val="000A39EF"/>
    <w:rsid w:val="000B13D9"/>
    <w:rsid w:val="000B1FC3"/>
    <w:rsid w:val="000C0AA8"/>
    <w:rsid w:val="000C3F83"/>
    <w:rsid w:val="000C42AF"/>
    <w:rsid w:val="000D0162"/>
    <w:rsid w:val="000D5C1D"/>
    <w:rsid w:val="000E03C4"/>
    <w:rsid w:val="000E1237"/>
    <w:rsid w:val="000E15DA"/>
    <w:rsid w:val="000E6AFF"/>
    <w:rsid w:val="000F0668"/>
    <w:rsid w:val="000F17A4"/>
    <w:rsid w:val="000F1DC8"/>
    <w:rsid w:val="000F2802"/>
    <w:rsid w:val="000F58E4"/>
    <w:rsid w:val="000F604F"/>
    <w:rsid w:val="00113134"/>
    <w:rsid w:val="00120AE7"/>
    <w:rsid w:val="00131155"/>
    <w:rsid w:val="00133B7B"/>
    <w:rsid w:val="0014100F"/>
    <w:rsid w:val="001440A9"/>
    <w:rsid w:val="0015283B"/>
    <w:rsid w:val="00162A8C"/>
    <w:rsid w:val="00167520"/>
    <w:rsid w:val="00171CA1"/>
    <w:rsid w:val="0017352A"/>
    <w:rsid w:val="00175FF7"/>
    <w:rsid w:val="00177ABA"/>
    <w:rsid w:val="00184CB4"/>
    <w:rsid w:val="001857EA"/>
    <w:rsid w:val="00185E61"/>
    <w:rsid w:val="00185F56"/>
    <w:rsid w:val="00186FD4"/>
    <w:rsid w:val="001902F6"/>
    <w:rsid w:val="00190B34"/>
    <w:rsid w:val="001A3EA1"/>
    <w:rsid w:val="001B4C88"/>
    <w:rsid w:val="001B502D"/>
    <w:rsid w:val="001C21C2"/>
    <w:rsid w:val="001C6D97"/>
    <w:rsid w:val="001C735E"/>
    <w:rsid w:val="001C785F"/>
    <w:rsid w:val="001D3D73"/>
    <w:rsid w:val="001D4AB2"/>
    <w:rsid w:val="001D53F0"/>
    <w:rsid w:val="001E1A30"/>
    <w:rsid w:val="001F29A4"/>
    <w:rsid w:val="001F33D4"/>
    <w:rsid w:val="001F3EAD"/>
    <w:rsid w:val="001F75AC"/>
    <w:rsid w:val="002006F3"/>
    <w:rsid w:val="002120C0"/>
    <w:rsid w:val="002147F1"/>
    <w:rsid w:val="002165B5"/>
    <w:rsid w:val="00224EC4"/>
    <w:rsid w:val="0022507E"/>
    <w:rsid w:val="00225D8A"/>
    <w:rsid w:val="00226854"/>
    <w:rsid w:val="00234EB1"/>
    <w:rsid w:val="00244C29"/>
    <w:rsid w:val="00253149"/>
    <w:rsid w:val="00253555"/>
    <w:rsid w:val="0025475F"/>
    <w:rsid w:val="002615DB"/>
    <w:rsid w:val="002619BD"/>
    <w:rsid w:val="0026276A"/>
    <w:rsid w:val="00263838"/>
    <w:rsid w:val="002651A3"/>
    <w:rsid w:val="0027769D"/>
    <w:rsid w:val="00282DCE"/>
    <w:rsid w:val="002836FC"/>
    <w:rsid w:val="0028555A"/>
    <w:rsid w:val="00286A2A"/>
    <w:rsid w:val="002872AA"/>
    <w:rsid w:val="002956B6"/>
    <w:rsid w:val="002A39D5"/>
    <w:rsid w:val="002B0390"/>
    <w:rsid w:val="002C19CE"/>
    <w:rsid w:val="002C4228"/>
    <w:rsid w:val="002C61C6"/>
    <w:rsid w:val="002C79E6"/>
    <w:rsid w:val="002D4E03"/>
    <w:rsid w:val="002E672C"/>
    <w:rsid w:val="002F4A69"/>
    <w:rsid w:val="00300310"/>
    <w:rsid w:val="00305C15"/>
    <w:rsid w:val="00312417"/>
    <w:rsid w:val="0031433C"/>
    <w:rsid w:val="00316B3B"/>
    <w:rsid w:val="00321356"/>
    <w:rsid w:val="0032171F"/>
    <w:rsid w:val="00323E14"/>
    <w:rsid w:val="00324E6F"/>
    <w:rsid w:val="00332A38"/>
    <w:rsid w:val="0033415B"/>
    <w:rsid w:val="00336415"/>
    <w:rsid w:val="0034012A"/>
    <w:rsid w:val="0034790F"/>
    <w:rsid w:val="0035671A"/>
    <w:rsid w:val="003567FC"/>
    <w:rsid w:val="00360A3B"/>
    <w:rsid w:val="00361587"/>
    <w:rsid w:val="00366F1D"/>
    <w:rsid w:val="00380126"/>
    <w:rsid w:val="00381B58"/>
    <w:rsid w:val="003824B6"/>
    <w:rsid w:val="00394E2C"/>
    <w:rsid w:val="003965B3"/>
    <w:rsid w:val="00397F2F"/>
    <w:rsid w:val="003A21A3"/>
    <w:rsid w:val="003A2D08"/>
    <w:rsid w:val="003A2F21"/>
    <w:rsid w:val="003B0285"/>
    <w:rsid w:val="003B2C35"/>
    <w:rsid w:val="003B555B"/>
    <w:rsid w:val="003B612D"/>
    <w:rsid w:val="003C03BC"/>
    <w:rsid w:val="003C1961"/>
    <w:rsid w:val="003C26B5"/>
    <w:rsid w:val="003C2A0A"/>
    <w:rsid w:val="003C4D59"/>
    <w:rsid w:val="003C7464"/>
    <w:rsid w:val="003D1F30"/>
    <w:rsid w:val="003D5A0D"/>
    <w:rsid w:val="003D6244"/>
    <w:rsid w:val="003E519E"/>
    <w:rsid w:val="003E7130"/>
    <w:rsid w:val="003F558A"/>
    <w:rsid w:val="003F5FA3"/>
    <w:rsid w:val="00402751"/>
    <w:rsid w:val="00404D03"/>
    <w:rsid w:val="00412A17"/>
    <w:rsid w:val="00415437"/>
    <w:rsid w:val="00446BA2"/>
    <w:rsid w:val="004473AC"/>
    <w:rsid w:val="004513CE"/>
    <w:rsid w:val="00451ABC"/>
    <w:rsid w:val="00452576"/>
    <w:rsid w:val="0045428A"/>
    <w:rsid w:val="00454395"/>
    <w:rsid w:val="004907CC"/>
    <w:rsid w:val="0049682A"/>
    <w:rsid w:val="00496948"/>
    <w:rsid w:val="004A279F"/>
    <w:rsid w:val="004A5CE8"/>
    <w:rsid w:val="004A671B"/>
    <w:rsid w:val="004B4C97"/>
    <w:rsid w:val="004B5EF2"/>
    <w:rsid w:val="004B7C3A"/>
    <w:rsid w:val="004C04C6"/>
    <w:rsid w:val="004C0649"/>
    <w:rsid w:val="004C2933"/>
    <w:rsid w:val="004C62BC"/>
    <w:rsid w:val="004D2E63"/>
    <w:rsid w:val="004D5293"/>
    <w:rsid w:val="004D79B8"/>
    <w:rsid w:val="004E5689"/>
    <w:rsid w:val="004E5F52"/>
    <w:rsid w:val="004F2005"/>
    <w:rsid w:val="004F71F6"/>
    <w:rsid w:val="005039D8"/>
    <w:rsid w:val="00515479"/>
    <w:rsid w:val="005160E9"/>
    <w:rsid w:val="0052167F"/>
    <w:rsid w:val="005249AF"/>
    <w:rsid w:val="00524E80"/>
    <w:rsid w:val="00531D18"/>
    <w:rsid w:val="0053324C"/>
    <w:rsid w:val="005367FD"/>
    <w:rsid w:val="00536C1A"/>
    <w:rsid w:val="00536CD6"/>
    <w:rsid w:val="00541A8A"/>
    <w:rsid w:val="00541DB7"/>
    <w:rsid w:val="0054211B"/>
    <w:rsid w:val="00550360"/>
    <w:rsid w:val="00556277"/>
    <w:rsid w:val="00562B48"/>
    <w:rsid w:val="00567690"/>
    <w:rsid w:val="00577D00"/>
    <w:rsid w:val="00577DC4"/>
    <w:rsid w:val="00590882"/>
    <w:rsid w:val="00591BBD"/>
    <w:rsid w:val="00594058"/>
    <w:rsid w:val="005A099B"/>
    <w:rsid w:val="005A13AC"/>
    <w:rsid w:val="005A304A"/>
    <w:rsid w:val="005A6B6A"/>
    <w:rsid w:val="005B5A10"/>
    <w:rsid w:val="005C0907"/>
    <w:rsid w:val="005C1119"/>
    <w:rsid w:val="005C1802"/>
    <w:rsid w:val="005C4759"/>
    <w:rsid w:val="005C782D"/>
    <w:rsid w:val="005D5FF8"/>
    <w:rsid w:val="005D7A4E"/>
    <w:rsid w:val="005E1220"/>
    <w:rsid w:val="005E4F0B"/>
    <w:rsid w:val="005F0CCD"/>
    <w:rsid w:val="005F3158"/>
    <w:rsid w:val="005F334C"/>
    <w:rsid w:val="005F67DB"/>
    <w:rsid w:val="005F741D"/>
    <w:rsid w:val="00601B81"/>
    <w:rsid w:val="0060530C"/>
    <w:rsid w:val="00625543"/>
    <w:rsid w:val="006256F3"/>
    <w:rsid w:val="00632AB9"/>
    <w:rsid w:val="00632B46"/>
    <w:rsid w:val="0064049D"/>
    <w:rsid w:val="006433D3"/>
    <w:rsid w:val="0064511C"/>
    <w:rsid w:val="0065190D"/>
    <w:rsid w:val="006530D5"/>
    <w:rsid w:val="006535AF"/>
    <w:rsid w:val="00654138"/>
    <w:rsid w:val="006541F3"/>
    <w:rsid w:val="00657810"/>
    <w:rsid w:val="006637E7"/>
    <w:rsid w:val="00666D10"/>
    <w:rsid w:val="00667DC1"/>
    <w:rsid w:val="00673562"/>
    <w:rsid w:val="006748AA"/>
    <w:rsid w:val="00677327"/>
    <w:rsid w:val="00681D52"/>
    <w:rsid w:val="00694F55"/>
    <w:rsid w:val="006978BB"/>
    <w:rsid w:val="006A0E33"/>
    <w:rsid w:val="006A1886"/>
    <w:rsid w:val="006A76DC"/>
    <w:rsid w:val="006B0ADF"/>
    <w:rsid w:val="006B108B"/>
    <w:rsid w:val="006C05DD"/>
    <w:rsid w:val="006C3C5F"/>
    <w:rsid w:val="006C6838"/>
    <w:rsid w:val="006C721E"/>
    <w:rsid w:val="006D0B18"/>
    <w:rsid w:val="006D3874"/>
    <w:rsid w:val="006F02FA"/>
    <w:rsid w:val="006F2ED7"/>
    <w:rsid w:val="006F31F7"/>
    <w:rsid w:val="006F5AD9"/>
    <w:rsid w:val="00701053"/>
    <w:rsid w:val="00714779"/>
    <w:rsid w:val="0073391C"/>
    <w:rsid w:val="00734561"/>
    <w:rsid w:val="00736171"/>
    <w:rsid w:val="00743360"/>
    <w:rsid w:val="00751FEE"/>
    <w:rsid w:val="007538EB"/>
    <w:rsid w:val="007629DE"/>
    <w:rsid w:val="00765E1E"/>
    <w:rsid w:val="007722E4"/>
    <w:rsid w:val="007741E7"/>
    <w:rsid w:val="0077649B"/>
    <w:rsid w:val="00777A2F"/>
    <w:rsid w:val="00777D73"/>
    <w:rsid w:val="007975E0"/>
    <w:rsid w:val="007A2C2B"/>
    <w:rsid w:val="007A2D8C"/>
    <w:rsid w:val="007A7245"/>
    <w:rsid w:val="007B4CE7"/>
    <w:rsid w:val="007B5B24"/>
    <w:rsid w:val="007B5CE2"/>
    <w:rsid w:val="007C6AAC"/>
    <w:rsid w:val="007C74D1"/>
    <w:rsid w:val="007E7335"/>
    <w:rsid w:val="007F2A21"/>
    <w:rsid w:val="007F34F0"/>
    <w:rsid w:val="007F5934"/>
    <w:rsid w:val="00801D2A"/>
    <w:rsid w:val="00811493"/>
    <w:rsid w:val="0081271B"/>
    <w:rsid w:val="00812F8F"/>
    <w:rsid w:val="008166A0"/>
    <w:rsid w:val="00817FE3"/>
    <w:rsid w:val="0082218C"/>
    <w:rsid w:val="0082616F"/>
    <w:rsid w:val="0082755C"/>
    <w:rsid w:val="00833C4C"/>
    <w:rsid w:val="00840951"/>
    <w:rsid w:val="00840C0D"/>
    <w:rsid w:val="00854C4B"/>
    <w:rsid w:val="00857C05"/>
    <w:rsid w:val="00857EFC"/>
    <w:rsid w:val="0087492A"/>
    <w:rsid w:val="0088597B"/>
    <w:rsid w:val="008867EE"/>
    <w:rsid w:val="008926AD"/>
    <w:rsid w:val="008938D8"/>
    <w:rsid w:val="0089462B"/>
    <w:rsid w:val="008A4322"/>
    <w:rsid w:val="008A656F"/>
    <w:rsid w:val="008B031B"/>
    <w:rsid w:val="008B6CBE"/>
    <w:rsid w:val="008C6141"/>
    <w:rsid w:val="008D17A3"/>
    <w:rsid w:val="008E1712"/>
    <w:rsid w:val="008E1C71"/>
    <w:rsid w:val="008E661B"/>
    <w:rsid w:val="008F54FD"/>
    <w:rsid w:val="00900413"/>
    <w:rsid w:val="0090642E"/>
    <w:rsid w:val="009102D1"/>
    <w:rsid w:val="00924416"/>
    <w:rsid w:val="00944119"/>
    <w:rsid w:val="009462E3"/>
    <w:rsid w:val="0094747A"/>
    <w:rsid w:val="00952F63"/>
    <w:rsid w:val="0095367E"/>
    <w:rsid w:val="0095682D"/>
    <w:rsid w:val="00957721"/>
    <w:rsid w:val="00970A75"/>
    <w:rsid w:val="00973DC8"/>
    <w:rsid w:val="0097711E"/>
    <w:rsid w:val="009850A4"/>
    <w:rsid w:val="009947AF"/>
    <w:rsid w:val="009A42E7"/>
    <w:rsid w:val="009A7E0C"/>
    <w:rsid w:val="009B1DAB"/>
    <w:rsid w:val="009B22B3"/>
    <w:rsid w:val="009B667C"/>
    <w:rsid w:val="009C003E"/>
    <w:rsid w:val="009C031C"/>
    <w:rsid w:val="009C235A"/>
    <w:rsid w:val="009D034D"/>
    <w:rsid w:val="009D0C66"/>
    <w:rsid w:val="009D745A"/>
    <w:rsid w:val="009D78EC"/>
    <w:rsid w:val="009E0B7C"/>
    <w:rsid w:val="009E1B56"/>
    <w:rsid w:val="009E3435"/>
    <w:rsid w:val="009E4A4A"/>
    <w:rsid w:val="009F2C8A"/>
    <w:rsid w:val="009F4FA9"/>
    <w:rsid w:val="009F7470"/>
    <w:rsid w:val="00A013FD"/>
    <w:rsid w:val="00A046CB"/>
    <w:rsid w:val="00A047D6"/>
    <w:rsid w:val="00A0548F"/>
    <w:rsid w:val="00A0790F"/>
    <w:rsid w:val="00A14BDD"/>
    <w:rsid w:val="00A157A1"/>
    <w:rsid w:val="00A16498"/>
    <w:rsid w:val="00A2154C"/>
    <w:rsid w:val="00A22654"/>
    <w:rsid w:val="00A25A85"/>
    <w:rsid w:val="00A25E20"/>
    <w:rsid w:val="00A27916"/>
    <w:rsid w:val="00A343FD"/>
    <w:rsid w:val="00A35A65"/>
    <w:rsid w:val="00A3647E"/>
    <w:rsid w:val="00A41D66"/>
    <w:rsid w:val="00A4421A"/>
    <w:rsid w:val="00A50128"/>
    <w:rsid w:val="00A51F7C"/>
    <w:rsid w:val="00A52203"/>
    <w:rsid w:val="00A53094"/>
    <w:rsid w:val="00A60990"/>
    <w:rsid w:val="00A6155A"/>
    <w:rsid w:val="00A63420"/>
    <w:rsid w:val="00A63D62"/>
    <w:rsid w:val="00A7283E"/>
    <w:rsid w:val="00A76709"/>
    <w:rsid w:val="00A77CB1"/>
    <w:rsid w:val="00A80200"/>
    <w:rsid w:val="00A81637"/>
    <w:rsid w:val="00A91470"/>
    <w:rsid w:val="00A949D7"/>
    <w:rsid w:val="00A97FC9"/>
    <w:rsid w:val="00AA1E7D"/>
    <w:rsid w:val="00AA3065"/>
    <w:rsid w:val="00AA3B75"/>
    <w:rsid w:val="00AA49D1"/>
    <w:rsid w:val="00AB5B49"/>
    <w:rsid w:val="00AB707D"/>
    <w:rsid w:val="00AB7B37"/>
    <w:rsid w:val="00AC1AAC"/>
    <w:rsid w:val="00AD219B"/>
    <w:rsid w:val="00AD2D71"/>
    <w:rsid w:val="00AE17D2"/>
    <w:rsid w:val="00AE4ADB"/>
    <w:rsid w:val="00AE5985"/>
    <w:rsid w:val="00AE61F6"/>
    <w:rsid w:val="00AE7B1F"/>
    <w:rsid w:val="00AF035C"/>
    <w:rsid w:val="00B0437F"/>
    <w:rsid w:val="00B064B7"/>
    <w:rsid w:val="00B07732"/>
    <w:rsid w:val="00B11B7D"/>
    <w:rsid w:val="00B14D30"/>
    <w:rsid w:val="00B226B4"/>
    <w:rsid w:val="00B309E5"/>
    <w:rsid w:val="00B31394"/>
    <w:rsid w:val="00B336E9"/>
    <w:rsid w:val="00B40E05"/>
    <w:rsid w:val="00B44B17"/>
    <w:rsid w:val="00B45FB0"/>
    <w:rsid w:val="00B50F57"/>
    <w:rsid w:val="00B56E67"/>
    <w:rsid w:val="00B602A9"/>
    <w:rsid w:val="00B610BA"/>
    <w:rsid w:val="00B63156"/>
    <w:rsid w:val="00B71AFF"/>
    <w:rsid w:val="00B721DD"/>
    <w:rsid w:val="00B73309"/>
    <w:rsid w:val="00B775C0"/>
    <w:rsid w:val="00B7786C"/>
    <w:rsid w:val="00B8219B"/>
    <w:rsid w:val="00B827C9"/>
    <w:rsid w:val="00B84848"/>
    <w:rsid w:val="00B87779"/>
    <w:rsid w:val="00B950C3"/>
    <w:rsid w:val="00B9586C"/>
    <w:rsid w:val="00B97E6F"/>
    <w:rsid w:val="00BA0AD3"/>
    <w:rsid w:val="00BA2D2D"/>
    <w:rsid w:val="00BA6FB0"/>
    <w:rsid w:val="00BB0E8A"/>
    <w:rsid w:val="00BB268C"/>
    <w:rsid w:val="00BB333F"/>
    <w:rsid w:val="00BC12DB"/>
    <w:rsid w:val="00BC73ED"/>
    <w:rsid w:val="00BE1E25"/>
    <w:rsid w:val="00BF1D5D"/>
    <w:rsid w:val="00C04386"/>
    <w:rsid w:val="00C04B51"/>
    <w:rsid w:val="00C10774"/>
    <w:rsid w:val="00C114E9"/>
    <w:rsid w:val="00C22A7F"/>
    <w:rsid w:val="00C31E1E"/>
    <w:rsid w:val="00C32C10"/>
    <w:rsid w:val="00C357EB"/>
    <w:rsid w:val="00C361C9"/>
    <w:rsid w:val="00C41632"/>
    <w:rsid w:val="00C454A9"/>
    <w:rsid w:val="00C473FF"/>
    <w:rsid w:val="00C47715"/>
    <w:rsid w:val="00C50857"/>
    <w:rsid w:val="00C5265B"/>
    <w:rsid w:val="00C52F4A"/>
    <w:rsid w:val="00C55528"/>
    <w:rsid w:val="00C6243D"/>
    <w:rsid w:val="00C73D00"/>
    <w:rsid w:val="00C73DC1"/>
    <w:rsid w:val="00C77FD0"/>
    <w:rsid w:val="00C80718"/>
    <w:rsid w:val="00C86A27"/>
    <w:rsid w:val="00C86ED0"/>
    <w:rsid w:val="00C92A47"/>
    <w:rsid w:val="00C93B2F"/>
    <w:rsid w:val="00C9460A"/>
    <w:rsid w:val="00C95FC1"/>
    <w:rsid w:val="00CA04D0"/>
    <w:rsid w:val="00CA21BB"/>
    <w:rsid w:val="00CB40BE"/>
    <w:rsid w:val="00CB5B8C"/>
    <w:rsid w:val="00CD0975"/>
    <w:rsid w:val="00CD0B75"/>
    <w:rsid w:val="00CD4AA0"/>
    <w:rsid w:val="00CE6410"/>
    <w:rsid w:val="00CF011F"/>
    <w:rsid w:val="00CF2E51"/>
    <w:rsid w:val="00CF3CDF"/>
    <w:rsid w:val="00CF40AC"/>
    <w:rsid w:val="00CF4DAA"/>
    <w:rsid w:val="00CF5CE6"/>
    <w:rsid w:val="00CF79EE"/>
    <w:rsid w:val="00D0159E"/>
    <w:rsid w:val="00D017BD"/>
    <w:rsid w:val="00D01F2C"/>
    <w:rsid w:val="00D12031"/>
    <w:rsid w:val="00D1434B"/>
    <w:rsid w:val="00D25F81"/>
    <w:rsid w:val="00D40A58"/>
    <w:rsid w:val="00D4481E"/>
    <w:rsid w:val="00D4582D"/>
    <w:rsid w:val="00D45FC1"/>
    <w:rsid w:val="00D46241"/>
    <w:rsid w:val="00D60D08"/>
    <w:rsid w:val="00D73DC0"/>
    <w:rsid w:val="00D84FFF"/>
    <w:rsid w:val="00D913F4"/>
    <w:rsid w:val="00D9266A"/>
    <w:rsid w:val="00DA2FBB"/>
    <w:rsid w:val="00DA4E3B"/>
    <w:rsid w:val="00DC15FA"/>
    <w:rsid w:val="00DC1EA9"/>
    <w:rsid w:val="00DC70A9"/>
    <w:rsid w:val="00DD0171"/>
    <w:rsid w:val="00DD1954"/>
    <w:rsid w:val="00DD30D0"/>
    <w:rsid w:val="00DD441D"/>
    <w:rsid w:val="00DE2BCC"/>
    <w:rsid w:val="00DE5A46"/>
    <w:rsid w:val="00DE7DFD"/>
    <w:rsid w:val="00E05E35"/>
    <w:rsid w:val="00E060D7"/>
    <w:rsid w:val="00E107E1"/>
    <w:rsid w:val="00E12E4C"/>
    <w:rsid w:val="00E15391"/>
    <w:rsid w:val="00E3051E"/>
    <w:rsid w:val="00E35E28"/>
    <w:rsid w:val="00E37165"/>
    <w:rsid w:val="00E4198A"/>
    <w:rsid w:val="00E427D2"/>
    <w:rsid w:val="00E42BB3"/>
    <w:rsid w:val="00E60883"/>
    <w:rsid w:val="00E72325"/>
    <w:rsid w:val="00E80FD4"/>
    <w:rsid w:val="00E8511A"/>
    <w:rsid w:val="00E92069"/>
    <w:rsid w:val="00E96431"/>
    <w:rsid w:val="00EA3206"/>
    <w:rsid w:val="00EA396A"/>
    <w:rsid w:val="00EA7641"/>
    <w:rsid w:val="00EC0CF7"/>
    <w:rsid w:val="00EC0D65"/>
    <w:rsid w:val="00EC1345"/>
    <w:rsid w:val="00ED25DE"/>
    <w:rsid w:val="00ED26D6"/>
    <w:rsid w:val="00ED564F"/>
    <w:rsid w:val="00ED5930"/>
    <w:rsid w:val="00ED59D4"/>
    <w:rsid w:val="00ED6D41"/>
    <w:rsid w:val="00EE062C"/>
    <w:rsid w:val="00EE08B3"/>
    <w:rsid w:val="00EE2D54"/>
    <w:rsid w:val="00EE5519"/>
    <w:rsid w:val="00EF58F3"/>
    <w:rsid w:val="00EF6E68"/>
    <w:rsid w:val="00F00E3F"/>
    <w:rsid w:val="00F023E6"/>
    <w:rsid w:val="00F1402C"/>
    <w:rsid w:val="00F15100"/>
    <w:rsid w:val="00F151A0"/>
    <w:rsid w:val="00F2162A"/>
    <w:rsid w:val="00F256F5"/>
    <w:rsid w:val="00F26383"/>
    <w:rsid w:val="00F32854"/>
    <w:rsid w:val="00F37962"/>
    <w:rsid w:val="00F40068"/>
    <w:rsid w:val="00F41C2A"/>
    <w:rsid w:val="00F42CB4"/>
    <w:rsid w:val="00F45E01"/>
    <w:rsid w:val="00F540A2"/>
    <w:rsid w:val="00F71D03"/>
    <w:rsid w:val="00F72A40"/>
    <w:rsid w:val="00F76C26"/>
    <w:rsid w:val="00F974E0"/>
    <w:rsid w:val="00FA06B4"/>
    <w:rsid w:val="00FA0F44"/>
    <w:rsid w:val="00FA5360"/>
    <w:rsid w:val="00FA5DE3"/>
    <w:rsid w:val="00FA6AB9"/>
    <w:rsid w:val="00FC36EE"/>
    <w:rsid w:val="00FC583B"/>
    <w:rsid w:val="00FC760C"/>
    <w:rsid w:val="00FD121A"/>
    <w:rsid w:val="00FD139D"/>
    <w:rsid w:val="00FD35CF"/>
    <w:rsid w:val="00FD78E1"/>
    <w:rsid w:val="00FE59A2"/>
    <w:rsid w:val="00FF5F04"/>
    <w:rsid w:val="2509A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character" w:customStyle="1" w:styleId="cf01">
    <w:name w:val="cf01"/>
    <w:basedOn w:val="DefaultParagraphFont"/>
    <w:rsid w:val="00DA4E3B"/>
    <w:rPr>
      <w:rFonts w:ascii="Segoe UI" w:hAnsi="Segoe UI" w:cs="Segoe UI" w:hint="default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A4E3B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E3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4E3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E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E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0B7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B7C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B7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AE7B1F"/>
  </w:style>
  <w:style w:type="character" w:customStyle="1" w:styleId="eop">
    <w:name w:val="eop"/>
    <w:basedOn w:val="DefaultParagraphFont"/>
    <w:rsid w:val="00AE7B1F"/>
  </w:style>
  <w:style w:type="paragraph" w:styleId="NormalWeb">
    <w:name w:val="Normal (Web)"/>
    <w:basedOn w:val="Normal"/>
    <w:uiPriority w:val="99"/>
    <w:semiHidden/>
    <w:unhideWhenUsed/>
    <w:rsid w:val="0077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F4A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8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23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3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177/16094069060050010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3233/WOR-20326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89/aut.2022.008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93/intqhc/mzm042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16/j.rasd.2019.01.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327272-2A47-47FA-9C3C-956F89D693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Gatlinburg Conference Poster Submission</vt:lpstr>
    </vt:vector>
  </TitlesOfParts>
  <Company>UCDHS</Company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Gatlinburg Conference Poster Submission</dc:title>
  <dc:creator>BSHELTON</dc:creator>
  <cp:lastModifiedBy>Herbert, Grace A</cp:lastModifiedBy>
  <cp:revision>25</cp:revision>
  <dcterms:created xsi:type="dcterms:W3CDTF">2024-11-04T19:41:00Z</dcterms:created>
  <dcterms:modified xsi:type="dcterms:W3CDTF">2024-11-04T20:18:00Z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  <property fmtid="{D5CDD505-2E9C-101B-9397-08002B2CF9AE}" pid="3" name="MSIP_Label_792c8cef-6f2b-4af1-b4ac-d815ff795cd6_Enabled">
    <vt:lpwstr>true</vt:lpwstr>
  </property>
  <property fmtid="{D5CDD505-2E9C-101B-9397-08002B2CF9AE}" pid="4" name="MSIP_Label_792c8cef-6f2b-4af1-b4ac-d815ff795cd6_SetDate">
    <vt:lpwstr>2023-10-18T20:18:51Z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iteId">
    <vt:lpwstr>ef575030-1424-4ed8-b83c-12c533d879ab</vt:lpwstr>
  </property>
  <property fmtid="{D5CDD505-2E9C-101B-9397-08002B2CF9AE}" pid="8" name="MSIP_Label_792c8cef-6f2b-4af1-b4ac-d815ff795cd6_ActionId">
    <vt:lpwstr>9a9e9713-a23b-4209-b43d-f2c58142a9ae</vt:lpwstr>
  </property>
  <property fmtid="{D5CDD505-2E9C-101B-9397-08002B2CF9AE}" pid="9" name="MSIP_Label_792c8cef-6f2b-4af1-b4ac-d815ff795cd6_ContentBits">
    <vt:lpwstr>0</vt:lpwstr>
  </property>
</Properties>
</file>