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0FB4C" w14:textId="23D6A04C" w:rsidR="004D1077" w:rsidRPr="004D1077" w:rsidRDefault="004D1077" w:rsidP="004D1077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4D1077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Title</w:t>
      </w:r>
      <w:r w:rsidRPr="004D107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: </w:t>
      </w:r>
      <w:r w:rsidR="00823B22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Understanding symbolic functioning in toddlers with Down syndrome: </w:t>
      </w:r>
      <w:r w:rsidR="00643F0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Object use, motor skills, and communication</w:t>
      </w:r>
    </w:p>
    <w:p w14:paraId="28B55932" w14:textId="77509E84" w:rsidR="004D1077" w:rsidRPr="004D1077" w:rsidRDefault="004D1077" w:rsidP="004D1077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:vertAlign w:val="superscript"/>
          <w14:ligatures w14:val="none"/>
        </w:rPr>
      </w:pPr>
      <w:r w:rsidRPr="73C7A53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Authors</w:t>
      </w:r>
      <w:r w:rsidRPr="004D107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: Miranda E. Pinks</w:t>
      </w:r>
      <w:r w:rsidR="008E0EF3" w:rsidRPr="008E0EF3">
        <w:rPr>
          <w:rFonts w:ascii="Calibri" w:eastAsia="Calibri" w:hAnsi="Calibri" w:cs="Times New Roman"/>
          <w:kern w:val="0"/>
          <w:sz w:val="20"/>
          <w:szCs w:val="20"/>
          <w:vertAlign w:val="superscript"/>
          <w14:ligatures w14:val="none"/>
        </w:rPr>
        <w:t>a</w:t>
      </w:r>
      <w:r w:rsidRPr="004D107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, </w:t>
      </w:r>
      <w:r w:rsidR="003119CF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Kaylyn</w:t>
      </w:r>
      <w:r w:rsidR="007D70E1" w:rsidRPr="007D70E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r w:rsidR="007D70E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Van Deusen</w:t>
      </w:r>
      <w:r w:rsidR="008E0EF3" w:rsidRPr="008E0EF3">
        <w:rPr>
          <w:rFonts w:ascii="Calibri" w:eastAsia="Calibri" w:hAnsi="Calibri" w:cs="Times New Roman"/>
          <w:kern w:val="0"/>
          <w:sz w:val="20"/>
          <w:szCs w:val="20"/>
          <w:vertAlign w:val="superscript"/>
          <w14:ligatures w14:val="none"/>
        </w:rPr>
        <w:t>a</w:t>
      </w:r>
      <w:r w:rsidR="003119CF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,</w:t>
      </w:r>
      <w:r w:rsidR="007D70E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r w:rsidR="003C5F8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Cecily Van Remortel</w:t>
      </w:r>
      <w:r w:rsidR="008E0EF3">
        <w:rPr>
          <w:rFonts w:ascii="Calibri" w:eastAsia="Calibri" w:hAnsi="Calibri" w:cs="Times New Roman"/>
          <w:kern w:val="0"/>
          <w:sz w:val="20"/>
          <w:szCs w:val="20"/>
          <w:vertAlign w:val="superscript"/>
          <w14:ligatures w14:val="none"/>
        </w:rPr>
        <w:t>b</w:t>
      </w:r>
      <w:r w:rsidR="003C5F8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, </w:t>
      </w:r>
      <w:r w:rsidR="00AD230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Madison M. Walsh</w:t>
      </w:r>
      <w:r w:rsidR="008E0EF3" w:rsidRPr="008E0EF3">
        <w:rPr>
          <w:rFonts w:ascii="Calibri" w:eastAsia="Calibri" w:hAnsi="Calibri" w:cs="Times New Roman"/>
          <w:kern w:val="0"/>
          <w:sz w:val="20"/>
          <w:szCs w:val="20"/>
          <w:vertAlign w:val="superscript"/>
          <w14:ligatures w14:val="none"/>
        </w:rPr>
        <w:t>a</w:t>
      </w:r>
      <w:r w:rsidR="00AD230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, Emma Salzman</w:t>
      </w:r>
      <w:r w:rsidR="008E0EF3">
        <w:rPr>
          <w:rFonts w:ascii="Calibri" w:eastAsia="Calibri" w:hAnsi="Calibri" w:cs="Times New Roman"/>
          <w:kern w:val="0"/>
          <w:sz w:val="20"/>
          <w:szCs w:val="20"/>
          <w:vertAlign w:val="superscript"/>
          <w14:ligatures w14:val="none"/>
        </w:rPr>
        <w:t>b</w:t>
      </w:r>
      <w:r w:rsidR="00AD230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, </w:t>
      </w:r>
      <w:r w:rsidR="00A55744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Lina </w:t>
      </w:r>
      <w:r w:rsidR="000C5172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R. </w:t>
      </w:r>
      <w:r w:rsidR="00A55744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Patel</w:t>
      </w:r>
      <w:r w:rsidR="00955943">
        <w:rPr>
          <w:rFonts w:ascii="Calibri" w:eastAsia="Calibri" w:hAnsi="Calibri" w:cs="Times New Roman"/>
          <w:kern w:val="0"/>
          <w:sz w:val="20"/>
          <w:szCs w:val="20"/>
          <w:vertAlign w:val="superscript"/>
          <w14:ligatures w14:val="none"/>
        </w:rPr>
        <w:t>c</w:t>
      </w:r>
      <w:r w:rsidR="00A55744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, Nancy Sullivan</w:t>
      </w:r>
      <w:r w:rsidR="00DA6300">
        <w:rPr>
          <w:rFonts w:ascii="Calibri" w:eastAsia="Calibri" w:hAnsi="Calibri" w:cs="Times New Roman"/>
          <w:kern w:val="0"/>
          <w:sz w:val="20"/>
          <w:szCs w:val="20"/>
          <w:vertAlign w:val="superscript"/>
          <w14:ligatures w14:val="none"/>
        </w:rPr>
        <w:t>d</w:t>
      </w:r>
      <w:r w:rsidR="00A55744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, </w:t>
      </w:r>
      <w:r w:rsidR="003C5F8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Somer L. Bishop</w:t>
      </w:r>
      <w:r w:rsidR="008E0EF3">
        <w:rPr>
          <w:rFonts w:ascii="Calibri" w:eastAsia="Calibri" w:hAnsi="Calibri" w:cs="Times New Roman"/>
          <w:kern w:val="0"/>
          <w:sz w:val="20"/>
          <w:szCs w:val="20"/>
          <w:vertAlign w:val="superscript"/>
          <w14:ligatures w14:val="none"/>
        </w:rPr>
        <w:t>b</w:t>
      </w:r>
      <w:r w:rsidR="003C5F8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, </w:t>
      </w:r>
      <w:r w:rsidR="00877E24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Nicole </w:t>
      </w:r>
      <w:r w:rsidR="008B6DAE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T. </w:t>
      </w:r>
      <w:r w:rsidR="00877E24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Baumer</w:t>
      </w:r>
      <w:r w:rsidR="00DA6300">
        <w:rPr>
          <w:rFonts w:ascii="Calibri" w:eastAsia="Calibri" w:hAnsi="Calibri" w:cs="Times New Roman"/>
          <w:kern w:val="0"/>
          <w:sz w:val="20"/>
          <w:szCs w:val="20"/>
          <w:vertAlign w:val="superscript"/>
          <w14:ligatures w14:val="none"/>
        </w:rPr>
        <w:t>e</w:t>
      </w:r>
      <w:r w:rsidR="00877E24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, Deborah J. Fidler</w:t>
      </w:r>
      <w:r w:rsidR="008E0EF3" w:rsidRPr="008E0EF3">
        <w:rPr>
          <w:rFonts w:ascii="Calibri" w:eastAsia="Calibri" w:hAnsi="Calibri" w:cs="Times New Roman"/>
          <w:kern w:val="0"/>
          <w:sz w:val="20"/>
          <w:szCs w:val="20"/>
          <w:vertAlign w:val="superscript"/>
          <w14:ligatures w14:val="none"/>
        </w:rPr>
        <w:t>a</w:t>
      </w:r>
    </w:p>
    <w:p w14:paraId="5084DA5E" w14:textId="76CC9FCD" w:rsidR="003311FF" w:rsidRDefault="004D1077" w:rsidP="73C7A531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E80676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Introduction</w:t>
      </w:r>
      <w:r w:rsidRPr="00E80676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: </w:t>
      </w:r>
      <w:r w:rsidR="008F67F1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Early o</w:t>
      </w:r>
      <w:r w:rsidR="00157552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bject use </w:t>
      </w:r>
      <w:r w:rsidR="00596889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encompass</w:t>
      </w:r>
      <w:r w:rsidR="00EB471D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es</w:t>
      </w:r>
      <w:r w:rsidR="00596889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r w:rsidR="00464327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both </w:t>
      </w:r>
      <w:r w:rsidR="00596889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functional and symbolic interactions with </w:t>
      </w:r>
      <w:r w:rsidR="006038A0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objects</w:t>
      </w:r>
      <w:r w:rsidR="00652734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,</w:t>
      </w:r>
      <w:r w:rsidR="629680F7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r w:rsidR="006038A0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and</w:t>
      </w:r>
      <w:r w:rsidR="00EB471D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r w:rsidR="000C605B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is </w:t>
      </w:r>
      <w:r w:rsidR="000C0FA1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important </w:t>
      </w:r>
      <w:r w:rsidR="0031400C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for </w:t>
      </w:r>
      <w:r w:rsidR="00FD35D4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the development of </w:t>
      </w:r>
      <w:r w:rsidR="006806E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toddler </w:t>
      </w:r>
      <w:r w:rsidR="00FD35D4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cognition </w:t>
      </w:r>
      <w:r w:rsidR="00970511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and </w:t>
      </w:r>
      <w:r w:rsidR="0087275B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communication</w:t>
      </w:r>
      <w:r w:rsidR="00EF64A0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fldChar w:fldCharType="begin"/>
      </w:r>
      <w:r w:rsidR="00EF64A0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instrText xml:space="preserve"> ADDIN EN.CITE &lt;EndNote&gt;&lt;Cite&gt;&lt;Author&gt;Eadie&lt;/Author&gt;&lt;Year&gt;2010&lt;/Year&gt;&lt;RecNum&gt;136&lt;/RecNum&gt;&lt;DisplayText&gt;&lt;style face="superscript"&gt;1&lt;/style&gt;&lt;/DisplayText&gt;&lt;record&gt;&lt;rec-number&gt;136&lt;/rec-number&gt;&lt;foreign-keys&gt;&lt;key app="EN" db-id="0a55s0r2o2e9srees9b505dirfz0r9pwv00v" timestamp="1729621556"&gt;136&lt;/key&gt;&lt;/foreign-keys&gt;&lt;ref-type name="Journal Article"&gt;17&lt;/ref-type&gt;&lt;contributors&gt;&lt;authors&gt;&lt;author&gt;Eadie, Patricia Ann&lt;/author&gt;&lt;author&gt;Ukoumunne, Obioha&lt;/author&gt;&lt;author&gt;Skeat, Jemma&lt;/author&gt;&lt;author&gt;Prior, Margot Ruth&lt;/author&gt;&lt;author&gt;Bavin, Edith&lt;/author&gt;&lt;author&gt;Bretherton, Lesley&lt;/author&gt;&lt;author&gt;Reilly, Sheena&lt;/author&gt;&lt;/authors&gt;&lt;/contributors&gt;&lt;titles&gt;&lt;title&gt;Assessing early communication behaviours: structure and validity of the Communication and Symbolic Behaviour Scales—Developmental Profile (CSBS‐DP) in 12‐month‐old infants&lt;/title&gt;&lt;secondary-title&gt;International Journal of Language &amp;amp; Communication Disorders&lt;/secondary-title&gt;&lt;/titles&gt;&lt;periodical&gt;&lt;full-title&gt;International Journal of Language &amp;amp; Communication Disorders&lt;/full-title&gt;&lt;/periodical&gt;&lt;pages&gt;572-585&lt;/pages&gt;&lt;volume&gt;45&lt;/volume&gt;&lt;number&gt;5&lt;/number&gt;&lt;dates&gt;&lt;year&gt;2010&lt;/year&gt;&lt;/dates&gt;&lt;isbn&gt;1368-2822&lt;/isbn&gt;&lt;urls&gt;&lt;/urls&gt;&lt;electronic-resource-num&gt;10.3109/13682820903277944&lt;/electronic-resource-num&gt;&lt;/record&gt;&lt;/Cite&gt;&lt;/EndNote&gt;</w:instrText>
      </w:r>
      <w:r w:rsidR="00EF64A0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fldChar w:fldCharType="separate"/>
      </w:r>
      <w:r w:rsidR="00EF64A0" w:rsidRPr="002E247F">
        <w:rPr>
          <w:rFonts w:ascii="Calibri" w:eastAsia="Calibri" w:hAnsi="Calibri" w:cs="Calibri"/>
          <w:noProof/>
          <w:color w:val="000000"/>
          <w:kern w:val="0"/>
          <w:sz w:val="20"/>
          <w:szCs w:val="20"/>
          <w:vertAlign w:val="superscript"/>
          <w14:ligatures w14:val="none"/>
        </w:rPr>
        <w:t>1</w:t>
      </w:r>
      <w:r w:rsidR="00EF64A0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fldChar w:fldCharType="end"/>
      </w:r>
      <w:r w:rsidR="00C45B7C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. </w:t>
      </w:r>
      <w:r w:rsidR="00BE0D5B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For children with Down syndrome (DS), </w:t>
      </w:r>
      <w:r w:rsidR="00A031BA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d</w:t>
      </w:r>
      <w:r w:rsidR="00C84C7B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elays</w:t>
      </w:r>
      <w:r w:rsidR="00A72245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r w:rsidR="009B4F51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in motor development </w:t>
      </w:r>
      <w:r w:rsidR="003160B3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may</w:t>
      </w:r>
      <w:r w:rsidR="00A72245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 limit opportunities for </w:t>
      </w:r>
      <w:r w:rsidR="006308DE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object </w:t>
      </w:r>
      <w:r w:rsidR="00A72245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exploration</w:t>
      </w:r>
      <w:r w:rsidR="0093685C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 during </w:t>
      </w:r>
      <w:r w:rsidR="008E1A20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early childhood</w:t>
      </w:r>
      <w:r w:rsidR="007840C7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fldChar w:fldCharType="begin"/>
      </w:r>
      <w:r w:rsidR="00EF64A0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instrText xml:space="preserve"> ADDIN EN.CITE &lt;EndNote&gt;&lt;Cite&gt;&lt;Author&gt;Fidler&lt;/Author&gt;&lt;Year&gt;2021&lt;/Year&gt;&lt;RecNum&gt;102&lt;/RecNum&gt;&lt;DisplayText&gt;&lt;style face="superscript"&gt;2,3&lt;/style&gt;&lt;/DisplayText&gt;&lt;record&gt;&lt;rec-number&gt;102&lt;/rec-number&gt;&lt;foreign-keys&gt;&lt;key app="EN" db-id="0a55s0r2o2e9srees9b505dirfz0r9pwv00v" timestamp="1724358854"&gt;102&lt;/key&gt;&lt;/foreign-keys&gt;&lt;ref-type name="Journal Article"&gt;17&lt;/ref-type&gt;&lt;contributors&gt;&lt;authors&gt;&lt;author&gt;Fidler, DJ&lt;/author&gt;&lt;author&gt;Schworer, EK&lt;/author&gt;&lt;author&gt;Needham, A&lt;/author&gt;&lt;author&gt;Prince, MA&lt;/author&gt;&lt;author&gt;Patel, L&lt;/author&gt;&lt;author&gt;Will, EA&lt;/author&gt;&lt;author&gt;Daunhauer, LA&lt;/author&gt;&lt;/authors&gt;&lt;/contributors&gt;&lt;titles&gt;&lt;title&gt;Feasibility of a syndrome‐informed micro‐intervention for infants with Down syndrome&lt;/title&gt;&lt;secondary-title&gt;Journal of Intellectual Disability Research&lt;/secondary-title&gt;&lt;/titles&gt;&lt;periodical&gt;&lt;full-title&gt;Journal of Intellectual Disability Research&lt;/full-title&gt;&lt;/periodical&gt;&lt;pages&gt;320-339&lt;/pages&gt;&lt;volume&gt;65&lt;/volume&gt;&lt;number&gt;4&lt;/number&gt;&lt;dates&gt;&lt;year&gt;2021&lt;/year&gt;&lt;/dates&gt;&lt;isbn&gt;0964-2633&lt;/isbn&gt;&lt;urls&gt;&lt;/urls&gt;&lt;/record&gt;&lt;/Cite&gt;&lt;Cite&gt;&lt;Author&gt;Gibson&lt;/Author&gt;&lt;Year&gt;1988&lt;/Year&gt;&lt;RecNum&gt;150&lt;/RecNum&gt;&lt;record&gt;&lt;rec-number&gt;150&lt;/rec-number&gt;&lt;foreign-keys&gt;&lt;key app="EN" db-id="0a55s0r2o2e9srees9b505dirfz0r9pwv00v" timestamp="1730157585"&gt;150&lt;/key&gt;&lt;/foreign-keys&gt;&lt;ref-type name="Journal Article"&gt;17&lt;/ref-type&gt;&lt;contributors&gt;&lt;authors&gt;&lt;author&gt;Gibson, Eleanor J&lt;/author&gt;&lt;/authors&gt;&lt;/contributors&gt;&lt;titles&gt;&lt;title&gt;Exploratory behavior in the development of perceiving, acting, and the acquiring of knowledge&lt;/title&gt;&lt;secondary-title&gt;Annual Review of Psychology&lt;/secondary-title&gt;&lt;/titles&gt;&lt;periodical&gt;&lt;full-title&gt;Annual review of psychology&lt;/full-title&gt;&lt;/periodical&gt;&lt;pages&gt;1-41&lt;/pages&gt;&lt;volume&gt;39&lt;/volume&gt;&lt;number&gt;1&lt;/number&gt;&lt;dates&gt;&lt;year&gt;1988&lt;/year&gt;&lt;/dates&gt;&lt;isbn&gt;0066-4308&lt;/isbn&gt;&lt;urls&gt;&lt;/urls&gt;&lt;electronic-resource-num&gt;10.1146/annurev.ps.39.020188.000245&lt;/electronic-resource-num&gt;&lt;/record&gt;&lt;/Cite&gt;&lt;/EndNote&gt;</w:instrText>
      </w:r>
      <w:r w:rsidR="007840C7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fldChar w:fldCharType="separate"/>
      </w:r>
      <w:r w:rsidR="00EF64A0" w:rsidRPr="00EF64A0">
        <w:rPr>
          <w:rFonts w:ascii="Calibri" w:eastAsia="Calibri" w:hAnsi="Calibri" w:cs="Calibri"/>
          <w:noProof/>
          <w:color w:val="000000"/>
          <w:kern w:val="0"/>
          <w:sz w:val="20"/>
          <w:szCs w:val="20"/>
          <w:vertAlign w:val="superscript"/>
          <w14:ligatures w14:val="none"/>
        </w:rPr>
        <w:t>2,3</w:t>
      </w:r>
      <w:r w:rsidR="007840C7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fldChar w:fldCharType="end"/>
      </w:r>
      <w:r w:rsidR="007C6D08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. I</w:t>
      </w:r>
      <w:r w:rsidR="0053038C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nfants with DS </w:t>
      </w:r>
      <w:r w:rsidR="00B73082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often</w:t>
      </w:r>
      <w:r w:rsidR="0053038C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 exhibit fewer exploratory behaviors </w:t>
      </w:r>
      <w:r w:rsidR="00520420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with objects </w:t>
      </w:r>
      <w:r w:rsidR="00C47FE7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compared to</w:t>
      </w:r>
      <w:r w:rsidR="00147602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r w:rsidR="0053038C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typically developing peers</w:t>
      </w:r>
      <w:r w:rsidR="003D1237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 matched on</w:t>
      </w:r>
      <w:r w:rsidR="003D1237" w:rsidRPr="003D1237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r w:rsidR="003D1237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mental age</w:t>
      </w:r>
      <w:r w:rsidR="003D1237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 (MA)</w:t>
      </w:r>
      <w:r w:rsidR="0053038C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,</w:t>
      </w:r>
      <w:r w:rsidR="0077702A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r w:rsidR="00D35E61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demonstrating more </w:t>
      </w:r>
      <w:r w:rsidR="0053038C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visual </w:t>
      </w:r>
      <w:r w:rsidR="007A7CD3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than </w:t>
      </w:r>
      <w:r w:rsidR="00EF601F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motor-</w:t>
      </w:r>
      <w:r w:rsidR="00831F59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based </w:t>
      </w:r>
      <w:r w:rsidR="007A7CD3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manual exploratory behaviors</w:t>
      </w:r>
      <w:r w:rsidR="008E65C4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fldChar w:fldCharType="begin"/>
      </w:r>
      <w:r w:rsidR="00EF64A0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instrText xml:space="preserve"> ADDIN EN.CITE &lt;EndNote&gt;&lt;Cite&gt;&lt;Author&gt;Fidler&lt;/Author&gt;&lt;Year&gt;2011&lt;/Year&gt;&lt;RecNum&gt;149&lt;/RecNum&gt;&lt;DisplayText&gt;&lt;style face="superscript"&gt;4&lt;/style&gt;&lt;/DisplayText&gt;&lt;record&gt;&lt;rec-number&gt;149&lt;/rec-number&gt;&lt;foreign-keys&gt;&lt;key app="EN" db-id="0a55s0r2o2e9srees9b505dirfz0r9pwv00v" timestamp="1730156569"&gt;149&lt;/key&gt;&lt;/foreign-keys&gt;&lt;ref-type name="Book Section"&gt;5&lt;/ref-type&gt;&lt;contributors&gt;&lt;authors&gt;&lt;author&gt;Fidler, Deborah J.&lt;/author&gt;&lt;author&gt;Hepburn, Susan L.&lt;/author&gt;&lt;author&gt;Osaki, Diane&lt;/author&gt;&lt;/authors&gt;&lt;secondary-authors&gt;&lt;author&gt;Rondal, Jean-Adolphe&lt;/author&gt;&lt;author&gt;Perera, Juan&lt;/author&gt;&lt;author&gt;Spiker, Donna&lt;/author&gt;&lt;/secondary-authors&gt;&lt;/contributors&gt;&lt;titles&gt;&lt;title&gt;Goal-directedness as a target for early intervention in Down syndrome&lt;/title&gt;&lt;secondary-title&gt;Neurocognitive rehabilitation of Down syndrome: Early years&lt;/secondary-title&gt;&lt;/titles&gt;&lt;periodical&gt;&lt;full-title&gt;Neurocognitive rehabilitation of Down syndrome: Early years&lt;/full-title&gt;&lt;/periodical&gt;&lt;pages&gt;191-204&lt;/pages&gt;&lt;dates&gt;&lt;year&gt;2011&lt;/year&gt;&lt;/dates&gt;&lt;pub-location&gt;New York, NY&lt;/pub-location&gt;&lt;publisher&gt;Cambridge University Press&lt;/publisher&gt;&lt;isbn&gt;978-1-107-40043-6&lt;/isbn&gt;&lt;urls&gt;&lt;/urls&gt;&lt;/record&gt;&lt;/Cite&gt;&lt;/EndNote&gt;</w:instrText>
      </w:r>
      <w:r w:rsidR="008E65C4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fldChar w:fldCharType="separate"/>
      </w:r>
      <w:r w:rsidR="00EF64A0" w:rsidRPr="00EF64A0">
        <w:rPr>
          <w:rFonts w:ascii="Calibri" w:eastAsia="Calibri" w:hAnsi="Calibri" w:cs="Calibri"/>
          <w:noProof/>
          <w:color w:val="000000"/>
          <w:kern w:val="0"/>
          <w:sz w:val="20"/>
          <w:szCs w:val="20"/>
          <w:vertAlign w:val="superscript"/>
          <w14:ligatures w14:val="none"/>
        </w:rPr>
        <w:t>4</w:t>
      </w:r>
      <w:r w:rsidR="008E65C4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fldChar w:fldCharType="end"/>
      </w:r>
      <w:r w:rsidR="0053038C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.</w:t>
      </w:r>
      <w:r w:rsidR="00357B62" w:rsidRPr="00E80676">
        <w:rPr>
          <w:rFonts w:ascii="Calibri" w:hAnsi="Calibri" w:cs="Calibri"/>
          <w:sz w:val="20"/>
          <w:szCs w:val="20"/>
        </w:rPr>
        <w:t xml:space="preserve"> </w:t>
      </w:r>
      <w:r w:rsidR="004D6C64">
        <w:rPr>
          <w:rFonts w:ascii="Calibri" w:hAnsi="Calibri" w:cs="Calibri"/>
          <w:sz w:val="20"/>
          <w:szCs w:val="20"/>
        </w:rPr>
        <w:t>This l</w:t>
      </w:r>
      <w:r w:rsidR="00E80676" w:rsidRPr="00E80676">
        <w:rPr>
          <w:rFonts w:ascii="Calibri" w:hAnsi="Calibri" w:cs="Calibri"/>
          <w:sz w:val="20"/>
          <w:szCs w:val="20"/>
        </w:rPr>
        <w:t>imited object exploration</w:t>
      </w:r>
      <w:r w:rsidR="00357B62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r w:rsidR="00B417F4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can </w:t>
      </w:r>
      <w:r w:rsidR="008124DD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lead to fewer</w:t>
      </w:r>
      <w:r w:rsidR="00D836DD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 mental</w:t>
      </w:r>
      <w:r w:rsidR="00357B62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r w:rsidR="007C3F18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representations </w:t>
      </w:r>
      <w:r w:rsidR="00C1327C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of objects</w:t>
      </w:r>
      <w:r w:rsidR="00BF0FB3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, </w:t>
      </w:r>
      <w:r w:rsidR="003C751F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th</w:t>
      </w:r>
      <w:r w:rsidR="00F75859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eir </w:t>
      </w:r>
      <w:r w:rsidR="00BF0FB3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properties, </w:t>
      </w:r>
      <w:r w:rsidR="00EC67EC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and </w:t>
      </w:r>
      <w:r w:rsidR="00F75859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affordances, </w:t>
      </w:r>
      <w:r w:rsidR="009A601D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which </w:t>
      </w:r>
      <w:r w:rsidR="006D0C4B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may </w:t>
      </w:r>
      <w:r w:rsidR="00AA6057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ultimately</w:t>
      </w:r>
      <w:r w:rsidR="009A601D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 impact </w:t>
      </w:r>
      <w:r w:rsidR="002128F8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the formulation of </w:t>
      </w:r>
      <w:r w:rsidR="00F94724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conceptual </w:t>
      </w:r>
      <w:r w:rsidR="008B051F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categories</w:t>
      </w:r>
      <w:r w:rsidR="006D10F4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r w:rsidR="002128F8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necessary for early </w:t>
      </w:r>
      <w:r w:rsidR="00E80523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language acquisition</w:t>
      </w:r>
      <w:r w:rsidR="005F3A49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fldChar w:fldCharType="begin"/>
      </w:r>
      <w:r w:rsidR="005F3A49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instrText xml:space="preserve"> ADDIN EN.CITE &lt;EndNote&gt;&lt;Cite&gt;&lt;Author&gt;Clark&lt;/Author&gt;&lt;Year&gt;2004&lt;/Year&gt;&lt;RecNum&gt;151&lt;/RecNum&gt;&lt;DisplayText&gt;&lt;style face="superscript"&gt;5&lt;/style&gt;&lt;/DisplayText&gt;&lt;record&gt;&lt;rec-number&gt;151&lt;/rec-number&gt;&lt;foreign-keys&gt;&lt;key app="EN" db-id="0a55s0r2o2e9srees9b505dirfz0r9pwv00v" timestamp="1730755162"&gt;151&lt;/key&gt;&lt;/foreign-keys&gt;&lt;ref-type name="Journal Article"&gt;17&lt;/ref-type&gt;&lt;contributors&gt;&lt;authors&gt;&lt;author&gt;Clark, Eve V.&lt;/author&gt;&lt;/authors&gt;&lt;/contributors&gt;&lt;titles&gt;&lt;title&gt;How language acquisition builds on cognitive development&lt;/title&gt;&lt;secondary-title&gt;Trends in Cognitive Sciences&lt;/secondary-title&gt;&lt;/titles&gt;&lt;periodical&gt;&lt;full-title&gt;Trends in Cognitive Sciences&lt;/full-title&gt;&lt;/periodical&gt;&lt;pages&gt;472-478&lt;/pages&gt;&lt;volume&gt;8&lt;/volume&gt;&lt;number&gt;10&lt;/number&gt;&lt;dates&gt;&lt;year&gt;2004&lt;/year&gt;&lt;/dates&gt;&lt;publisher&gt;Elsevier&lt;/publisher&gt;&lt;isbn&gt;1364-6613&lt;/isbn&gt;&lt;urls&gt;&lt;related-urls&gt;&lt;url&gt;https://doi.org/10.1016/j.tics.2004.08.012&lt;/url&gt;&lt;/related-urls&gt;&lt;/urls&gt;&lt;electronic-resource-num&gt;10.1016/j.tics.2004.08.012&lt;/electronic-resource-num&gt;&lt;access-date&gt;2024/11/04&lt;/access-date&gt;&lt;/record&gt;&lt;/Cite&gt;&lt;/EndNote&gt;</w:instrText>
      </w:r>
      <w:r w:rsidR="005F3A49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fldChar w:fldCharType="separate"/>
      </w:r>
      <w:r w:rsidR="005F3A49" w:rsidRPr="005F3A49">
        <w:rPr>
          <w:rFonts w:ascii="Calibri" w:eastAsia="Calibri" w:hAnsi="Calibri" w:cs="Calibri"/>
          <w:noProof/>
          <w:color w:val="000000"/>
          <w:kern w:val="0"/>
          <w:sz w:val="20"/>
          <w:szCs w:val="20"/>
          <w:vertAlign w:val="superscript"/>
          <w14:ligatures w14:val="none"/>
        </w:rPr>
        <w:t>5</w:t>
      </w:r>
      <w:r w:rsidR="005F3A49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fldChar w:fldCharType="end"/>
      </w:r>
      <w:r w:rsidR="00357B62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.</w:t>
      </w:r>
      <w:r w:rsidR="002C4DE3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r w:rsidR="00156C9F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Attenuated</w:t>
      </w:r>
      <w:r w:rsidR="003E62D3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 object use</w:t>
      </w:r>
      <w:r w:rsidR="007F4538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r w:rsidR="00075D92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in toddler</w:t>
      </w:r>
      <w:r w:rsidR="00832755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s</w:t>
      </w:r>
      <w:r w:rsidR="00075D92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 with DS </w:t>
      </w:r>
      <w:r w:rsidR="00AD44E5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may</w:t>
      </w:r>
      <w:r w:rsidR="0070046E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, therefore,</w:t>
      </w:r>
      <w:r w:rsidR="00AD44E5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r w:rsidR="00F9308C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cascade into </w:t>
      </w:r>
      <w:r w:rsidR="0054278E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broader </w:t>
      </w:r>
      <w:r w:rsidR="00562671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challenges with </w:t>
      </w:r>
      <w:r w:rsidR="000C5A5A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symbolic </w:t>
      </w:r>
      <w:r w:rsidR="00757E02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representation</w:t>
      </w:r>
      <w:r w:rsidR="00562671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 abilities that </w:t>
      </w:r>
      <w:r w:rsidR="004B4588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undergird the development of </w:t>
      </w:r>
      <w:r w:rsidR="007506C9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language and</w:t>
      </w:r>
      <w:r w:rsidR="004B4588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r w:rsidR="005D77CC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communication</w:t>
      </w:r>
      <w:r w:rsidR="00F25AAD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 in </w:t>
      </w:r>
      <w:r w:rsidR="00AE12DE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young children with </w:t>
      </w:r>
      <w:r w:rsidR="00161C3B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DS</w:t>
      </w:r>
      <w:r w:rsidR="00AE12DE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fldChar w:fldCharType="begin"/>
      </w:r>
      <w:r w:rsidR="005F3A49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instrText xml:space="preserve"> ADDIN EN.CITE &lt;EndNote&gt;&lt;Cite&gt;&lt;Author&gt;O&amp;apos;toole&lt;/Author&gt;&lt;Year&gt;2006&lt;/Year&gt;&lt;RecNum&gt;139&lt;/RecNum&gt;&lt;DisplayText&gt;&lt;style face="superscript"&gt;6&lt;/style&gt;&lt;/DisplayText&gt;&lt;record&gt;&lt;rec-number&gt;139&lt;/rec-number&gt;&lt;foreign-keys&gt;&lt;key app="EN" db-id="0a55s0r2o2e9srees9b505dirfz0r9pwv00v" timestamp="1729621703"&gt;139&lt;/key&gt;&lt;/foreign-keys&gt;&lt;ref-type name="Journal Article"&gt;17&lt;/ref-type&gt;&lt;contributors&gt;&lt;authors&gt;&lt;author&gt;O&amp;apos;toole, Ciara&lt;/author&gt;&lt;author&gt;Chiat, Shula&lt;/author&gt;&lt;/authors&gt;&lt;/contributors&gt;&lt;titles&gt;&lt;title&gt;Symbolic functioning and language development in children with Down syndrome&lt;/title&gt;&lt;secondary-title&gt;International Journal of Language &amp;amp; Communication Disorders&lt;/secondary-title&gt;&lt;/titles&gt;&lt;periodical&gt;&lt;full-title&gt;International Journal of Language &amp;amp; Communication Disorders&lt;/full-title&gt;&lt;/periodical&gt;&lt;pages&gt;155-171&lt;/pages&gt;&lt;volume&gt;41&lt;/volume&gt;&lt;number&gt;2&lt;/number&gt;&lt;dates&gt;&lt;year&gt;2006&lt;/year&gt;&lt;/dates&gt;&lt;isbn&gt;1368-2822&lt;/isbn&gt;&lt;urls&gt;&lt;/urls&gt;&lt;electronic-resource-num&gt;10.1080/13682820500221600&lt;/electronic-resource-num&gt;&lt;/record&gt;&lt;/Cite&gt;&lt;/EndNote&gt;</w:instrText>
      </w:r>
      <w:r w:rsidR="00AE12DE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fldChar w:fldCharType="separate"/>
      </w:r>
      <w:r w:rsidR="005F3A49" w:rsidRPr="005F3A49">
        <w:rPr>
          <w:rFonts w:ascii="Calibri" w:eastAsia="Calibri" w:hAnsi="Calibri" w:cs="Calibri"/>
          <w:noProof/>
          <w:color w:val="000000"/>
          <w:kern w:val="0"/>
          <w:sz w:val="20"/>
          <w:szCs w:val="20"/>
          <w:vertAlign w:val="superscript"/>
          <w14:ligatures w14:val="none"/>
        </w:rPr>
        <w:t>6</w:t>
      </w:r>
      <w:r w:rsidR="00AE12DE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fldChar w:fldCharType="end"/>
      </w:r>
      <w:r w:rsidR="00AE12DE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. </w:t>
      </w:r>
      <w:r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This study explores </w:t>
      </w:r>
      <w:r w:rsidR="00EF726A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the </w:t>
      </w:r>
      <w:r w:rsidR="0019030D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early</w:t>
      </w:r>
      <w:r w:rsidR="00EF726A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r w:rsidR="0019030D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concurrent</w:t>
      </w:r>
      <w:r w:rsidR="00EF726A"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r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association</w:t>
      </w:r>
      <w:r w:rsidRPr="00E80676">
        <w:rPr>
          <w:rFonts w:ascii="Calibri" w:eastAsia="Calibri" w:hAnsi="Calibri" w:cs="Calibri"/>
          <w:color w:val="000000" w:themeColor="text1"/>
          <w:sz w:val="20"/>
          <w:szCs w:val="20"/>
        </w:rPr>
        <w:t>s</w:t>
      </w:r>
      <w:r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 between </w:t>
      </w:r>
      <w:r w:rsidR="00953765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object</w:t>
      </w:r>
      <w:r w:rsidR="00F746F4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 use</w:t>
      </w:r>
      <w:r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, </w:t>
      </w:r>
      <w:r w:rsidR="007E4DFF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motor </w:t>
      </w:r>
      <w:r w:rsidR="00F746F4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skills</w:t>
      </w:r>
      <w:r w:rsidR="007E4DFF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, and communication </w:t>
      </w:r>
      <w:r w:rsidRPr="00E8067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in toddlers with </w:t>
      </w:r>
      <w:r w:rsidRPr="004514EE">
        <w:rPr>
          <w:rFonts w:ascii="Calibri" w:eastAsia="Calibri" w:hAnsi="Calibri" w:cs="Calibri"/>
          <w:kern w:val="0"/>
          <w:sz w:val="20"/>
          <w:szCs w:val="20"/>
          <w14:ligatures w14:val="none"/>
        </w:rPr>
        <w:t>DS.</w:t>
      </w:r>
    </w:p>
    <w:p w14:paraId="31744C45" w14:textId="4F132921" w:rsidR="004D1077" w:rsidRPr="00D72561" w:rsidRDefault="004D1077" w:rsidP="73C7A531">
      <w:pPr>
        <w:spacing w:after="200" w:line="276" w:lineRule="auto"/>
        <w:jc w:val="both"/>
        <w:rPr>
          <w:rFonts w:ascii="Calibri" w:eastAsia="Calibri" w:hAnsi="Calibri" w:cs="Times New Roman"/>
          <w:color w:val="000000"/>
          <w:kern w:val="0"/>
          <w:sz w:val="20"/>
          <w:szCs w:val="20"/>
          <w:lang w:val="en-GB"/>
          <w14:ligatures w14:val="none"/>
        </w:rPr>
      </w:pPr>
      <w:r w:rsidRPr="27BBC289">
        <w:rPr>
          <w:rFonts w:ascii="Calibri" w:eastAsia="Calibri" w:hAnsi="Calibri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  <w:t>Method</w:t>
      </w:r>
      <w:r w:rsidR="00E87AB4">
        <w:rPr>
          <w:rFonts w:ascii="Calibri" w:eastAsia="Calibri" w:hAnsi="Calibri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  <w:t>s</w:t>
      </w:r>
      <w:r w:rsidRPr="004D1077">
        <w:rPr>
          <w:rFonts w:ascii="Calibri" w:eastAsia="Calibri" w:hAnsi="Calibri" w:cs="Times New Roman"/>
          <w:color w:val="000000"/>
          <w:kern w:val="0"/>
          <w:sz w:val="20"/>
          <w:szCs w:val="20"/>
          <w:lang w:val="en-GB"/>
          <w14:ligatures w14:val="none"/>
        </w:rPr>
        <w:t xml:space="preserve">: </w:t>
      </w:r>
      <w:r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Participants were 31 children </w:t>
      </w:r>
      <w:r w:rsidR="00B6249F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(</w:t>
      </w:r>
      <w:r w:rsidR="004B659A" w:rsidRPr="73C7A531">
        <w:rPr>
          <w:rFonts w:ascii="Calibri" w:eastAsia="Calibri" w:hAnsi="Calibri" w:cs="Times New Roman"/>
          <w:i/>
          <w:iCs/>
          <w:color w:val="000000"/>
          <w:kern w:val="0"/>
          <w:sz w:val="20"/>
          <w:szCs w:val="20"/>
          <w14:ligatures w14:val="none"/>
        </w:rPr>
        <w:t>m</w:t>
      </w:r>
      <w:r w:rsidR="00E96BC9" w:rsidRPr="73C7A531">
        <w:rPr>
          <w:rFonts w:ascii="Calibri" w:eastAsia="Calibri" w:hAnsi="Calibri" w:cs="Times New Roman"/>
          <w:i/>
          <w:iCs/>
          <w:color w:val="000000"/>
          <w:kern w:val="0"/>
          <w:sz w:val="20"/>
          <w:szCs w:val="20"/>
          <w14:ligatures w14:val="none"/>
        </w:rPr>
        <w:t>ean</w:t>
      </w:r>
      <w:r w:rsidR="004B659A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634149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chronological age (CA)</w:t>
      </w:r>
      <w:r w:rsidR="00787138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4B659A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= </w:t>
      </w:r>
      <w:r w:rsidR="00F66FD3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20.52</w:t>
      </w:r>
      <w:r w:rsidR="00445240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months</w:t>
      </w:r>
      <w:r w:rsidR="00F66FD3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, </w:t>
      </w:r>
      <w:r w:rsidR="000F4FCE" w:rsidRPr="73C7A531">
        <w:rPr>
          <w:rFonts w:ascii="Calibri" w:eastAsia="Calibri" w:hAnsi="Calibri" w:cs="Times New Roman"/>
          <w:i/>
          <w:iCs/>
          <w:color w:val="000000"/>
          <w:kern w:val="0"/>
          <w:sz w:val="20"/>
          <w:szCs w:val="20"/>
          <w14:ligatures w14:val="none"/>
        </w:rPr>
        <w:t>sd</w:t>
      </w:r>
      <w:r w:rsidR="000F4FCE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= 1.46, </w:t>
      </w:r>
      <w:r w:rsidR="008C7B06" w:rsidRPr="73C7A531">
        <w:rPr>
          <w:rFonts w:ascii="Calibri" w:eastAsia="Calibri" w:hAnsi="Calibri" w:cs="Times New Roman"/>
          <w:i/>
          <w:iCs/>
          <w:color w:val="000000"/>
          <w:kern w:val="0"/>
          <w:sz w:val="20"/>
          <w:szCs w:val="20"/>
          <w14:ligatures w14:val="none"/>
        </w:rPr>
        <w:t>range</w:t>
      </w:r>
      <w:r w:rsidR="008C7B06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= 18.13-</w:t>
      </w:r>
      <w:r w:rsidR="007D68EE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23.59</w:t>
      </w:r>
      <w:r w:rsidR="00C90ADD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; </w:t>
      </w:r>
      <w:r w:rsidR="00C90ADD" w:rsidRPr="73C7A531">
        <w:rPr>
          <w:rFonts w:ascii="Calibri" w:eastAsia="Calibri" w:hAnsi="Calibri" w:cs="Times New Roman"/>
          <w:i/>
          <w:iCs/>
          <w:color w:val="000000"/>
          <w:kern w:val="0"/>
          <w:sz w:val="20"/>
          <w:szCs w:val="20"/>
          <w14:ligatures w14:val="none"/>
        </w:rPr>
        <w:t>mean</w:t>
      </w:r>
      <w:r w:rsidR="00C90ADD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MA</w:t>
      </w:r>
      <w:r w:rsidR="002B41A5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= </w:t>
      </w:r>
      <w:r w:rsidR="00CC37B0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10.96</w:t>
      </w:r>
      <w:r w:rsidR="00DF6E43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months</w:t>
      </w:r>
      <w:r w:rsidR="007D68EE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) </w:t>
      </w:r>
      <w:r w:rsidRPr="004B659A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with</w:t>
      </w:r>
      <w:r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a confirmed DS diagnosis. Data was collected at multiple sites across the US. Caregivers completed </w:t>
      </w:r>
      <w:r w:rsidR="2AB859A6" w:rsidRPr="2AB859A6">
        <w:rPr>
          <w:rFonts w:ascii="Calibri" w:eastAsia="Calibri" w:hAnsi="Calibri" w:cs="Times New Roman"/>
          <w:color w:val="000000" w:themeColor="text1"/>
          <w:sz w:val="20"/>
          <w:szCs w:val="20"/>
        </w:rPr>
        <w:t>the CSBS-DP Infant-Toddler Checklist</w:t>
      </w:r>
      <w:r w:rsidR="00EE2EEE">
        <w:rPr>
          <w:rFonts w:ascii="Calibri" w:eastAsia="Calibri" w:hAnsi="Calibri" w:cs="Times New Roman"/>
          <w:color w:val="000000" w:themeColor="text1"/>
          <w:sz w:val="20"/>
          <w:szCs w:val="20"/>
        </w:rPr>
        <w:t xml:space="preserve"> (CSBS-DP)</w:t>
      </w:r>
      <w:r w:rsidR="004849BD">
        <w:rPr>
          <w:rFonts w:ascii="Calibri" w:eastAsia="Calibri" w:hAnsi="Calibri" w:cs="Times New Roman"/>
          <w:color w:val="000000" w:themeColor="text1"/>
          <w:sz w:val="20"/>
          <w:szCs w:val="20"/>
        </w:rPr>
        <w:fldChar w:fldCharType="begin"/>
      </w:r>
      <w:r w:rsidR="005F3A49">
        <w:rPr>
          <w:rFonts w:ascii="Calibri" w:eastAsia="Calibri" w:hAnsi="Calibri" w:cs="Times New Roman"/>
          <w:color w:val="000000" w:themeColor="text1"/>
          <w:sz w:val="20"/>
          <w:szCs w:val="20"/>
        </w:rPr>
        <w:instrText xml:space="preserve"> ADDIN EN.CITE &lt;EndNote&gt;&lt;Cite&gt;&lt;Author&gt;Wetherby&lt;/Author&gt;&lt;Year&gt;2002&lt;/Year&gt;&lt;RecNum&gt;142&lt;/RecNum&gt;&lt;DisplayText&gt;&lt;style face="superscript"&gt;7&lt;/style&gt;&lt;/DisplayText&gt;&lt;record&gt;&lt;rec-number&gt;142&lt;/rec-number&gt;&lt;foreign-keys&gt;&lt;key app="EN" db-id="0a55s0r2o2e9srees9b505dirfz0r9pwv00v" timestamp="1729622546"&gt;142&lt;/key&gt;&lt;/foreign-keys&gt;&lt;ref-type name="Book"&gt;6&lt;/ref-type&gt;&lt;contributors&gt;&lt;authors&gt;&lt;author&gt;Wetherby, Amy M&lt;/author&gt;&lt;author&gt;Prizant, Barry M&lt;/author&gt;&lt;/authors&gt;&lt;/contributors&gt;&lt;titles&gt;&lt;title&gt;Communication and Symbolic Behavior Scales Developmental Profile&lt;/title&gt;&lt;/titles&gt;&lt;dates&gt;&lt;year&gt;2002&lt;/year&gt;&lt;/dates&gt;&lt;pub-location&gt;Baltimore, MD&lt;/pub-location&gt;&lt;publisher&gt;Paul H Brookes Publishing Co.&lt;/publisher&gt;&lt;isbn&gt;1557665567&lt;/isbn&gt;&lt;urls&gt;&lt;/urls&gt;&lt;/record&gt;&lt;/Cite&gt;&lt;/EndNote&gt;</w:instrText>
      </w:r>
      <w:r w:rsidR="004849BD">
        <w:rPr>
          <w:rFonts w:ascii="Calibri" w:eastAsia="Calibri" w:hAnsi="Calibri" w:cs="Times New Roman"/>
          <w:color w:val="000000" w:themeColor="text1"/>
          <w:sz w:val="20"/>
          <w:szCs w:val="20"/>
        </w:rPr>
        <w:fldChar w:fldCharType="separate"/>
      </w:r>
      <w:r w:rsidR="005F3A49" w:rsidRPr="005F3A49">
        <w:rPr>
          <w:rFonts w:ascii="Calibri" w:eastAsia="Calibri" w:hAnsi="Calibri" w:cs="Times New Roman"/>
          <w:noProof/>
          <w:color w:val="000000" w:themeColor="text1"/>
          <w:sz w:val="20"/>
          <w:szCs w:val="20"/>
          <w:vertAlign w:val="superscript"/>
        </w:rPr>
        <w:t>7</w:t>
      </w:r>
      <w:r w:rsidR="004849BD">
        <w:rPr>
          <w:rFonts w:ascii="Calibri" w:eastAsia="Calibri" w:hAnsi="Calibri" w:cs="Times New Roman"/>
          <w:color w:val="000000" w:themeColor="text1"/>
          <w:sz w:val="20"/>
          <w:szCs w:val="20"/>
        </w:rPr>
        <w:fldChar w:fldCharType="end"/>
      </w:r>
      <w:r w:rsidR="31EA7B8F" w:rsidRPr="2AB859A6">
        <w:rPr>
          <w:rFonts w:ascii="Calibri" w:eastAsia="Calibri" w:hAnsi="Calibri" w:cs="Times New Roman"/>
          <w:color w:val="000000" w:themeColor="text1"/>
          <w:sz w:val="20"/>
          <w:szCs w:val="20"/>
        </w:rPr>
        <w:t xml:space="preserve">, </w:t>
      </w:r>
      <w:r w:rsidR="31EA7B8F" w:rsidRPr="73C7A531">
        <w:rPr>
          <w:rFonts w:ascii="Calibri" w:eastAsia="Calibri" w:hAnsi="Calibri" w:cs="Calibri"/>
          <w:sz w:val="20"/>
          <w:szCs w:val="20"/>
        </w:rPr>
        <w:t>designed to measure and monitor early communication and symbolic skills in infants and young children, and screen for potential developmental delays</w:t>
      </w:r>
      <w:r w:rsidR="31EA7B8F" w:rsidRPr="2AB859A6">
        <w:rPr>
          <w:rFonts w:ascii="Calibri" w:eastAsia="Calibri" w:hAnsi="Calibri" w:cs="Times New Roman"/>
          <w:color w:val="000000" w:themeColor="text1"/>
          <w:sz w:val="20"/>
          <w:szCs w:val="20"/>
        </w:rPr>
        <w:t>, as well as</w:t>
      </w:r>
      <w:r w:rsidR="2AB859A6" w:rsidRPr="2AB859A6">
        <w:rPr>
          <w:rFonts w:ascii="Calibri" w:eastAsia="Calibri" w:hAnsi="Calibri" w:cs="Times New Roman"/>
          <w:color w:val="000000" w:themeColor="text1"/>
          <w:sz w:val="20"/>
          <w:szCs w:val="20"/>
        </w:rPr>
        <w:t xml:space="preserve"> the Vineland Adaptive Behavior Scales </w:t>
      </w:r>
      <w:r w:rsidR="002700CD">
        <w:rPr>
          <w:rFonts w:ascii="Calibri" w:eastAsia="Calibri" w:hAnsi="Calibri" w:cs="Times New Roman"/>
          <w:color w:val="000000" w:themeColor="text1"/>
          <w:sz w:val="20"/>
          <w:szCs w:val="20"/>
        </w:rPr>
        <w:t>3</w:t>
      </w:r>
      <w:r w:rsidR="002700CD" w:rsidRPr="00DF6E43">
        <w:rPr>
          <w:rFonts w:ascii="Calibri" w:eastAsia="Calibri" w:hAnsi="Calibri" w:cs="Times New Roman"/>
          <w:color w:val="000000" w:themeColor="text1"/>
          <w:sz w:val="20"/>
          <w:szCs w:val="20"/>
          <w:vertAlign w:val="superscript"/>
        </w:rPr>
        <w:t>rd</w:t>
      </w:r>
      <w:r w:rsidR="002700CD">
        <w:rPr>
          <w:rFonts w:ascii="Calibri" w:eastAsia="Calibri" w:hAnsi="Calibri" w:cs="Times New Roman"/>
          <w:color w:val="000000" w:themeColor="text1"/>
          <w:sz w:val="20"/>
          <w:szCs w:val="20"/>
        </w:rPr>
        <w:t xml:space="preserve"> Edition </w:t>
      </w:r>
      <w:r w:rsidR="2AB859A6" w:rsidRPr="2AB859A6">
        <w:rPr>
          <w:rFonts w:ascii="Calibri" w:eastAsia="Calibri" w:hAnsi="Calibri" w:cs="Times New Roman"/>
          <w:color w:val="000000" w:themeColor="text1"/>
          <w:sz w:val="20"/>
          <w:szCs w:val="20"/>
        </w:rPr>
        <w:t>(Vineland)</w:t>
      </w:r>
      <w:r w:rsidR="00CE2CFB">
        <w:rPr>
          <w:rFonts w:ascii="Calibri" w:eastAsia="Calibri" w:hAnsi="Calibri" w:cs="Times New Roman"/>
          <w:color w:val="000000" w:themeColor="text1"/>
          <w:sz w:val="20"/>
          <w:szCs w:val="20"/>
        </w:rPr>
        <w:fldChar w:fldCharType="begin"/>
      </w:r>
      <w:r w:rsidR="005F3A49">
        <w:rPr>
          <w:rFonts w:ascii="Calibri" w:eastAsia="Calibri" w:hAnsi="Calibri" w:cs="Times New Roman"/>
          <w:color w:val="000000" w:themeColor="text1"/>
          <w:sz w:val="20"/>
          <w:szCs w:val="20"/>
        </w:rPr>
        <w:instrText xml:space="preserve"> ADDIN EN.CITE &lt;EndNote&gt;&lt;Cite&gt;&lt;Author&gt;Sparrow&lt;/Author&gt;&lt;Year&gt;2016&lt;/Year&gt;&lt;RecNum&gt;145&lt;/RecNum&gt;&lt;DisplayText&gt;&lt;style face="superscript"&gt;8&lt;/style&gt;&lt;/DisplayText&gt;&lt;record&gt;&lt;rec-number&gt;145&lt;/rec-number&gt;&lt;foreign-keys&gt;&lt;key app="EN" db-id="0a55s0r2o2e9srees9b505dirfz0r9pwv00v" timestamp="1729624327"&gt;145&lt;/key&gt;&lt;/foreign-keys&gt;&lt;ref-type name="Book"&gt;6&lt;/ref-type&gt;&lt;contributors&gt;&lt;authors&gt;&lt;author&gt;Sparrow, S. S.&lt;/author&gt;&lt;author&gt;Cicchetti, D. V.&lt;/author&gt;&lt;author&gt;Saulnier, C. A.&lt;/author&gt;&lt;/authors&gt;&lt;/contributors&gt;&lt;titles&gt;&lt;title&gt;Vineland-3: Vineland Adaptive Behavior Scales – Third Edition&lt;/title&gt;&lt;/titles&gt;&lt;dates&gt;&lt;year&gt;2016&lt;/year&gt;&lt;/dates&gt;&lt;pub-location&gt;Bloomington, MN&lt;/pub-location&gt;&lt;publisher&gt;Pearson Inc.&lt;/publisher&gt;&lt;urls&gt;&lt;/urls&gt;&lt;/record&gt;&lt;/Cite&gt;&lt;/EndNote&gt;</w:instrText>
      </w:r>
      <w:r w:rsidR="00CE2CFB">
        <w:rPr>
          <w:rFonts w:ascii="Calibri" w:eastAsia="Calibri" w:hAnsi="Calibri" w:cs="Times New Roman"/>
          <w:color w:val="000000" w:themeColor="text1"/>
          <w:sz w:val="20"/>
          <w:szCs w:val="20"/>
        </w:rPr>
        <w:fldChar w:fldCharType="separate"/>
      </w:r>
      <w:r w:rsidR="005F3A49" w:rsidRPr="005F3A49">
        <w:rPr>
          <w:rFonts w:ascii="Calibri" w:eastAsia="Calibri" w:hAnsi="Calibri" w:cs="Times New Roman"/>
          <w:noProof/>
          <w:color w:val="000000" w:themeColor="text1"/>
          <w:sz w:val="20"/>
          <w:szCs w:val="20"/>
          <w:vertAlign w:val="superscript"/>
        </w:rPr>
        <w:t>8</w:t>
      </w:r>
      <w:r w:rsidR="00CE2CFB">
        <w:rPr>
          <w:rFonts w:ascii="Calibri" w:eastAsia="Calibri" w:hAnsi="Calibri" w:cs="Times New Roman"/>
          <w:color w:val="000000" w:themeColor="text1"/>
          <w:sz w:val="20"/>
          <w:szCs w:val="20"/>
        </w:rPr>
        <w:fldChar w:fldCharType="end"/>
      </w:r>
      <w:r w:rsidR="2AB859A6" w:rsidRPr="2AB859A6">
        <w:rPr>
          <w:rFonts w:ascii="Calibri" w:eastAsia="Calibri" w:hAnsi="Calibri" w:cs="Times New Roman"/>
          <w:color w:val="000000" w:themeColor="text1"/>
          <w:sz w:val="20"/>
          <w:szCs w:val="20"/>
        </w:rPr>
        <w:t xml:space="preserve"> interview</w:t>
      </w:r>
      <w:r w:rsidR="59C59789" w:rsidRPr="59C59789">
        <w:rPr>
          <w:rFonts w:ascii="Calibri" w:eastAsia="Calibri" w:hAnsi="Calibri" w:cs="Times New Roman"/>
          <w:color w:val="000000" w:themeColor="text1"/>
          <w:sz w:val="20"/>
          <w:szCs w:val="20"/>
        </w:rPr>
        <w:t>,</w:t>
      </w:r>
      <w:r w:rsidR="5198F864" w:rsidRPr="5198F864">
        <w:rPr>
          <w:rFonts w:ascii="Calibri" w:eastAsia="Calibri" w:hAnsi="Calibri" w:cs="Times New Roman"/>
          <w:color w:val="000000" w:themeColor="text1"/>
          <w:sz w:val="20"/>
          <w:szCs w:val="20"/>
        </w:rPr>
        <w:t xml:space="preserve"> </w:t>
      </w:r>
      <w:r w:rsidR="2CE86AE5" w:rsidRPr="5198F864">
        <w:rPr>
          <w:rFonts w:ascii="Calibri" w:eastAsia="Calibri" w:hAnsi="Calibri" w:cs="Times New Roman"/>
          <w:color w:val="000000" w:themeColor="text1"/>
          <w:sz w:val="20"/>
          <w:szCs w:val="20"/>
        </w:rPr>
        <w:t>designed to measure adaptive behavior skills across multiple domains. C</w:t>
      </w:r>
      <w:r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hildren were assessed directly using the Bayley Scales of Infant and Toddler Development </w:t>
      </w:r>
      <w:r w:rsidR="002700CD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4</w:t>
      </w:r>
      <w:r w:rsidR="002700CD" w:rsidRPr="00DF6E43">
        <w:rPr>
          <w:rFonts w:ascii="Calibri" w:eastAsia="Calibri" w:hAnsi="Calibri" w:cs="Times New Roman"/>
          <w:color w:val="000000"/>
          <w:kern w:val="0"/>
          <w:sz w:val="20"/>
          <w:szCs w:val="20"/>
          <w:vertAlign w:val="superscript"/>
          <w14:ligatures w14:val="none"/>
        </w:rPr>
        <w:t>th</w:t>
      </w:r>
      <w:r w:rsidR="002700CD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Edition </w:t>
      </w:r>
      <w:r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(Bayley-4)</w:t>
      </w:r>
      <w:r w:rsidR="001B3D76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fldChar w:fldCharType="begin"/>
      </w:r>
      <w:r w:rsidR="005F3A49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instrText xml:space="preserve"> ADDIN EN.CITE &lt;EndNote&gt;&lt;Cite&gt;&lt;Author&gt;Bayley&lt;/Author&gt;&lt;Year&gt;2019&lt;/Year&gt;&lt;RecNum&gt;144&lt;/RecNum&gt;&lt;DisplayText&gt;&lt;style face="superscript"&gt;9&lt;/style&gt;&lt;/DisplayText&gt;&lt;record&gt;&lt;rec-number&gt;144&lt;/rec-number&gt;&lt;foreign-keys&gt;&lt;key app="EN" db-id="0a55s0r2o2e9srees9b505dirfz0r9pwv00v" timestamp="1729624117"&gt;144&lt;/key&gt;&lt;/foreign-keys&gt;&lt;ref-type name="Book"&gt;6&lt;/ref-type&gt;&lt;contributors&gt;&lt;authors&gt;&lt;author&gt;Bayley, N.&lt;/author&gt;&lt;author&gt;Aylward, G. P.&lt;/author&gt;&lt;/authors&gt;&lt;/contributors&gt;&lt;titles&gt;&lt;title&gt;Bayley Scales of Infant and Toddler Development&lt;/title&gt;&lt;/titles&gt;&lt;edition&gt;4th&lt;/edition&gt;&lt;dates&gt;&lt;year&gt;2019&lt;/year&gt;&lt;/dates&gt;&lt;pub-location&gt;Bloomington, MN&lt;/pub-location&gt;&lt;publisher&gt;NCS Pearson&lt;/publisher&gt;&lt;urls&gt;&lt;/urls&gt;&lt;/record&gt;&lt;/Cite&gt;&lt;/EndNote&gt;</w:instrText>
      </w:r>
      <w:r w:rsidR="001B3D76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fldChar w:fldCharType="separate"/>
      </w:r>
      <w:r w:rsidR="005F3A49" w:rsidRPr="005F3A49">
        <w:rPr>
          <w:rFonts w:ascii="Calibri" w:eastAsia="Calibri" w:hAnsi="Calibri" w:cs="Times New Roman"/>
          <w:noProof/>
          <w:color w:val="000000"/>
          <w:kern w:val="0"/>
          <w:sz w:val="20"/>
          <w:szCs w:val="20"/>
          <w:vertAlign w:val="superscript"/>
          <w14:ligatures w14:val="none"/>
        </w:rPr>
        <w:t>9</w:t>
      </w:r>
      <w:r w:rsidR="001B3D76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fldChar w:fldCharType="end"/>
      </w:r>
      <w:r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. Associations between </w:t>
      </w:r>
      <w:r w:rsidR="009223F4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raw scores on </w:t>
      </w:r>
      <w:r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the CSBS-DP </w:t>
      </w:r>
      <w:r w:rsidR="000D3EC8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Object Use</w:t>
      </w:r>
      <w:r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0D3EC8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sub</w:t>
      </w:r>
      <w:r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scale and </w:t>
      </w:r>
      <w:r w:rsidR="000D3EC8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motor</w:t>
      </w:r>
      <w:r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and </w:t>
      </w:r>
      <w:r w:rsidR="000D3EC8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communication</w:t>
      </w:r>
      <w:r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skills</w:t>
      </w:r>
      <w:r w:rsidR="686E2C9E"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,</w:t>
      </w:r>
      <w:r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6945BD9A"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as measured by</w:t>
      </w:r>
      <w:r w:rsidR="68B42C98"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both parent report and direct observation,</w:t>
      </w:r>
      <w:r w:rsidR="6945BD9A"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were </w:t>
      </w:r>
      <w:r w:rsidR="00921AAC" w:rsidRPr="00921AAC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examined through a series of correlation analyses</w:t>
      </w:r>
      <w:r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.</w:t>
      </w:r>
      <w:r w:rsidR="00921AAC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2D5693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To control for </w:t>
      </w:r>
      <w:r w:rsidR="00D2503D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the possibility of false discoveries resulting from multiple comparisons, the </w:t>
      </w:r>
      <w:r w:rsidR="00A37030" w:rsidRPr="00A37030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Benjamini-Hochberg</w:t>
      </w:r>
      <w:r w:rsidR="00A37030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procedure was applied to adjust </w:t>
      </w:r>
      <w:r w:rsidR="00625C1B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the resulting </w:t>
      </w:r>
      <w:r w:rsidR="00D72561" w:rsidRPr="73C7A531">
        <w:rPr>
          <w:rFonts w:ascii="Calibri" w:eastAsia="Calibri" w:hAnsi="Calibri" w:cs="Times New Roman"/>
          <w:i/>
          <w:iCs/>
          <w:color w:val="000000"/>
          <w:kern w:val="0"/>
          <w:sz w:val="20"/>
          <w:szCs w:val="20"/>
          <w14:ligatures w14:val="none"/>
        </w:rPr>
        <w:t>p</w:t>
      </w:r>
      <w:r w:rsidR="00D72561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-values</w:t>
      </w:r>
      <w:r w:rsidR="005A146D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.</w:t>
      </w:r>
    </w:p>
    <w:p w14:paraId="559EADBC" w14:textId="0B457975" w:rsidR="004D1077" w:rsidRPr="004D1077" w:rsidRDefault="004D1077" w:rsidP="73C7A531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val="en-GB"/>
          <w14:ligatures w14:val="none"/>
        </w:rPr>
      </w:pPr>
      <w:r w:rsidRPr="73C7A531">
        <w:rPr>
          <w:rFonts w:ascii="Calibri" w:eastAsia="Calibri" w:hAnsi="Calibri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  <w:t>Results</w:t>
      </w:r>
      <w:r w:rsidRPr="004D1077">
        <w:rPr>
          <w:rFonts w:ascii="Calibri" w:eastAsia="Calibri" w:hAnsi="Calibri" w:cs="Times New Roman"/>
          <w:color w:val="000000"/>
          <w:kern w:val="0"/>
          <w:sz w:val="20"/>
          <w:szCs w:val="20"/>
          <w:lang w:val="en-GB"/>
          <w14:ligatures w14:val="none"/>
        </w:rPr>
        <w:t xml:space="preserve">: </w:t>
      </w:r>
      <w:r w:rsidR="0075189A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S</w:t>
      </w:r>
      <w:r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ignificant </w:t>
      </w:r>
      <w:r w:rsidR="006C76DB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positive </w:t>
      </w:r>
      <w:r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associations </w:t>
      </w:r>
      <w:r w:rsidR="0075189A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were observed </w:t>
      </w:r>
      <w:r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between the CSBS-DP </w:t>
      </w:r>
      <w:r w:rsidR="000D3EC8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Object Use</w:t>
      </w:r>
      <w:r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scale and </w:t>
      </w:r>
      <w:r w:rsidR="00FD39E8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various subscales of the Vineland</w:t>
      </w:r>
      <w:r w:rsidR="00C16DE5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:</w:t>
      </w:r>
      <w:r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93502C"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Gross </w:t>
      </w:r>
      <w:r w:rsidR="0093502C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Motor (</w:t>
      </w:r>
      <w:r w:rsidR="0093502C" w:rsidRPr="73C7A531">
        <w:rPr>
          <w:rFonts w:ascii="Calibri" w:eastAsia="Calibri" w:hAnsi="Calibri" w:cs="Times New Roman"/>
          <w:i/>
          <w:iCs/>
          <w:color w:val="000000"/>
          <w:kern w:val="0"/>
          <w:sz w:val="20"/>
          <w:szCs w:val="20"/>
          <w14:ligatures w14:val="none"/>
        </w:rPr>
        <w:t>r</w:t>
      </w:r>
      <w:r w:rsidR="0093502C" w:rsidRPr="007771A4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= 0.</w:t>
      </w:r>
      <w:r w:rsidR="0093502C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52</w:t>
      </w:r>
      <w:r w:rsidR="0093502C"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,</w:t>
      </w:r>
      <w:r w:rsidR="0093502C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adj-</w:t>
      </w:r>
      <w:r w:rsidR="0093502C" w:rsidRPr="73C7A531">
        <w:rPr>
          <w:rFonts w:ascii="Calibri" w:eastAsia="Calibri" w:hAnsi="Calibri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p </w:t>
      </w:r>
      <w:r w:rsidR="0093502C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= .02),</w:t>
      </w:r>
      <w:r w:rsidR="0093502C"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Fine Motor</w:t>
      </w:r>
      <w:r w:rsidR="0093502C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(</w:t>
      </w:r>
      <w:r w:rsidR="0093502C" w:rsidRPr="73C7A531">
        <w:rPr>
          <w:rFonts w:ascii="Calibri" w:eastAsia="Calibri" w:hAnsi="Calibri" w:cs="Times New Roman"/>
          <w:i/>
          <w:iCs/>
          <w:color w:val="000000"/>
          <w:kern w:val="0"/>
          <w:sz w:val="20"/>
          <w:szCs w:val="20"/>
          <w14:ligatures w14:val="none"/>
        </w:rPr>
        <w:t>r</w:t>
      </w:r>
      <w:r w:rsidR="0093502C" w:rsidRPr="007771A4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= 0.</w:t>
      </w:r>
      <w:r w:rsidR="0093502C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61</w:t>
      </w:r>
      <w:r w:rsidR="0093502C"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,</w:t>
      </w:r>
      <w:r w:rsidR="0093502C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adj-</w:t>
      </w:r>
      <w:r w:rsidR="0093502C" w:rsidRPr="73C7A531">
        <w:rPr>
          <w:rFonts w:ascii="Calibri" w:eastAsia="Calibri" w:hAnsi="Calibri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p </w:t>
      </w:r>
      <w:r w:rsidR="0093502C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= .007), </w:t>
      </w:r>
      <w:r w:rsidR="002F1BEE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Receptive </w:t>
      </w:r>
      <w:r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Communication (</w:t>
      </w:r>
      <w:r w:rsidR="002F1BEE" w:rsidRPr="73C7A531">
        <w:rPr>
          <w:rFonts w:ascii="Calibri" w:eastAsia="Calibri" w:hAnsi="Calibri" w:cs="Times New Roman"/>
          <w:i/>
          <w:iCs/>
          <w:color w:val="000000"/>
          <w:kern w:val="0"/>
          <w:sz w:val="20"/>
          <w:szCs w:val="20"/>
          <w14:ligatures w14:val="none"/>
        </w:rPr>
        <w:t>r</w:t>
      </w:r>
      <w:r w:rsidR="002F1BEE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= </w:t>
      </w:r>
      <w:r w:rsidR="00055B9E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0.</w:t>
      </w:r>
      <w:r w:rsidR="00890228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45</w:t>
      </w:r>
      <w:r w:rsidR="00F27FA9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, adj</w:t>
      </w:r>
      <w:r w:rsidR="00CA3A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-</w:t>
      </w:r>
      <w:r w:rsidR="00F27FA9" w:rsidRPr="73C7A531">
        <w:rPr>
          <w:rFonts w:ascii="Calibri" w:eastAsia="Calibri" w:hAnsi="Calibri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p </w:t>
      </w:r>
      <w:r w:rsidR="00621488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= .0</w:t>
      </w:r>
      <w:r w:rsidR="00890228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4</w:t>
      </w:r>
      <w:r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), </w:t>
      </w:r>
      <w:r w:rsidR="0093502C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and </w:t>
      </w:r>
      <w:r w:rsidR="00CA3A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Expressive </w:t>
      </w:r>
      <w:r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Communication (</w:t>
      </w:r>
      <w:r w:rsidR="00CA3A77" w:rsidRPr="73C7A531">
        <w:rPr>
          <w:rFonts w:ascii="Calibri" w:eastAsia="Calibri" w:hAnsi="Calibri" w:cs="Times New Roman"/>
          <w:i/>
          <w:iCs/>
          <w:color w:val="000000"/>
          <w:kern w:val="0"/>
          <w:sz w:val="20"/>
          <w:szCs w:val="20"/>
          <w14:ligatures w14:val="none"/>
        </w:rPr>
        <w:t>r</w:t>
      </w:r>
      <w:r w:rsidR="00CA3A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= 0.6</w:t>
      </w:r>
      <w:r w:rsidR="0072719E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2</w:t>
      </w:r>
      <w:r w:rsidR="00CA3A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,</w:t>
      </w:r>
      <w:r w:rsidR="00CA3A77" w:rsidRPr="00CA3A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CA3A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adj-</w:t>
      </w:r>
      <w:r w:rsidR="00CA3A77" w:rsidRPr="73C7A531">
        <w:rPr>
          <w:rFonts w:ascii="Calibri" w:eastAsia="Calibri" w:hAnsi="Calibri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p </w:t>
      </w:r>
      <w:r w:rsidR="00CA3A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= .00</w:t>
      </w:r>
      <w:r w:rsidR="0072719E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7</w:t>
      </w:r>
      <w:r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). </w:t>
      </w:r>
      <w:r w:rsidR="00FC28F4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Additional</w:t>
      </w:r>
      <w:r w:rsidR="00D35B1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ly, </w:t>
      </w:r>
      <w:r w:rsidR="006C76DB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positive </w:t>
      </w:r>
      <w:r w:rsidR="00FC28F4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association</w:t>
      </w:r>
      <w:r w:rsidR="006C76DB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s</w:t>
      </w:r>
      <w:r w:rsidR="006C23D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w</w:t>
      </w:r>
      <w:r w:rsidR="006C76DB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ere</w:t>
      </w:r>
      <w:r w:rsidR="00FC28F4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observed between</w:t>
      </w:r>
      <w:r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343C4F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the </w:t>
      </w:r>
      <w:r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CSBS-DP </w:t>
      </w:r>
      <w:r w:rsidR="00CC6960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Object Use</w:t>
      </w:r>
      <w:r w:rsidR="00CC6960"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scale </w:t>
      </w:r>
      <w:r w:rsidR="00A8665B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and</w:t>
      </w:r>
      <w:r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the Bayley-4 </w:t>
      </w:r>
      <w:r w:rsidR="008A6B5F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Receptive</w:t>
      </w:r>
      <w:r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Communication </w:t>
      </w:r>
      <w:r w:rsidR="0041125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(</w:t>
      </w:r>
      <w:r w:rsidR="00411257" w:rsidRPr="73C7A531">
        <w:rPr>
          <w:rFonts w:ascii="Calibri" w:eastAsia="Calibri" w:hAnsi="Calibri" w:cs="Times New Roman"/>
          <w:i/>
          <w:iCs/>
          <w:color w:val="000000"/>
          <w:kern w:val="0"/>
          <w:sz w:val="20"/>
          <w:szCs w:val="20"/>
          <w14:ligatures w14:val="none"/>
        </w:rPr>
        <w:t>r</w:t>
      </w:r>
      <w:r w:rsidR="00411257" w:rsidRPr="007771A4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= 0.</w:t>
      </w:r>
      <w:r w:rsidR="0041125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4</w:t>
      </w:r>
      <w:r w:rsidR="008A6B5F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5</w:t>
      </w:r>
      <w:r w:rsidR="00411257"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,</w:t>
      </w:r>
      <w:r w:rsidR="0041125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adj-</w:t>
      </w:r>
      <w:r w:rsidR="00411257" w:rsidRPr="73C7A531">
        <w:rPr>
          <w:rFonts w:ascii="Calibri" w:eastAsia="Calibri" w:hAnsi="Calibri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p </w:t>
      </w:r>
      <w:r w:rsidR="0041125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= .0</w:t>
      </w:r>
      <w:r w:rsidR="008A6B5F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3</w:t>
      </w:r>
      <w:r w:rsidR="0041125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)</w:t>
      </w:r>
      <w:r w:rsidR="00CC6960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and </w:t>
      </w:r>
      <w:r w:rsidR="008A6B5F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Expressive</w:t>
      </w:r>
      <w:r w:rsidR="00CC6960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Communication </w:t>
      </w:r>
      <w:r w:rsidR="008A6B5F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(</w:t>
      </w:r>
      <w:r w:rsidR="008A6B5F" w:rsidRPr="73C7A531">
        <w:rPr>
          <w:rFonts w:ascii="Calibri" w:eastAsia="Calibri" w:hAnsi="Calibri" w:cs="Times New Roman"/>
          <w:i/>
          <w:iCs/>
          <w:color w:val="000000"/>
          <w:kern w:val="0"/>
          <w:sz w:val="20"/>
          <w:szCs w:val="20"/>
          <w14:ligatures w14:val="none"/>
        </w:rPr>
        <w:t>r</w:t>
      </w:r>
      <w:r w:rsidR="008A6B5F" w:rsidRPr="007771A4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= 0.</w:t>
      </w:r>
      <w:r w:rsidR="008A6B5F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44</w:t>
      </w:r>
      <w:r w:rsidR="008A6B5F"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,</w:t>
      </w:r>
      <w:r w:rsidR="008A6B5F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adj-</w:t>
      </w:r>
      <w:r w:rsidR="008A6B5F" w:rsidRPr="73C7A531">
        <w:rPr>
          <w:rFonts w:ascii="Calibri" w:eastAsia="Calibri" w:hAnsi="Calibri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p </w:t>
      </w:r>
      <w:r w:rsidR="008A6B5F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= .04) </w:t>
      </w:r>
      <w:r w:rsidR="00CC6960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subscales</w:t>
      </w:r>
      <w:r w:rsidR="007A2EDF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.</w:t>
      </w:r>
      <w:r w:rsidR="000B14D5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When controlling for the effects of CA, these associations remained significant: Vineland</w:t>
      </w:r>
      <w:r w:rsidR="008605C8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8605C8" w:rsidRPr="008605C8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Expressive Communication (</w:t>
      </w:r>
      <w:r w:rsidR="008605C8" w:rsidRPr="001C7736">
        <w:rPr>
          <w:rFonts w:ascii="Calibri" w:eastAsia="Calibri" w:hAnsi="Calibri" w:cs="Times New Roman"/>
          <w:i/>
          <w:iCs/>
          <w:color w:val="000000"/>
          <w:kern w:val="0"/>
          <w:sz w:val="20"/>
          <w:szCs w:val="20"/>
          <w14:ligatures w14:val="none"/>
        </w:rPr>
        <w:t>r</w:t>
      </w:r>
      <w:r w:rsidR="008605C8" w:rsidRPr="008605C8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= 0.</w:t>
      </w:r>
      <w:r w:rsidR="00E531FF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51</w:t>
      </w:r>
      <w:r w:rsidR="008605C8" w:rsidRPr="008605C8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, </w:t>
      </w:r>
      <w:r w:rsidR="008605C8" w:rsidRPr="006A3DB0">
        <w:rPr>
          <w:rFonts w:ascii="Calibri" w:eastAsia="Calibri" w:hAnsi="Calibri" w:cs="Times New Roman"/>
          <w:i/>
          <w:iCs/>
          <w:color w:val="000000"/>
          <w:kern w:val="0"/>
          <w:sz w:val="20"/>
          <w:szCs w:val="20"/>
          <w14:ligatures w14:val="none"/>
        </w:rPr>
        <w:t>p</w:t>
      </w:r>
      <w:r w:rsidR="008605C8" w:rsidRPr="008605C8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= .0</w:t>
      </w:r>
      <w:r w:rsidR="006C0E4E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1</w:t>
      </w:r>
      <w:r w:rsidR="008605C8" w:rsidRPr="008605C8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)</w:t>
      </w:r>
      <w:r w:rsidR="001C7736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,</w:t>
      </w:r>
      <w:r w:rsidR="001C7736" w:rsidRPr="001C7736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1C7736"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Bayley-4 </w:t>
      </w:r>
      <w:r w:rsidR="001C7736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Receptive</w:t>
      </w:r>
      <w:r w:rsidR="001C7736"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Communication </w:t>
      </w:r>
      <w:r w:rsidR="001C7736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(</w:t>
      </w:r>
      <w:r w:rsidR="001C7736" w:rsidRPr="73C7A531">
        <w:rPr>
          <w:rFonts w:ascii="Calibri" w:eastAsia="Calibri" w:hAnsi="Calibri" w:cs="Times New Roman"/>
          <w:i/>
          <w:iCs/>
          <w:color w:val="000000"/>
          <w:kern w:val="0"/>
          <w:sz w:val="20"/>
          <w:szCs w:val="20"/>
          <w14:ligatures w14:val="none"/>
        </w:rPr>
        <w:t>r</w:t>
      </w:r>
      <w:r w:rsidR="001C7736" w:rsidRPr="007771A4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= 0.</w:t>
      </w:r>
      <w:r w:rsidR="001C7736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4</w:t>
      </w:r>
      <w:r w:rsidR="00A600AA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1</w:t>
      </w:r>
      <w:r w:rsidR="001C7736"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,</w:t>
      </w:r>
      <w:r w:rsidR="001C7736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1C7736" w:rsidRPr="73C7A531">
        <w:rPr>
          <w:rFonts w:ascii="Calibri" w:eastAsia="Calibri" w:hAnsi="Calibri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p </w:t>
      </w:r>
      <w:r w:rsidR="001C7736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= .0</w:t>
      </w:r>
      <w:r w:rsidR="00A600AA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4</w:t>
      </w:r>
      <w:r w:rsidR="001C7736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)</w:t>
      </w:r>
      <w:r w:rsidR="00A600AA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,</w:t>
      </w:r>
      <w:r w:rsidR="001C7736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and</w:t>
      </w:r>
      <w:r w:rsidR="00A600AA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A600AA"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Bayley-4 </w:t>
      </w:r>
      <w:r w:rsidR="001C7736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Expressive Communication (</w:t>
      </w:r>
      <w:r w:rsidR="001C7736" w:rsidRPr="73C7A531">
        <w:rPr>
          <w:rFonts w:ascii="Calibri" w:eastAsia="Calibri" w:hAnsi="Calibri" w:cs="Times New Roman"/>
          <w:i/>
          <w:iCs/>
          <w:color w:val="000000"/>
          <w:kern w:val="0"/>
          <w:sz w:val="20"/>
          <w:szCs w:val="20"/>
          <w14:ligatures w14:val="none"/>
        </w:rPr>
        <w:t>r</w:t>
      </w:r>
      <w:r w:rsidR="001C7736" w:rsidRPr="007771A4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= 0.</w:t>
      </w:r>
      <w:r w:rsidR="001C7736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4</w:t>
      </w:r>
      <w:r w:rsidR="000730F4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2</w:t>
      </w:r>
      <w:r w:rsidR="001C7736" w:rsidRPr="004D107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,</w:t>
      </w:r>
      <w:r w:rsidR="001C7736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1C7736" w:rsidRPr="73C7A531">
        <w:rPr>
          <w:rFonts w:ascii="Calibri" w:eastAsia="Calibri" w:hAnsi="Calibri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p </w:t>
      </w:r>
      <w:r w:rsidR="001C7736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= .0</w:t>
      </w:r>
      <w:r w:rsidR="00C4589C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3</w:t>
      </w:r>
      <w:r w:rsidR="001C7736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)</w:t>
      </w:r>
      <w:r w:rsidR="00C4589C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.</w:t>
      </w:r>
    </w:p>
    <w:p w14:paraId="437BE7C1" w14:textId="5CF8AA04" w:rsidR="004D1077" w:rsidRPr="004D1077" w:rsidRDefault="004D1077" w:rsidP="55EDA489">
      <w:pPr>
        <w:spacing w:after="200" w:line="276" w:lineRule="auto"/>
        <w:jc w:val="both"/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</w:pPr>
      <w:r w:rsidRPr="55EDA489">
        <w:rPr>
          <w:rFonts w:ascii="Calibri" w:eastAsia="Calibri" w:hAnsi="Calibri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Discussion: </w:t>
      </w:r>
      <w:r w:rsidRPr="55EDA489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Results support the link between </w:t>
      </w:r>
      <w:r w:rsidR="006705F4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object use</w:t>
      </w:r>
      <w:r w:rsidRPr="55EDA489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and </w:t>
      </w:r>
      <w:r w:rsidRPr="74A4ECF0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measures of </w:t>
      </w:r>
      <w:r w:rsidRPr="55EDA489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communication and </w:t>
      </w:r>
      <w:r w:rsidR="006705F4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motor skills</w:t>
      </w:r>
      <w:r w:rsidRPr="55EDA489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in children with DS.</w:t>
      </w:r>
      <w:r w:rsidR="007A2EDF" w:rsidRPr="55EDA489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55EDA489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Expanding this investigation longitudinally could clarify </w:t>
      </w:r>
      <w:r w:rsidR="00DD2CA6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the </w:t>
      </w:r>
      <w:r w:rsidR="00DD2CA6" w:rsidRPr="55EDA489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bidirectional</w:t>
      </w:r>
      <w:r w:rsidR="57403264" w:rsidRPr="55EDA489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association between</w:t>
      </w:r>
      <w:r w:rsidRPr="55EDA489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00315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motor </w:t>
      </w:r>
      <w:r w:rsidR="04D91774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and communication </w:t>
      </w:r>
      <w:r w:rsidR="0000315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development </w:t>
      </w:r>
      <w:r w:rsidR="08C68131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and</w:t>
      </w:r>
      <w:r w:rsidR="0000315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55EDA489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early symbolic functioning</w:t>
      </w:r>
      <w:r w:rsidR="2882E315" w:rsidRPr="55EDA489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,</w:t>
      </w:r>
      <w:r w:rsidRPr="55EDA489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003157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including object use</w:t>
      </w:r>
      <w:r w:rsidR="00C449A1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. E</w:t>
      </w:r>
      <w:r w:rsidRPr="55EDA489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arly assessment of symbolic abilities using tools like the CSBS-DP can help identify potential delays and inform </w:t>
      </w:r>
      <w:r w:rsidR="00DD2CA6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phenotype-informed</w:t>
      </w:r>
      <w:r w:rsidR="004F758E" w:rsidRPr="55EDA489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55EDA489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early intervention efforts</w:t>
      </w:r>
      <w:r w:rsidR="00825AE4" w:rsidRPr="55EDA489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fldChar w:fldCharType="begin"/>
      </w:r>
      <w:r w:rsidR="005F3A49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instrText xml:space="preserve"> ADDIN EN.CITE &lt;EndNote&gt;&lt;Cite&gt;&lt;Author&gt;Dykens&lt;/Author&gt;&lt;Year&gt;2006&lt;/Year&gt;&lt;RecNum&gt;146&lt;/RecNum&gt;&lt;DisplayText&gt;&lt;style face="superscript"&gt;10&lt;/style&gt;&lt;/DisplayText&gt;&lt;record&gt;&lt;rec-number&gt;146&lt;/rec-number&gt;&lt;foreign-keys&gt;&lt;key app="EN" db-id="0a55s0r2o2e9srees9b505dirfz0r9pwv00v" timestamp="1729786593"&gt;146&lt;/key&gt;&lt;/foreign-keys&gt;&lt;ref-type name="Journal Article"&gt;17&lt;/ref-type&gt;&lt;contributors&gt;&lt;authors&gt;&lt;author&gt;Dykens, E. M.&lt;/author&gt;&lt;author&gt;Hodapp, R. M.&lt;/author&gt;&lt;author&gt;Evans, D. W.&lt;/author&gt;&lt;/authors&gt;&lt;/contributors&gt;&lt;auth-address&gt;Yale Child Study Center, New Heaven, CT 06520, USA.&lt;/auth-address&gt;&lt;titles&gt;&lt;title&gt;Profiles and development of adaptive behavior in children with Down syndrome&lt;/title&gt;&lt;secondary-title&gt;Down Syndrome Research and Practice&lt;/secondary-title&gt;&lt;/titles&gt;&lt;periodical&gt;&lt;full-title&gt;Down Syndrome Research and Practice&lt;/full-title&gt;&lt;/periodical&gt;&lt;pages&gt;45-50&lt;/pages&gt;&lt;volume&gt;9&lt;/volume&gt;&lt;number&gt;3&lt;/number&gt;&lt;keywords&gt;&lt;keyword&gt;Adaptation, Psychological/*physiology&lt;/keyword&gt;&lt;keyword&gt;Child&lt;/keyword&gt;&lt;keyword&gt;Child Development&lt;/keyword&gt;&lt;keyword&gt;Child, Preschool&lt;/keyword&gt;&lt;keyword&gt;Communication&lt;/keyword&gt;&lt;keyword&gt;Down Syndrome/*psychology&lt;/keyword&gt;&lt;keyword&gt;Female&lt;/keyword&gt;&lt;keyword&gt;Humans&lt;/keyword&gt;&lt;keyword&gt;Individuality&lt;/keyword&gt;&lt;keyword&gt;Infant&lt;/keyword&gt;&lt;keyword&gt;Male&lt;/keyword&gt;&lt;keyword&gt;Psychological Tests&lt;/keyword&gt;&lt;keyword&gt;Socialization&lt;/keyword&gt;&lt;/keywords&gt;&lt;dates&gt;&lt;year&gt;2006&lt;/year&gt;&lt;pub-dates&gt;&lt;date&gt;Jun&lt;/date&gt;&lt;/pub-dates&gt;&lt;/dates&gt;&lt;isbn&gt;0968-7912 (Print)&amp;#xD;0968-7912&lt;/isbn&gt;&lt;accession-num&gt;16869374&lt;/accession-num&gt;&lt;urls&gt;&lt;/urls&gt;&lt;electronic-resource-num&gt;10.3104/reprints.293&lt;/electronic-resource-num&gt;&lt;remote-database-provider&gt;NLM&lt;/remote-database-provider&gt;&lt;language&gt;eng&lt;/language&gt;&lt;/record&gt;&lt;/Cite&gt;&lt;/EndNote&gt;</w:instrText>
      </w:r>
      <w:r w:rsidR="00825AE4" w:rsidRPr="55EDA489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fldChar w:fldCharType="separate"/>
      </w:r>
      <w:r w:rsidR="005F3A49" w:rsidRPr="005F3A49">
        <w:rPr>
          <w:rFonts w:ascii="Calibri" w:eastAsia="Calibri" w:hAnsi="Calibri" w:cs="Times New Roman"/>
          <w:noProof/>
          <w:color w:val="000000"/>
          <w:kern w:val="0"/>
          <w:sz w:val="20"/>
          <w:szCs w:val="20"/>
          <w:vertAlign w:val="superscript"/>
          <w14:ligatures w14:val="none"/>
        </w:rPr>
        <w:t>10</w:t>
      </w:r>
      <w:r w:rsidR="00825AE4" w:rsidRPr="55EDA489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fldChar w:fldCharType="end"/>
      </w:r>
      <w:r w:rsidRPr="55EDA489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, ultimately supporting </w:t>
      </w:r>
      <w:r w:rsidR="00B90F02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a</w:t>
      </w:r>
      <w:r w:rsidRPr="55EDA489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child's overall developmental trajectory.</w:t>
      </w:r>
      <w:r w:rsidR="0019030D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Future studies should examine these associations longitudinally to test a</w:t>
      </w:r>
      <w:r w:rsidR="006E402A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cascading effects hypothesis.</w:t>
      </w:r>
    </w:p>
    <w:p w14:paraId="37271E34" w14:textId="23160AAA" w:rsidR="00D8140A" w:rsidRPr="00D8140A" w:rsidRDefault="004D1077" w:rsidP="00D8140A">
      <w:pPr>
        <w:spacing w:after="0" w:line="240" w:lineRule="auto"/>
        <w:rPr>
          <w:rFonts w:ascii="Calibri" w:eastAsia="Calibri" w:hAnsi="Calibri" w:cs="Times New Roman"/>
          <w:b/>
          <w:color w:val="000000"/>
          <w:kern w:val="0"/>
          <w:sz w:val="20"/>
          <w:szCs w:val="20"/>
          <w:lang w:val="en-GB"/>
          <w14:ligatures w14:val="none"/>
        </w:rPr>
      </w:pPr>
      <w:r w:rsidRPr="004D1077">
        <w:rPr>
          <w:rFonts w:ascii="Calibri" w:eastAsia="Calibri" w:hAnsi="Calibri" w:cs="Times New Roman"/>
          <w:b/>
          <w:color w:val="000000"/>
          <w:kern w:val="0"/>
          <w:sz w:val="20"/>
          <w:szCs w:val="20"/>
          <w:lang w:val="en-GB"/>
          <w14:ligatures w14:val="none"/>
        </w:rPr>
        <w:t>References:</w:t>
      </w:r>
    </w:p>
    <w:p w14:paraId="722B1C96" w14:textId="134CF33D" w:rsidR="00B606D3" w:rsidRPr="00B606D3" w:rsidRDefault="00D8140A" w:rsidP="00B606D3">
      <w:pPr>
        <w:pStyle w:val="EndNoteBibliography"/>
        <w:spacing w:after="0"/>
        <w:ind w:left="720" w:hanging="720"/>
      </w:pPr>
      <w:r w:rsidRPr="008E0EF3">
        <w:rPr>
          <w:szCs w:val="20"/>
        </w:rPr>
        <w:fldChar w:fldCharType="begin"/>
      </w:r>
      <w:r w:rsidRPr="008E0EF3">
        <w:rPr>
          <w:szCs w:val="20"/>
        </w:rPr>
        <w:instrText xml:space="preserve"> ADDIN EN.REFLIST </w:instrText>
      </w:r>
      <w:r w:rsidRPr="008E0EF3">
        <w:rPr>
          <w:szCs w:val="20"/>
        </w:rPr>
        <w:fldChar w:fldCharType="separate"/>
      </w:r>
      <w:r w:rsidR="00B606D3" w:rsidRPr="00B606D3">
        <w:t>1</w:t>
      </w:r>
      <w:r w:rsidR="00B606D3" w:rsidRPr="00B606D3">
        <w:tab/>
        <w:t>Eadie, P. A.</w:t>
      </w:r>
      <w:r w:rsidR="00B606D3" w:rsidRPr="00B606D3">
        <w:rPr>
          <w:i/>
        </w:rPr>
        <w:t xml:space="preserve"> et al.</w:t>
      </w:r>
      <w:r w:rsidR="00B606D3" w:rsidRPr="00B606D3">
        <w:t xml:space="preserve"> Assessing early communication behaviours: structure and validity of the Communication and Symbolic Behaviour Scales—Developmental Profile (CSBS</w:t>
      </w:r>
      <w:r w:rsidR="00B606D3" w:rsidRPr="00B606D3">
        <w:rPr>
          <w:rFonts w:ascii="Cambria Math" w:hAnsi="Cambria Math" w:cs="Cambria Math"/>
        </w:rPr>
        <w:t>‐</w:t>
      </w:r>
      <w:r w:rsidR="00B606D3" w:rsidRPr="00B606D3">
        <w:t>DP) in 12</w:t>
      </w:r>
      <w:r w:rsidR="00B606D3" w:rsidRPr="00B606D3">
        <w:rPr>
          <w:rFonts w:ascii="Cambria Math" w:hAnsi="Cambria Math" w:cs="Cambria Math"/>
        </w:rPr>
        <w:t>‐</w:t>
      </w:r>
      <w:r w:rsidR="00B606D3" w:rsidRPr="00B606D3">
        <w:t>month</w:t>
      </w:r>
      <w:r w:rsidR="00B606D3" w:rsidRPr="00B606D3">
        <w:rPr>
          <w:rFonts w:ascii="Cambria Math" w:hAnsi="Cambria Math" w:cs="Cambria Math"/>
        </w:rPr>
        <w:t>‐</w:t>
      </w:r>
      <w:r w:rsidR="00B606D3" w:rsidRPr="00B606D3">
        <w:t xml:space="preserve">old infants. </w:t>
      </w:r>
      <w:r w:rsidR="00B606D3" w:rsidRPr="00B606D3">
        <w:rPr>
          <w:i/>
        </w:rPr>
        <w:t>International Journal of Language &amp; Communication Disorders</w:t>
      </w:r>
      <w:r w:rsidR="00B606D3" w:rsidRPr="00B606D3">
        <w:t xml:space="preserve"> </w:t>
      </w:r>
      <w:r w:rsidR="00B606D3" w:rsidRPr="00B606D3">
        <w:rPr>
          <w:b/>
        </w:rPr>
        <w:t>45</w:t>
      </w:r>
      <w:r w:rsidR="00B606D3" w:rsidRPr="00B606D3">
        <w:t xml:space="preserve">, 572-585 (2010). </w:t>
      </w:r>
      <w:hyperlink r:id="rId8" w:history="1">
        <w:r w:rsidR="00B606D3" w:rsidRPr="00B606D3">
          <w:rPr>
            <w:rStyle w:val="Hyperlink"/>
          </w:rPr>
          <w:t>https://doi.org/10.3109/13682820903277944</w:t>
        </w:r>
      </w:hyperlink>
    </w:p>
    <w:p w14:paraId="13CECD51" w14:textId="77777777" w:rsidR="00B606D3" w:rsidRPr="00B606D3" w:rsidRDefault="00B606D3" w:rsidP="00B606D3">
      <w:pPr>
        <w:pStyle w:val="EndNoteBibliography"/>
        <w:spacing w:after="0"/>
        <w:ind w:left="720" w:hanging="720"/>
      </w:pPr>
      <w:r w:rsidRPr="00B606D3">
        <w:t>2</w:t>
      </w:r>
      <w:r w:rsidRPr="00B606D3">
        <w:tab/>
        <w:t>Fidler, D.</w:t>
      </w:r>
      <w:r w:rsidRPr="00B606D3">
        <w:rPr>
          <w:i/>
        </w:rPr>
        <w:t xml:space="preserve"> et al.</w:t>
      </w:r>
      <w:r w:rsidRPr="00B606D3">
        <w:t xml:space="preserve"> Feasibility of a syndrome‐informed micro‐intervention for infants with Down syndrome. </w:t>
      </w:r>
      <w:r w:rsidRPr="00B606D3">
        <w:rPr>
          <w:i/>
        </w:rPr>
        <w:t>Journal of Intellectual Disability Research</w:t>
      </w:r>
      <w:r w:rsidRPr="00B606D3">
        <w:t xml:space="preserve"> </w:t>
      </w:r>
      <w:r w:rsidRPr="00B606D3">
        <w:rPr>
          <w:b/>
        </w:rPr>
        <w:t>65</w:t>
      </w:r>
      <w:r w:rsidRPr="00B606D3">
        <w:t xml:space="preserve">, 320-339 (2021). </w:t>
      </w:r>
    </w:p>
    <w:p w14:paraId="2471E6F7" w14:textId="7D100452" w:rsidR="00B606D3" w:rsidRPr="00B606D3" w:rsidRDefault="00B606D3" w:rsidP="00B606D3">
      <w:pPr>
        <w:pStyle w:val="EndNoteBibliography"/>
        <w:spacing w:after="0"/>
        <w:ind w:left="720" w:hanging="720"/>
      </w:pPr>
      <w:r w:rsidRPr="00B606D3">
        <w:t>3</w:t>
      </w:r>
      <w:r w:rsidRPr="00B606D3">
        <w:tab/>
        <w:t xml:space="preserve">Gibson, E. J. Exploratory behavior in the development of perceiving, acting, and the acquiring of knowledge. </w:t>
      </w:r>
      <w:r w:rsidRPr="00B606D3">
        <w:rPr>
          <w:i/>
        </w:rPr>
        <w:t>Annual Review of Psychology</w:t>
      </w:r>
      <w:r w:rsidRPr="00B606D3">
        <w:t xml:space="preserve"> </w:t>
      </w:r>
      <w:r w:rsidRPr="00B606D3">
        <w:rPr>
          <w:b/>
        </w:rPr>
        <w:t>39</w:t>
      </w:r>
      <w:r w:rsidRPr="00B606D3">
        <w:t xml:space="preserve">, 1-41 (1988). </w:t>
      </w:r>
      <w:hyperlink r:id="rId9" w:history="1">
        <w:r w:rsidRPr="00B606D3">
          <w:rPr>
            <w:rStyle w:val="Hyperlink"/>
          </w:rPr>
          <w:t>https://doi.org/10.1146/annurev.ps.39.020188.000245</w:t>
        </w:r>
      </w:hyperlink>
    </w:p>
    <w:p w14:paraId="54D46BED" w14:textId="77777777" w:rsidR="00B606D3" w:rsidRPr="00B606D3" w:rsidRDefault="00B606D3" w:rsidP="00B606D3">
      <w:pPr>
        <w:pStyle w:val="EndNoteBibliography"/>
        <w:spacing w:after="0"/>
        <w:ind w:left="720" w:hanging="720"/>
      </w:pPr>
      <w:r w:rsidRPr="00B606D3">
        <w:t>4</w:t>
      </w:r>
      <w:r w:rsidRPr="00B606D3">
        <w:tab/>
        <w:t xml:space="preserve">Fidler, D. J., Hepburn, S. L. &amp; Osaki, D. in </w:t>
      </w:r>
      <w:r w:rsidRPr="00B606D3">
        <w:rPr>
          <w:i/>
        </w:rPr>
        <w:t>Neurocognitive rehabilitation of Down syndrome: Early years</w:t>
      </w:r>
      <w:r w:rsidRPr="00B606D3">
        <w:t xml:space="preserve">   (eds Jean-Adolphe Rondal, Juan Perera, &amp; Donna Spiker)  191-204 (Cambridge University Press, 2011).</w:t>
      </w:r>
    </w:p>
    <w:p w14:paraId="3F475D89" w14:textId="36A679E4" w:rsidR="00B606D3" w:rsidRPr="00B606D3" w:rsidRDefault="00B606D3" w:rsidP="00B606D3">
      <w:pPr>
        <w:pStyle w:val="EndNoteBibliography"/>
        <w:spacing w:after="0"/>
        <w:ind w:left="720" w:hanging="720"/>
      </w:pPr>
      <w:r w:rsidRPr="00B606D3">
        <w:t>5</w:t>
      </w:r>
      <w:r w:rsidRPr="00B606D3">
        <w:tab/>
        <w:t xml:space="preserve">Clark, E. V. How language acquisition builds on cognitive development. </w:t>
      </w:r>
      <w:r w:rsidRPr="00B606D3">
        <w:rPr>
          <w:i/>
        </w:rPr>
        <w:t>Trends in Cognitive Sciences</w:t>
      </w:r>
      <w:r w:rsidRPr="00B606D3">
        <w:t xml:space="preserve"> </w:t>
      </w:r>
      <w:r w:rsidRPr="00B606D3">
        <w:rPr>
          <w:b/>
        </w:rPr>
        <w:t>8</w:t>
      </w:r>
      <w:r w:rsidRPr="00B606D3">
        <w:t xml:space="preserve">, 472-478 (2004). </w:t>
      </w:r>
      <w:hyperlink r:id="rId10" w:history="1">
        <w:r w:rsidRPr="00B606D3">
          <w:rPr>
            <w:rStyle w:val="Hyperlink"/>
          </w:rPr>
          <w:t>https://doi.org/10.1016/j.tics.2004.08.012</w:t>
        </w:r>
      </w:hyperlink>
    </w:p>
    <w:p w14:paraId="5770FA2B" w14:textId="6442BB4B" w:rsidR="00B606D3" w:rsidRPr="00B606D3" w:rsidRDefault="00B606D3" w:rsidP="00B606D3">
      <w:pPr>
        <w:pStyle w:val="EndNoteBibliography"/>
        <w:spacing w:after="0"/>
        <w:ind w:left="720" w:hanging="720"/>
      </w:pPr>
      <w:r w:rsidRPr="00B606D3">
        <w:t>6</w:t>
      </w:r>
      <w:r w:rsidRPr="00B606D3">
        <w:tab/>
        <w:t xml:space="preserve">O'toole, C. &amp; Chiat, S. Symbolic functioning and language development in children with Down syndrome. </w:t>
      </w:r>
      <w:r w:rsidRPr="00B606D3">
        <w:rPr>
          <w:i/>
        </w:rPr>
        <w:t>International Journal of Language &amp; Communication Disorders</w:t>
      </w:r>
      <w:r w:rsidRPr="00B606D3">
        <w:t xml:space="preserve"> </w:t>
      </w:r>
      <w:r w:rsidRPr="00B606D3">
        <w:rPr>
          <w:b/>
        </w:rPr>
        <w:t>41</w:t>
      </w:r>
      <w:r w:rsidRPr="00B606D3">
        <w:t xml:space="preserve">, 155-171 (2006). </w:t>
      </w:r>
      <w:hyperlink r:id="rId11" w:history="1">
        <w:r w:rsidRPr="00B606D3">
          <w:rPr>
            <w:rStyle w:val="Hyperlink"/>
          </w:rPr>
          <w:t>https://doi.org/10.1080/13682820500221600</w:t>
        </w:r>
      </w:hyperlink>
    </w:p>
    <w:p w14:paraId="6612D7D2" w14:textId="77777777" w:rsidR="00B606D3" w:rsidRPr="00B606D3" w:rsidRDefault="00B606D3" w:rsidP="00B606D3">
      <w:pPr>
        <w:pStyle w:val="EndNoteBibliography"/>
        <w:spacing w:after="0"/>
        <w:ind w:left="720" w:hanging="720"/>
      </w:pPr>
      <w:r w:rsidRPr="00B606D3">
        <w:t>7</w:t>
      </w:r>
      <w:r w:rsidRPr="00B606D3">
        <w:tab/>
        <w:t xml:space="preserve">Wetherby, A. M. &amp; Prizant, B. M. </w:t>
      </w:r>
      <w:r w:rsidRPr="00B606D3">
        <w:rPr>
          <w:i/>
        </w:rPr>
        <w:t>Communication and Symbolic Behavior Scales Developmental Profile</w:t>
      </w:r>
      <w:r w:rsidRPr="00B606D3">
        <w:t>.  (Paul H Brookes Publishing Co., 2002).</w:t>
      </w:r>
    </w:p>
    <w:p w14:paraId="1B7417AA" w14:textId="77777777" w:rsidR="00B606D3" w:rsidRPr="00B606D3" w:rsidRDefault="00B606D3" w:rsidP="00B606D3">
      <w:pPr>
        <w:pStyle w:val="EndNoteBibliography"/>
        <w:spacing w:after="0"/>
        <w:ind w:left="720" w:hanging="720"/>
      </w:pPr>
      <w:r w:rsidRPr="00B606D3">
        <w:t>8</w:t>
      </w:r>
      <w:r w:rsidRPr="00B606D3">
        <w:tab/>
        <w:t xml:space="preserve">Sparrow, S. S., Cicchetti, D. V. &amp; Saulnier, C. A. </w:t>
      </w:r>
      <w:r w:rsidRPr="00B606D3">
        <w:rPr>
          <w:i/>
        </w:rPr>
        <w:t>Vineland-3: Vineland Adaptive Behavior Scales – Third Edition</w:t>
      </w:r>
      <w:r w:rsidRPr="00B606D3">
        <w:t>.  (Pearson Inc., 2016).</w:t>
      </w:r>
    </w:p>
    <w:p w14:paraId="101F07D3" w14:textId="77777777" w:rsidR="00B606D3" w:rsidRPr="00B606D3" w:rsidRDefault="00B606D3" w:rsidP="00B606D3">
      <w:pPr>
        <w:pStyle w:val="EndNoteBibliography"/>
        <w:spacing w:after="0"/>
        <w:ind w:left="720" w:hanging="720"/>
      </w:pPr>
      <w:r w:rsidRPr="00B606D3">
        <w:t>9</w:t>
      </w:r>
      <w:r w:rsidRPr="00B606D3">
        <w:tab/>
        <w:t xml:space="preserve">Bayley, N. &amp; Aylward, G. P. </w:t>
      </w:r>
      <w:r w:rsidRPr="00B606D3">
        <w:rPr>
          <w:i/>
        </w:rPr>
        <w:t>Bayley Scales of Infant and Toddler Development</w:t>
      </w:r>
      <w:r w:rsidRPr="00B606D3">
        <w:t>. 4th edn,  (NCS Pearson, 2019).</w:t>
      </w:r>
    </w:p>
    <w:p w14:paraId="7B957754" w14:textId="5BA70275" w:rsidR="00B606D3" w:rsidRPr="00B606D3" w:rsidRDefault="00B606D3" w:rsidP="00B606D3">
      <w:pPr>
        <w:pStyle w:val="EndNoteBibliography"/>
        <w:ind w:left="720" w:hanging="720"/>
      </w:pPr>
      <w:r w:rsidRPr="00B606D3">
        <w:t>10</w:t>
      </w:r>
      <w:r w:rsidRPr="00B606D3">
        <w:tab/>
        <w:t xml:space="preserve">Dykens, E. M., Hodapp, R. M. &amp; Evans, D. W. Profiles and development of adaptive behavior in children with Down syndrome. </w:t>
      </w:r>
      <w:r w:rsidRPr="00B606D3">
        <w:rPr>
          <w:i/>
        </w:rPr>
        <w:t>Down Syndrome Research and Practice</w:t>
      </w:r>
      <w:r w:rsidRPr="00B606D3">
        <w:t xml:space="preserve"> </w:t>
      </w:r>
      <w:r w:rsidRPr="00B606D3">
        <w:rPr>
          <w:b/>
        </w:rPr>
        <w:t>9</w:t>
      </w:r>
      <w:r w:rsidRPr="00B606D3">
        <w:t xml:space="preserve">, 45-50 (2006). </w:t>
      </w:r>
      <w:hyperlink r:id="rId12" w:history="1">
        <w:r w:rsidRPr="00B606D3">
          <w:rPr>
            <w:rStyle w:val="Hyperlink"/>
          </w:rPr>
          <w:t>https://doi.org/10.3104/reprints.293</w:t>
        </w:r>
      </w:hyperlink>
    </w:p>
    <w:p w14:paraId="799227C7" w14:textId="57D0AD4E" w:rsidR="004D1077" w:rsidRPr="004D1077" w:rsidRDefault="00D8140A" w:rsidP="004D1077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val="en-CA"/>
          <w14:ligatures w14:val="none"/>
        </w:rPr>
      </w:pPr>
      <w:r w:rsidRPr="008E0EF3">
        <w:rPr>
          <w:rFonts w:ascii="Calibri" w:hAnsi="Calibri" w:cs="Calibri"/>
          <w:sz w:val="20"/>
          <w:szCs w:val="20"/>
        </w:rPr>
        <w:fldChar w:fldCharType="end"/>
      </w:r>
      <w:r w:rsidR="008E0EF3">
        <w:rPr>
          <w:rFonts w:ascii="Calibri" w:eastAsia="Calibri" w:hAnsi="Calibri" w:cs="Times New Roman"/>
          <w:kern w:val="0"/>
          <w:sz w:val="20"/>
          <w:szCs w:val="20"/>
          <w:vertAlign w:val="superscript"/>
          <w14:ligatures w14:val="none"/>
        </w:rPr>
        <w:t>a</w:t>
      </w:r>
      <w:r w:rsidR="004D1077" w:rsidRPr="004D107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r w:rsidR="004D1077" w:rsidRPr="004D1077">
        <w:rPr>
          <w:rFonts w:ascii="Calibri" w:eastAsia="Calibri" w:hAnsi="Calibri" w:cs="Times New Roman"/>
          <w:kern w:val="0"/>
          <w:sz w:val="20"/>
          <w:szCs w:val="20"/>
          <w:lang w:val="en-CA"/>
          <w14:ligatures w14:val="none"/>
        </w:rPr>
        <w:t>Colorado State University</w:t>
      </w:r>
    </w:p>
    <w:p w14:paraId="0480F503" w14:textId="5D8AC7B7" w:rsidR="00E474AA" w:rsidRPr="003C5F8A" w:rsidRDefault="008E0EF3" w:rsidP="00E474AA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>
        <w:rPr>
          <w:rFonts w:ascii="Calibri" w:eastAsia="Calibri" w:hAnsi="Calibri" w:cs="Times New Roman"/>
          <w:kern w:val="0"/>
          <w:sz w:val="20"/>
          <w:szCs w:val="20"/>
          <w:vertAlign w:val="superscript"/>
          <w14:ligatures w14:val="none"/>
        </w:rPr>
        <w:t>b</w:t>
      </w:r>
      <w:r w:rsidR="004D1077" w:rsidRPr="004D107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r w:rsidR="003C5F8A" w:rsidRPr="00337B96">
        <w:rPr>
          <w:rFonts w:ascii="Calibri" w:eastAsia="Calibri" w:hAnsi="Calibri" w:cs="Times New Roman"/>
          <w:kern w:val="0"/>
          <w:sz w:val="20"/>
          <w:szCs w:val="20"/>
          <w:lang w:val="en-CA"/>
          <w14:ligatures w14:val="none"/>
        </w:rPr>
        <w:t>University of California, San Francisco</w:t>
      </w:r>
    </w:p>
    <w:p w14:paraId="6978DA73" w14:textId="77777777" w:rsidR="00955943" w:rsidRDefault="00DB4F02" w:rsidP="008E0EF3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>
        <w:rPr>
          <w:rFonts w:ascii="Calibri" w:eastAsia="Calibri" w:hAnsi="Calibri" w:cs="Times New Roman"/>
          <w:kern w:val="0"/>
          <w:sz w:val="20"/>
          <w:szCs w:val="20"/>
          <w:vertAlign w:val="superscript"/>
          <w14:ligatures w14:val="none"/>
        </w:rPr>
        <w:t>c</w:t>
      </w:r>
      <w:r w:rsidR="00C111F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r w:rsidR="00955943" w:rsidRPr="00955943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University of Colorado-Anschutz Medical Campus</w:t>
      </w:r>
    </w:p>
    <w:p w14:paraId="6D23BC09" w14:textId="5820FD65" w:rsidR="00DA6300" w:rsidRPr="00DA6300" w:rsidRDefault="00955943" w:rsidP="008E0EF3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>
        <w:rPr>
          <w:rFonts w:ascii="Calibri" w:eastAsia="Calibri" w:hAnsi="Calibri" w:cs="Times New Roman"/>
          <w:kern w:val="0"/>
          <w:sz w:val="20"/>
          <w:szCs w:val="20"/>
          <w:vertAlign w:val="superscript"/>
          <w14:ligatures w14:val="none"/>
        </w:rPr>
        <w:t xml:space="preserve">d </w:t>
      </w:r>
      <w:r w:rsidR="00A2295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Boston </w:t>
      </w:r>
      <w:r w:rsidR="00DA630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Children’s Hospital</w:t>
      </w:r>
    </w:p>
    <w:p w14:paraId="20743001" w14:textId="673DA683" w:rsidR="0071007D" w:rsidRDefault="00DA6300" w:rsidP="008E0E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Calibri" w:eastAsia="Calibri" w:hAnsi="Calibri" w:cs="Times New Roman"/>
          <w:kern w:val="0"/>
          <w:sz w:val="20"/>
          <w:szCs w:val="20"/>
          <w:vertAlign w:val="superscript"/>
          <w14:ligatures w14:val="none"/>
        </w:rPr>
        <w:t>e</w:t>
      </w:r>
      <w:r w:rsidRPr="00DA630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r w:rsidR="003C5F8A" w:rsidRPr="00C111FD">
        <w:rPr>
          <w:rFonts w:ascii="Calibri" w:eastAsia="Calibri" w:hAnsi="Calibri" w:cs="Times New Roman"/>
          <w:kern w:val="0"/>
          <w:sz w:val="20"/>
          <w:szCs w:val="20"/>
          <w:lang w:val="en-CA"/>
          <w14:ligatures w14:val="none"/>
        </w:rPr>
        <w:t>Anna</w:t>
      </w:r>
      <w:r w:rsidR="003C5F8A" w:rsidRPr="00E474AA">
        <w:rPr>
          <w:rFonts w:ascii="Calibri" w:eastAsia="Calibri" w:hAnsi="Calibri" w:cs="Times New Roman"/>
          <w:kern w:val="0"/>
          <w:sz w:val="20"/>
          <w:szCs w:val="20"/>
          <w:lang w:val="en-CA"/>
          <w14:ligatures w14:val="none"/>
        </w:rPr>
        <w:t xml:space="preserve"> and John J. Sie Center for Down Syndrome, Children’s Hospital Colorado</w:t>
      </w:r>
    </w:p>
    <w:p w14:paraId="22207DCA" w14:textId="77777777" w:rsidR="27BBC289" w:rsidRDefault="27BBC289" w:rsidP="27BBC289">
      <w:pPr>
        <w:spacing w:after="0" w:line="240" w:lineRule="auto"/>
        <w:rPr>
          <w:rFonts w:ascii="Times New Roman" w:hAnsi="Times New Roman" w:cs="Times New Roman"/>
        </w:rPr>
      </w:pPr>
    </w:p>
    <w:sectPr w:rsidR="27BBC289" w:rsidSect="00BF3501">
      <w:headerReference w:type="default" r:id="rId13"/>
      <w:footerReference w:type="default" r:id="rId14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263C9" w14:textId="77777777" w:rsidR="002B076C" w:rsidRDefault="002B076C" w:rsidP="000A549E">
      <w:pPr>
        <w:spacing w:after="0" w:line="240" w:lineRule="auto"/>
      </w:pPr>
      <w:r>
        <w:separator/>
      </w:r>
    </w:p>
  </w:endnote>
  <w:endnote w:type="continuationSeparator" w:id="0">
    <w:p w14:paraId="792CA2DB" w14:textId="77777777" w:rsidR="002B076C" w:rsidRDefault="002B076C" w:rsidP="000A549E">
      <w:pPr>
        <w:spacing w:after="0" w:line="240" w:lineRule="auto"/>
      </w:pPr>
      <w:r>
        <w:continuationSeparator/>
      </w:r>
    </w:p>
  </w:endnote>
  <w:endnote w:type="continuationNotice" w:id="1">
    <w:p w14:paraId="3B410332" w14:textId="77777777" w:rsidR="002B076C" w:rsidRDefault="002B07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efa">
    <w:altName w:val="Ebrima"/>
    <w:charset w:val="00"/>
    <w:family w:val="auto"/>
    <w:pitch w:val="variable"/>
    <w:sig w:usb0="800000AF" w:usb1="4000204B" w:usb2="000008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="Calibri" w:hAnsi="Calibri" w:cs="Times New Roman"/>
        <w:b/>
        <w:bCs/>
        <w:kern w:val="0"/>
        <w14:ligatures w14:val="none"/>
      </w:rPr>
      <w:id w:val="-13160350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1669238322"/>
          <w:docPartObj>
            <w:docPartGallery w:val="Page Numbers (Top of Page)"/>
            <w:docPartUnique/>
          </w:docPartObj>
        </w:sdtPr>
        <w:sdtContent>
          <w:p w14:paraId="0848BF50" w14:textId="1C8C677B" w:rsidR="004C4445" w:rsidRPr="004C4445" w:rsidRDefault="004C4445" w:rsidP="004C4445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4C444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  <w:t xml:space="preserve">Page </w:t>
            </w:r>
            <w:r w:rsidRPr="004C4445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fldChar w:fldCharType="begin"/>
            </w:r>
            <w:r w:rsidRPr="004C4445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instrText xml:space="preserve"> PAGE </w:instrText>
            </w:r>
            <w:r w:rsidRPr="004C4445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fldChar w:fldCharType="separate"/>
            </w:r>
            <w:r w:rsidRPr="004C4445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>1</w:t>
            </w:r>
            <w:r w:rsidRPr="004C4445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fldChar w:fldCharType="end"/>
            </w:r>
            <w:r w:rsidRPr="004C444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  <w:t xml:space="preserve"> of </w:t>
            </w:r>
            <w:r w:rsidRPr="004C4445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fldChar w:fldCharType="begin"/>
            </w:r>
            <w:r w:rsidRPr="004C4445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instrText xml:space="preserve"> NUMPAGES  </w:instrText>
            </w:r>
            <w:r w:rsidRPr="004C4445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fldChar w:fldCharType="separate"/>
            </w:r>
            <w:r w:rsidRPr="004C4445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>1</w:t>
            </w:r>
            <w:r w:rsidRPr="004C4445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74525" w14:textId="77777777" w:rsidR="002B076C" w:rsidRDefault="002B076C" w:rsidP="000A549E">
      <w:pPr>
        <w:spacing w:after="0" w:line="240" w:lineRule="auto"/>
      </w:pPr>
      <w:r>
        <w:separator/>
      </w:r>
    </w:p>
  </w:footnote>
  <w:footnote w:type="continuationSeparator" w:id="0">
    <w:p w14:paraId="14627C1B" w14:textId="77777777" w:rsidR="002B076C" w:rsidRDefault="002B076C" w:rsidP="000A549E">
      <w:pPr>
        <w:spacing w:after="0" w:line="240" w:lineRule="auto"/>
      </w:pPr>
      <w:r>
        <w:continuationSeparator/>
      </w:r>
    </w:p>
  </w:footnote>
  <w:footnote w:type="continuationNotice" w:id="1">
    <w:p w14:paraId="2A7CFDA1" w14:textId="77777777" w:rsidR="002B076C" w:rsidRDefault="002B07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88197" w14:textId="32E25C6C" w:rsidR="000A549E" w:rsidRDefault="000A549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073CD" wp14:editId="0F6FF7E2">
              <wp:simplePos x="0" y="0"/>
              <wp:positionH relativeFrom="margin">
                <wp:align>right</wp:align>
              </wp:positionH>
              <wp:positionV relativeFrom="paragraph">
                <wp:posOffset>-228600</wp:posOffset>
              </wp:positionV>
              <wp:extent cx="6648450" cy="457200"/>
              <wp:effectExtent l="0" t="0" r="19050" b="19050"/>
              <wp:wrapNone/>
              <wp:docPr id="1700856521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8450" cy="4572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444C6A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Kefa" w:hAnsi="Kefa"/>
                              <w:b/>
                              <w:color w:val="444C6A"/>
                              <w:kern w:val="0"/>
                              <w:sz w:val="36"/>
                              <w:szCs w:val="36"/>
                              <w14:ligatures w14:val="none"/>
                            </w:rPr>
                            <w:alias w:val="Title"/>
                            <w:id w:val="-103819533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E6A890A" w14:textId="6CB30679" w:rsidR="000A549E" w:rsidRPr="007B4CE7" w:rsidRDefault="00B945EA" w:rsidP="000A549E">
                              <w:pPr>
                                <w:pStyle w:val="Header"/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</w:pPr>
                              <w:r w:rsidRPr="00B945EA">
                                <w:rPr>
                                  <w:rFonts w:ascii="Kefa" w:hAnsi="Kefa"/>
                                  <w:b/>
                                  <w:color w:val="444C6A"/>
                                  <w:kern w:val="0"/>
                                  <w:sz w:val="36"/>
                                  <w:szCs w:val="36"/>
                                  <w14:ligatures w14:val="none"/>
                                </w:rPr>
                                <w:t>2025 Gatlinburg Conference Poster Submission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10073CD" id="Rectangle 197" o:spid="_x0000_s1026" style="position:absolute;margin-left:472.3pt;margin-top:-18pt;width:523.5pt;height:36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" filled="f" strokecolor="#444c6a" strokeweight="2pt">
              <v:textbox>
                <w:txbxContent>
                  <w:sdt>
                    <w:sdtPr>
                      <w:rPr>
                        <w:rFonts w:ascii="Kefa" w:hAnsi="Kefa"/>
                        <w:b/>
                        <w:color w:val="444C6A"/>
                        <w:kern w:val="0"/>
                        <w:sz w:val="36"/>
                        <w:szCs w:val="36"/>
                        <w14:ligatures w14:val="none"/>
                      </w:rPr>
                      <w:alias w:val="Title"/>
                      <w:id w:val="-1038195335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7E6A890A" w14:textId="6CB30679" w:rsidR="000A549E" w:rsidRPr="007B4CE7" w:rsidRDefault="00B945EA" w:rsidP="000A549E">
                        <w:pPr>
                          <w:pStyle w:val="Header"/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</w:pPr>
                        <w:r w:rsidRPr="00B945EA">
                          <w:rPr>
                            <w:rFonts w:ascii="Kefa" w:hAnsi="Kefa"/>
                            <w:b/>
                            <w:color w:val="444C6A"/>
                            <w:kern w:val="0"/>
                            <w:sz w:val="36"/>
                            <w:szCs w:val="36"/>
                            <w14:ligatures w14:val="none"/>
                          </w:rPr>
                          <w:t>2025 Gatlinburg Conference Poster Submission</w:t>
                        </w:r>
                      </w:p>
                    </w:sdtContent>
                  </w:sdt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a55s0r2o2e9srees9b505dirfz0r9pwv00v&quot;&gt;Pinks EndNote Library&lt;record-ids&gt;&lt;item&gt;102&lt;/item&gt;&lt;item&gt;136&lt;/item&gt;&lt;item&gt;139&lt;/item&gt;&lt;item&gt;142&lt;/item&gt;&lt;item&gt;144&lt;/item&gt;&lt;item&gt;145&lt;/item&gt;&lt;item&gt;146&lt;/item&gt;&lt;item&gt;149&lt;/item&gt;&lt;item&gt;150&lt;/item&gt;&lt;item&gt;151&lt;/item&gt;&lt;/record-ids&gt;&lt;/item&gt;&lt;/Libraries&gt;"/>
    <w:docVar w:name="EN.UseJSCitationFormat" w:val="False"/>
  </w:docVars>
  <w:rsids>
    <w:rsidRoot w:val="0071007D"/>
    <w:rsid w:val="000015FD"/>
    <w:rsid w:val="00003157"/>
    <w:rsid w:val="00003A84"/>
    <w:rsid w:val="000040D1"/>
    <w:rsid w:val="000071BF"/>
    <w:rsid w:val="00012785"/>
    <w:rsid w:val="000168C0"/>
    <w:rsid w:val="000214A8"/>
    <w:rsid w:val="00035888"/>
    <w:rsid w:val="00035F97"/>
    <w:rsid w:val="00036437"/>
    <w:rsid w:val="0005255E"/>
    <w:rsid w:val="00055B9E"/>
    <w:rsid w:val="00061AC7"/>
    <w:rsid w:val="00062C1B"/>
    <w:rsid w:val="00063E3E"/>
    <w:rsid w:val="00064DA0"/>
    <w:rsid w:val="00066375"/>
    <w:rsid w:val="000730F4"/>
    <w:rsid w:val="00074E44"/>
    <w:rsid w:val="00075D92"/>
    <w:rsid w:val="00076E28"/>
    <w:rsid w:val="000815A6"/>
    <w:rsid w:val="000844D4"/>
    <w:rsid w:val="000873A0"/>
    <w:rsid w:val="0009020E"/>
    <w:rsid w:val="0009261F"/>
    <w:rsid w:val="00096490"/>
    <w:rsid w:val="000A2B51"/>
    <w:rsid w:val="000A45AB"/>
    <w:rsid w:val="000A549E"/>
    <w:rsid w:val="000A6857"/>
    <w:rsid w:val="000A79D0"/>
    <w:rsid w:val="000B14D5"/>
    <w:rsid w:val="000B243B"/>
    <w:rsid w:val="000C0FA1"/>
    <w:rsid w:val="000C5172"/>
    <w:rsid w:val="000C5A5A"/>
    <w:rsid w:val="000C605B"/>
    <w:rsid w:val="000D103A"/>
    <w:rsid w:val="000D26C5"/>
    <w:rsid w:val="000D27D8"/>
    <w:rsid w:val="000D3EC8"/>
    <w:rsid w:val="000E0647"/>
    <w:rsid w:val="000E3295"/>
    <w:rsid w:val="000E3E79"/>
    <w:rsid w:val="000F0212"/>
    <w:rsid w:val="000F04F1"/>
    <w:rsid w:val="000F0993"/>
    <w:rsid w:val="000F4FCE"/>
    <w:rsid w:val="001118DC"/>
    <w:rsid w:val="001225B2"/>
    <w:rsid w:val="00136CCC"/>
    <w:rsid w:val="0014429D"/>
    <w:rsid w:val="0014439E"/>
    <w:rsid w:val="00147602"/>
    <w:rsid w:val="00156C9F"/>
    <w:rsid w:val="00157552"/>
    <w:rsid w:val="00161C3B"/>
    <w:rsid w:val="0017000A"/>
    <w:rsid w:val="00170CE9"/>
    <w:rsid w:val="00171952"/>
    <w:rsid w:val="00173640"/>
    <w:rsid w:val="001748BA"/>
    <w:rsid w:val="00182090"/>
    <w:rsid w:val="0018214E"/>
    <w:rsid w:val="0019030D"/>
    <w:rsid w:val="001931D0"/>
    <w:rsid w:val="00194003"/>
    <w:rsid w:val="001A1DA7"/>
    <w:rsid w:val="001A6EBD"/>
    <w:rsid w:val="001B3D76"/>
    <w:rsid w:val="001B5EBA"/>
    <w:rsid w:val="001C507C"/>
    <w:rsid w:val="001C58BF"/>
    <w:rsid w:val="001C7736"/>
    <w:rsid w:val="001D3422"/>
    <w:rsid w:val="001D39F4"/>
    <w:rsid w:val="001E141C"/>
    <w:rsid w:val="001E55AD"/>
    <w:rsid w:val="001F20FC"/>
    <w:rsid w:val="001F3DB5"/>
    <w:rsid w:val="001F51AC"/>
    <w:rsid w:val="00201E6D"/>
    <w:rsid w:val="00203081"/>
    <w:rsid w:val="00205968"/>
    <w:rsid w:val="00206935"/>
    <w:rsid w:val="00211B23"/>
    <w:rsid w:val="002128F8"/>
    <w:rsid w:val="00213339"/>
    <w:rsid w:val="00214F05"/>
    <w:rsid w:val="00216DD6"/>
    <w:rsid w:val="0022260B"/>
    <w:rsid w:val="00224032"/>
    <w:rsid w:val="002352FC"/>
    <w:rsid w:val="0025285C"/>
    <w:rsid w:val="0025475C"/>
    <w:rsid w:val="00260077"/>
    <w:rsid w:val="00265E9B"/>
    <w:rsid w:val="00267409"/>
    <w:rsid w:val="00267A8C"/>
    <w:rsid w:val="002700CD"/>
    <w:rsid w:val="002704C4"/>
    <w:rsid w:val="0027063F"/>
    <w:rsid w:val="00270D80"/>
    <w:rsid w:val="0027228D"/>
    <w:rsid w:val="002851B0"/>
    <w:rsid w:val="002877E8"/>
    <w:rsid w:val="002908A5"/>
    <w:rsid w:val="0029554F"/>
    <w:rsid w:val="002959DD"/>
    <w:rsid w:val="002B076C"/>
    <w:rsid w:val="002B41A5"/>
    <w:rsid w:val="002B7765"/>
    <w:rsid w:val="002B7839"/>
    <w:rsid w:val="002C3F7F"/>
    <w:rsid w:val="002C4DE3"/>
    <w:rsid w:val="002C58D4"/>
    <w:rsid w:val="002C6A2C"/>
    <w:rsid w:val="002C76A2"/>
    <w:rsid w:val="002D3C53"/>
    <w:rsid w:val="002D5693"/>
    <w:rsid w:val="002D658D"/>
    <w:rsid w:val="002D7BBA"/>
    <w:rsid w:val="002E247F"/>
    <w:rsid w:val="002F1BEE"/>
    <w:rsid w:val="0030437A"/>
    <w:rsid w:val="003119CF"/>
    <w:rsid w:val="003121ED"/>
    <w:rsid w:val="0031400C"/>
    <w:rsid w:val="003160B3"/>
    <w:rsid w:val="00320443"/>
    <w:rsid w:val="003311FF"/>
    <w:rsid w:val="00337B96"/>
    <w:rsid w:val="00337DBF"/>
    <w:rsid w:val="00340E1F"/>
    <w:rsid w:val="00342107"/>
    <w:rsid w:val="00343C4F"/>
    <w:rsid w:val="00350DB0"/>
    <w:rsid w:val="00357B62"/>
    <w:rsid w:val="003749CA"/>
    <w:rsid w:val="003761AB"/>
    <w:rsid w:val="00376D13"/>
    <w:rsid w:val="00383F7B"/>
    <w:rsid w:val="00395A83"/>
    <w:rsid w:val="003A127C"/>
    <w:rsid w:val="003A1DB3"/>
    <w:rsid w:val="003A42F4"/>
    <w:rsid w:val="003A73F5"/>
    <w:rsid w:val="003B290A"/>
    <w:rsid w:val="003B506D"/>
    <w:rsid w:val="003C0DBC"/>
    <w:rsid w:val="003C0E91"/>
    <w:rsid w:val="003C3B4B"/>
    <w:rsid w:val="003C5F8A"/>
    <w:rsid w:val="003C751F"/>
    <w:rsid w:val="003D1237"/>
    <w:rsid w:val="003D3A24"/>
    <w:rsid w:val="003E62D3"/>
    <w:rsid w:val="003E6D86"/>
    <w:rsid w:val="003E7155"/>
    <w:rsid w:val="003E7F6B"/>
    <w:rsid w:val="003F48E1"/>
    <w:rsid w:val="003F6483"/>
    <w:rsid w:val="003F75DA"/>
    <w:rsid w:val="00404C8C"/>
    <w:rsid w:val="00406A1A"/>
    <w:rsid w:val="00410EE5"/>
    <w:rsid w:val="00411257"/>
    <w:rsid w:val="0041551F"/>
    <w:rsid w:val="0042372F"/>
    <w:rsid w:val="00424824"/>
    <w:rsid w:val="00434382"/>
    <w:rsid w:val="0044050D"/>
    <w:rsid w:val="00441973"/>
    <w:rsid w:val="004441B5"/>
    <w:rsid w:val="00444DA9"/>
    <w:rsid w:val="00445240"/>
    <w:rsid w:val="004476B7"/>
    <w:rsid w:val="004514EE"/>
    <w:rsid w:val="00456082"/>
    <w:rsid w:val="00457934"/>
    <w:rsid w:val="00464327"/>
    <w:rsid w:val="004849BD"/>
    <w:rsid w:val="004864CC"/>
    <w:rsid w:val="0049341A"/>
    <w:rsid w:val="0049774E"/>
    <w:rsid w:val="004977C3"/>
    <w:rsid w:val="004A1AB0"/>
    <w:rsid w:val="004A50EB"/>
    <w:rsid w:val="004B03AD"/>
    <w:rsid w:val="004B29EF"/>
    <w:rsid w:val="004B3E7D"/>
    <w:rsid w:val="004B4588"/>
    <w:rsid w:val="004B659A"/>
    <w:rsid w:val="004B6E14"/>
    <w:rsid w:val="004B7860"/>
    <w:rsid w:val="004C4445"/>
    <w:rsid w:val="004D1077"/>
    <w:rsid w:val="004D5598"/>
    <w:rsid w:val="004D6C64"/>
    <w:rsid w:val="004E0325"/>
    <w:rsid w:val="004E09BD"/>
    <w:rsid w:val="004F054D"/>
    <w:rsid w:val="004F0A39"/>
    <w:rsid w:val="004F5639"/>
    <w:rsid w:val="004F64D0"/>
    <w:rsid w:val="004F758E"/>
    <w:rsid w:val="00506CF9"/>
    <w:rsid w:val="00510D1A"/>
    <w:rsid w:val="005122BC"/>
    <w:rsid w:val="00513B34"/>
    <w:rsid w:val="00516485"/>
    <w:rsid w:val="0051693A"/>
    <w:rsid w:val="00520420"/>
    <w:rsid w:val="00520BF7"/>
    <w:rsid w:val="0052247F"/>
    <w:rsid w:val="005263E9"/>
    <w:rsid w:val="00527806"/>
    <w:rsid w:val="00527826"/>
    <w:rsid w:val="0053038C"/>
    <w:rsid w:val="00534ACD"/>
    <w:rsid w:val="0054062D"/>
    <w:rsid w:val="0054278E"/>
    <w:rsid w:val="00543D0F"/>
    <w:rsid w:val="005478BA"/>
    <w:rsid w:val="00550722"/>
    <w:rsid w:val="00557F86"/>
    <w:rsid w:val="0056016A"/>
    <w:rsid w:val="00562671"/>
    <w:rsid w:val="0056309F"/>
    <w:rsid w:val="00563697"/>
    <w:rsid w:val="00564EFF"/>
    <w:rsid w:val="0057137C"/>
    <w:rsid w:val="005721A4"/>
    <w:rsid w:val="005760FE"/>
    <w:rsid w:val="0059273A"/>
    <w:rsid w:val="005940A8"/>
    <w:rsid w:val="00596889"/>
    <w:rsid w:val="005A01B0"/>
    <w:rsid w:val="005A146D"/>
    <w:rsid w:val="005A169F"/>
    <w:rsid w:val="005A3233"/>
    <w:rsid w:val="005A388A"/>
    <w:rsid w:val="005B0D9E"/>
    <w:rsid w:val="005B39F5"/>
    <w:rsid w:val="005B56BF"/>
    <w:rsid w:val="005B7033"/>
    <w:rsid w:val="005C1670"/>
    <w:rsid w:val="005C1CAC"/>
    <w:rsid w:val="005C4CD6"/>
    <w:rsid w:val="005D02B1"/>
    <w:rsid w:val="005D0E3D"/>
    <w:rsid w:val="005D5CC4"/>
    <w:rsid w:val="005D77CC"/>
    <w:rsid w:val="005D7ABE"/>
    <w:rsid w:val="005E50E2"/>
    <w:rsid w:val="005F0898"/>
    <w:rsid w:val="005F3119"/>
    <w:rsid w:val="005F3A49"/>
    <w:rsid w:val="005F467A"/>
    <w:rsid w:val="00600117"/>
    <w:rsid w:val="006038A0"/>
    <w:rsid w:val="006131A0"/>
    <w:rsid w:val="00613964"/>
    <w:rsid w:val="00621488"/>
    <w:rsid w:val="00622C75"/>
    <w:rsid w:val="00623A7B"/>
    <w:rsid w:val="00625C1B"/>
    <w:rsid w:val="0063084E"/>
    <w:rsid w:val="006308DE"/>
    <w:rsid w:val="0063395C"/>
    <w:rsid w:val="00634149"/>
    <w:rsid w:val="00642A92"/>
    <w:rsid w:val="00643F00"/>
    <w:rsid w:val="006511FC"/>
    <w:rsid w:val="00652178"/>
    <w:rsid w:val="00652734"/>
    <w:rsid w:val="00656102"/>
    <w:rsid w:val="0065625B"/>
    <w:rsid w:val="006567C8"/>
    <w:rsid w:val="006643B8"/>
    <w:rsid w:val="006705F4"/>
    <w:rsid w:val="006732F4"/>
    <w:rsid w:val="006759A1"/>
    <w:rsid w:val="00677035"/>
    <w:rsid w:val="00677452"/>
    <w:rsid w:val="006806E6"/>
    <w:rsid w:val="006808BE"/>
    <w:rsid w:val="00680930"/>
    <w:rsid w:val="006813F5"/>
    <w:rsid w:val="00684CB9"/>
    <w:rsid w:val="00687100"/>
    <w:rsid w:val="00687E01"/>
    <w:rsid w:val="00692707"/>
    <w:rsid w:val="0069441E"/>
    <w:rsid w:val="006A2497"/>
    <w:rsid w:val="006A3DB0"/>
    <w:rsid w:val="006A46F6"/>
    <w:rsid w:val="006B1A11"/>
    <w:rsid w:val="006B686B"/>
    <w:rsid w:val="006C0871"/>
    <w:rsid w:val="006C0E4E"/>
    <w:rsid w:val="006C23D7"/>
    <w:rsid w:val="006C2DCD"/>
    <w:rsid w:val="006C442F"/>
    <w:rsid w:val="006C744D"/>
    <w:rsid w:val="006C76DB"/>
    <w:rsid w:val="006D0C4B"/>
    <w:rsid w:val="006D10F4"/>
    <w:rsid w:val="006D7029"/>
    <w:rsid w:val="006E012B"/>
    <w:rsid w:val="006E3875"/>
    <w:rsid w:val="006E402A"/>
    <w:rsid w:val="006F0EAA"/>
    <w:rsid w:val="006F60BC"/>
    <w:rsid w:val="006F7170"/>
    <w:rsid w:val="0070044C"/>
    <w:rsid w:val="0070046E"/>
    <w:rsid w:val="00706DEC"/>
    <w:rsid w:val="00706FE4"/>
    <w:rsid w:val="0071007D"/>
    <w:rsid w:val="00710197"/>
    <w:rsid w:val="00712487"/>
    <w:rsid w:val="0072023D"/>
    <w:rsid w:val="0072177E"/>
    <w:rsid w:val="0072719E"/>
    <w:rsid w:val="00727205"/>
    <w:rsid w:val="00730E43"/>
    <w:rsid w:val="00737072"/>
    <w:rsid w:val="007412ED"/>
    <w:rsid w:val="00743761"/>
    <w:rsid w:val="0075054D"/>
    <w:rsid w:val="007506C9"/>
    <w:rsid w:val="0075189A"/>
    <w:rsid w:val="00757E02"/>
    <w:rsid w:val="007629F5"/>
    <w:rsid w:val="007659EA"/>
    <w:rsid w:val="00765FF1"/>
    <w:rsid w:val="007762E5"/>
    <w:rsid w:val="0077702A"/>
    <w:rsid w:val="007771A4"/>
    <w:rsid w:val="007804D1"/>
    <w:rsid w:val="00782DAE"/>
    <w:rsid w:val="007840C7"/>
    <w:rsid w:val="00784A4B"/>
    <w:rsid w:val="00786D24"/>
    <w:rsid w:val="00787138"/>
    <w:rsid w:val="00790AAD"/>
    <w:rsid w:val="007A2EDF"/>
    <w:rsid w:val="007A7CD3"/>
    <w:rsid w:val="007B0974"/>
    <w:rsid w:val="007B7301"/>
    <w:rsid w:val="007B7366"/>
    <w:rsid w:val="007C309D"/>
    <w:rsid w:val="007C3F18"/>
    <w:rsid w:val="007C6D08"/>
    <w:rsid w:val="007D2CAD"/>
    <w:rsid w:val="007D3C6C"/>
    <w:rsid w:val="007D4CBA"/>
    <w:rsid w:val="007D68EE"/>
    <w:rsid w:val="007D70E1"/>
    <w:rsid w:val="007E05F6"/>
    <w:rsid w:val="007E4DFF"/>
    <w:rsid w:val="007F40B8"/>
    <w:rsid w:val="007F4538"/>
    <w:rsid w:val="007F4A98"/>
    <w:rsid w:val="007F5880"/>
    <w:rsid w:val="007F7476"/>
    <w:rsid w:val="007F749E"/>
    <w:rsid w:val="00803CC2"/>
    <w:rsid w:val="00803DE0"/>
    <w:rsid w:val="00803F09"/>
    <w:rsid w:val="00811C74"/>
    <w:rsid w:val="008124DD"/>
    <w:rsid w:val="00816034"/>
    <w:rsid w:val="00821BED"/>
    <w:rsid w:val="008225D0"/>
    <w:rsid w:val="00823B22"/>
    <w:rsid w:val="00823B95"/>
    <w:rsid w:val="008244D4"/>
    <w:rsid w:val="00824500"/>
    <w:rsid w:val="0082586F"/>
    <w:rsid w:val="00825AE4"/>
    <w:rsid w:val="00831F59"/>
    <w:rsid w:val="00832755"/>
    <w:rsid w:val="00832B2A"/>
    <w:rsid w:val="00835490"/>
    <w:rsid w:val="0084012B"/>
    <w:rsid w:val="00842629"/>
    <w:rsid w:val="008438CD"/>
    <w:rsid w:val="00843BA5"/>
    <w:rsid w:val="00845FFE"/>
    <w:rsid w:val="00847F5E"/>
    <w:rsid w:val="00850504"/>
    <w:rsid w:val="008605C8"/>
    <w:rsid w:val="00866A11"/>
    <w:rsid w:val="008703BA"/>
    <w:rsid w:val="0087275B"/>
    <w:rsid w:val="008765C8"/>
    <w:rsid w:val="00877E24"/>
    <w:rsid w:val="00880E6E"/>
    <w:rsid w:val="00882C5E"/>
    <w:rsid w:val="008843B6"/>
    <w:rsid w:val="00886D73"/>
    <w:rsid w:val="00890228"/>
    <w:rsid w:val="00891972"/>
    <w:rsid w:val="008921A7"/>
    <w:rsid w:val="00893234"/>
    <w:rsid w:val="008967F5"/>
    <w:rsid w:val="008A55C3"/>
    <w:rsid w:val="008A6AF4"/>
    <w:rsid w:val="008A6B5F"/>
    <w:rsid w:val="008A716F"/>
    <w:rsid w:val="008B051F"/>
    <w:rsid w:val="008B38A6"/>
    <w:rsid w:val="008B460D"/>
    <w:rsid w:val="008B6DAE"/>
    <w:rsid w:val="008C315D"/>
    <w:rsid w:val="008C6EAB"/>
    <w:rsid w:val="008C77D7"/>
    <w:rsid w:val="008C7B06"/>
    <w:rsid w:val="008D4B4E"/>
    <w:rsid w:val="008D61C6"/>
    <w:rsid w:val="008E0EF3"/>
    <w:rsid w:val="008E1A20"/>
    <w:rsid w:val="008E24F0"/>
    <w:rsid w:val="008E65C4"/>
    <w:rsid w:val="008E6A89"/>
    <w:rsid w:val="008F05C0"/>
    <w:rsid w:val="008F4126"/>
    <w:rsid w:val="008F67F1"/>
    <w:rsid w:val="009028C6"/>
    <w:rsid w:val="00912355"/>
    <w:rsid w:val="00915230"/>
    <w:rsid w:val="00921AAC"/>
    <w:rsid w:val="009223F4"/>
    <w:rsid w:val="00923265"/>
    <w:rsid w:val="009321CC"/>
    <w:rsid w:val="0093502C"/>
    <w:rsid w:val="0093685C"/>
    <w:rsid w:val="009444EE"/>
    <w:rsid w:val="00951752"/>
    <w:rsid w:val="0095374A"/>
    <w:rsid w:val="00953765"/>
    <w:rsid w:val="00953D99"/>
    <w:rsid w:val="00955943"/>
    <w:rsid w:val="0096154B"/>
    <w:rsid w:val="00961B16"/>
    <w:rsid w:val="00963AD0"/>
    <w:rsid w:val="00964453"/>
    <w:rsid w:val="00970511"/>
    <w:rsid w:val="00970DDA"/>
    <w:rsid w:val="00971187"/>
    <w:rsid w:val="00971DC8"/>
    <w:rsid w:val="00975957"/>
    <w:rsid w:val="009777FC"/>
    <w:rsid w:val="00982DA9"/>
    <w:rsid w:val="00992B8A"/>
    <w:rsid w:val="009A5DA9"/>
    <w:rsid w:val="009A601D"/>
    <w:rsid w:val="009A71D5"/>
    <w:rsid w:val="009B013F"/>
    <w:rsid w:val="009B4F51"/>
    <w:rsid w:val="009B6EC4"/>
    <w:rsid w:val="009B7511"/>
    <w:rsid w:val="009C06ED"/>
    <w:rsid w:val="009C096D"/>
    <w:rsid w:val="009C23F7"/>
    <w:rsid w:val="009C2BB6"/>
    <w:rsid w:val="009C4CFB"/>
    <w:rsid w:val="009D2E64"/>
    <w:rsid w:val="009D38E7"/>
    <w:rsid w:val="009D784B"/>
    <w:rsid w:val="009E5AA6"/>
    <w:rsid w:val="009F7FA6"/>
    <w:rsid w:val="00A011D9"/>
    <w:rsid w:val="00A031BA"/>
    <w:rsid w:val="00A0329C"/>
    <w:rsid w:val="00A13C7A"/>
    <w:rsid w:val="00A15F5A"/>
    <w:rsid w:val="00A22956"/>
    <w:rsid w:val="00A27670"/>
    <w:rsid w:val="00A32A40"/>
    <w:rsid w:val="00A35F61"/>
    <w:rsid w:val="00A37030"/>
    <w:rsid w:val="00A50F3B"/>
    <w:rsid w:val="00A513E3"/>
    <w:rsid w:val="00A5412B"/>
    <w:rsid w:val="00A541AF"/>
    <w:rsid w:val="00A55744"/>
    <w:rsid w:val="00A600AA"/>
    <w:rsid w:val="00A65A43"/>
    <w:rsid w:val="00A71867"/>
    <w:rsid w:val="00A72245"/>
    <w:rsid w:val="00A73787"/>
    <w:rsid w:val="00A80C89"/>
    <w:rsid w:val="00A81411"/>
    <w:rsid w:val="00A8175D"/>
    <w:rsid w:val="00A8665B"/>
    <w:rsid w:val="00A87E2E"/>
    <w:rsid w:val="00A90EB3"/>
    <w:rsid w:val="00A97674"/>
    <w:rsid w:val="00AA6057"/>
    <w:rsid w:val="00AA7936"/>
    <w:rsid w:val="00AB1300"/>
    <w:rsid w:val="00AB1819"/>
    <w:rsid w:val="00AB20FD"/>
    <w:rsid w:val="00AC7AED"/>
    <w:rsid w:val="00AD230C"/>
    <w:rsid w:val="00AD44E5"/>
    <w:rsid w:val="00AD6EDC"/>
    <w:rsid w:val="00AE12DE"/>
    <w:rsid w:val="00AF1AC7"/>
    <w:rsid w:val="00AF75DE"/>
    <w:rsid w:val="00B01AB5"/>
    <w:rsid w:val="00B03C4C"/>
    <w:rsid w:val="00B056CF"/>
    <w:rsid w:val="00B14289"/>
    <w:rsid w:val="00B23F53"/>
    <w:rsid w:val="00B2439B"/>
    <w:rsid w:val="00B33D83"/>
    <w:rsid w:val="00B417F4"/>
    <w:rsid w:val="00B442E9"/>
    <w:rsid w:val="00B606D3"/>
    <w:rsid w:val="00B6249F"/>
    <w:rsid w:val="00B6385E"/>
    <w:rsid w:val="00B63EA3"/>
    <w:rsid w:val="00B73082"/>
    <w:rsid w:val="00B73EE4"/>
    <w:rsid w:val="00B76A0A"/>
    <w:rsid w:val="00B84B2C"/>
    <w:rsid w:val="00B90F02"/>
    <w:rsid w:val="00B9209C"/>
    <w:rsid w:val="00B92CE7"/>
    <w:rsid w:val="00B945EA"/>
    <w:rsid w:val="00B9614D"/>
    <w:rsid w:val="00BA088C"/>
    <w:rsid w:val="00BA557E"/>
    <w:rsid w:val="00BA73E0"/>
    <w:rsid w:val="00BB153C"/>
    <w:rsid w:val="00BB3647"/>
    <w:rsid w:val="00BB7606"/>
    <w:rsid w:val="00BC0C1E"/>
    <w:rsid w:val="00BC16DD"/>
    <w:rsid w:val="00BC3629"/>
    <w:rsid w:val="00BC3C7E"/>
    <w:rsid w:val="00BC3F11"/>
    <w:rsid w:val="00BC56AD"/>
    <w:rsid w:val="00BC5E36"/>
    <w:rsid w:val="00BD095D"/>
    <w:rsid w:val="00BD3318"/>
    <w:rsid w:val="00BD4422"/>
    <w:rsid w:val="00BD5B21"/>
    <w:rsid w:val="00BD775F"/>
    <w:rsid w:val="00BE0D5B"/>
    <w:rsid w:val="00BE387E"/>
    <w:rsid w:val="00BE3CB6"/>
    <w:rsid w:val="00BF0FB3"/>
    <w:rsid w:val="00BF3501"/>
    <w:rsid w:val="00BF55FF"/>
    <w:rsid w:val="00C00637"/>
    <w:rsid w:val="00C01494"/>
    <w:rsid w:val="00C05C25"/>
    <w:rsid w:val="00C07970"/>
    <w:rsid w:val="00C111FD"/>
    <w:rsid w:val="00C117AB"/>
    <w:rsid w:val="00C129BF"/>
    <w:rsid w:val="00C12DFF"/>
    <w:rsid w:val="00C1327C"/>
    <w:rsid w:val="00C14BAC"/>
    <w:rsid w:val="00C15835"/>
    <w:rsid w:val="00C16DE5"/>
    <w:rsid w:val="00C36FCA"/>
    <w:rsid w:val="00C41AE1"/>
    <w:rsid w:val="00C42230"/>
    <w:rsid w:val="00C449A1"/>
    <w:rsid w:val="00C4541F"/>
    <w:rsid w:val="00C4589C"/>
    <w:rsid w:val="00C45B7C"/>
    <w:rsid w:val="00C46AE2"/>
    <w:rsid w:val="00C47FE7"/>
    <w:rsid w:val="00C61433"/>
    <w:rsid w:val="00C61C5F"/>
    <w:rsid w:val="00C638DC"/>
    <w:rsid w:val="00C65F98"/>
    <w:rsid w:val="00C808A9"/>
    <w:rsid w:val="00C83F6B"/>
    <w:rsid w:val="00C84C7B"/>
    <w:rsid w:val="00C90ADD"/>
    <w:rsid w:val="00C91B18"/>
    <w:rsid w:val="00C950F4"/>
    <w:rsid w:val="00C96D2F"/>
    <w:rsid w:val="00CA1253"/>
    <w:rsid w:val="00CA3A77"/>
    <w:rsid w:val="00CA43B7"/>
    <w:rsid w:val="00CC37B0"/>
    <w:rsid w:val="00CC6960"/>
    <w:rsid w:val="00CD2260"/>
    <w:rsid w:val="00CD7C21"/>
    <w:rsid w:val="00CE2CFB"/>
    <w:rsid w:val="00CE4173"/>
    <w:rsid w:val="00CF21EE"/>
    <w:rsid w:val="00CF328F"/>
    <w:rsid w:val="00D10DEA"/>
    <w:rsid w:val="00D136EF"/>
    <w:rsid w:val="00D1440E"/>
    <w:rsid w:val="00D168C4"/>
    <w:rsid w:val="00D179D4"/>
    <w:rsid w:val="00D212D1"/>
    <w:rsid w:val="00D2503D"/>
    <w:rsid w:val="00D3012E"/>
    <w:rsid w:val="00D35B17"/>
    <w:rsid w:val="00D35E61"/>
    <w:rsid w:val="00D43DF8"/>
    <w:rsid w:val="00D51E80"/>
    <w:rsid w:val="00D57E99"/>
    <w:rsid w:val="00D633ED"/>
    <w:rsid w:val="00D70099"/>
    <w:rsid w:val="00D72561"/>
    <w:rsid w:val="00D7359B"/>
    <w:rsid w:val="00D7549F"/>
    <w:rsid w:val="00D75F76"/>
    <w:rsid w:val="00D8140A"/>
    <w:rsid w:val="00D8238E"/>
    <w:rsid w:val="00D836DD"/>
    <w:rsid w:val="00D87E98"/>
    <w:rsid w:val="00D97F2C"/>
    <w:rsid w:val="00DA5DA1"/>
    <w:rsid w:val="00DA6300"/>
    <w:rsid w:val="00DB2FD1"/>
    <w:rsid w:val="00DB4002"/>
    <w:rsid w:val="00DB4F02"/>
    <w:rsid w:val="00DB5D13"/>
    <w:rsid w:val="00DD2CA6"/>
    <w:rsid w:val="00DD3C9E"/>
    <w:rsid w:val="00DD3D9F"/>
    <w:rsid w:val="00DE029B"/>
    <w:rsid w:val="00DE7266"/>
    <w:rsid w:val="00DF0028"/>
    <w:rsid w:val="00DF087C"/>
    <w:rsid w:val="00DF6E43"/>
    <w:rsid w:val="00E043A6"/>
    <w:rsid w:val="00E043FC"/>
    <w:rsid w:val="00E10D83"/>
    <w:rsid w:val="00E13E59"/>
    <w:rsid w:val="00E23E74"/>
    <w:rsid w:val="00E41777"/>
    <w:rsid w:val="00E42F64"/>
    <w:rsid w:val="00E443B1"/>
    <w:rsid w:val="00E4575E"/>
    <w:rsid w:val="00E471B8"/>
    <w:rsid w:val="00E474AA"/>
    <w:rsid w:val="00E50711"/>
    <w:rsid w:val="00E531FF"/>
    <w:rsid w:val="00E53F2C"/>
    <w:rsid w:val="00E55112"/>
    <w:rsid w:val="00E558DB"/>
    <w:rsid w:val="00E62C45"/>
    <w:rsid w:val="00E72D65"/>
    <w:rsid w:val="00E80523"/>
    <w:rsid w:val="00E80676"/>
    <w:rsid w:val="00E8068E"/>
    <w:rsid w:val="00E847AE"/>
    <w:rsid w:val="00E8703A"/>
    <w:rsid w:val="00E87AB4"/>
    <w:rsid w:val="00E961A1"/>
    <w:rsid w:val="00E96BC9"/>
    <w:rsid w:val="00EA364A"/>
    <w:rsid w:val="00EA4190"/>
    <w:rsid w:val="00EB2C65"/>
    <w:rsid w:val="00EB463C"/>
    <w:rsid w:val="00EB471D"/>
    <w:rsid w:val="00EB4DE0"/>
    <w:rsid w:val="00EB66FB"/>
    <w:rsid w:val="00EC219E"/>
    <w:rsid w:val="00EC4EDF"/>
    <w:rsid w:val="00EC64A3"/>
    <w:rsid w:val="00EC67EC"/>
    <w:rsid w:val="00ED0C6E"/>
    <w:rsid w:val="00ED28BD"/>
    <w:rsid w:val="00ED2D68"/>
    <w:rsid w:val="00ED3239"/>
    <w:rsid w:val="00ED3AEE"/>
    <w:rsid w:val="00ED4A6B"/>
    <w:rsid w:val="00EE2EEE"/>
    <w:rsid w:val="00EE3DD2"/>
    <w:rsid w:val="00EE4D5C"/>
    <w:rsid w:val="00EF5908"/>
    <w:rsid w:val="00EF601F"/>
    <w:rsid w:val="00EF64A0"/>
    <w:rsid w:val="00EF726A"/>
    <w:rsid w:val="00EF73C7"/>
    <w:rsid w:val="00EF7595"/>
    <w:rsid w:val="00F00FB7"/>
    <w:rsid w:val="00F01BBF"/>
    <w:rsid w:val="00F037F5"/>
    <w:rsid w:val="00F139E2"/>
    <w:rsid w:val="00F16826"/>
    <w:rsid w:val="00F20892"/>
    <w:rsid w:val="00F25AAD"/>
    <w:rsid w:val="00F26F39"/>
    <w:rsid w:val="00F273EF"/>
    <w:rsid w:val="00F27FA9"/>
    <w:rsid w:val="00F30B9B"/>
    <w:rsid w:val="00F33ADE"/>
    <w:rsid w:val="00F41B1B"/>
    <w:rsid w:val="00F47EFB"/>
    <w:rsid w:val="00F51569"/>
    <w:rsid w:val="00F530BF"/>
    <w:rsid w:val="00F535A1"/>
    <w:rsid w:val="00F56199"/>
    <w:rsid w:val="00F64123"/>
    <w:rsid w:val="00F656AD"/>
    <w:rsid w:val="00F66FD3"/>
    <w:rsid w:val="00F72036"/>
    <w:rsid w:val="00F746F4"/>
    <w:rsid w:val="00F75859"/>
    <w:rsid w:val="00F77E15"/>
    <w:rsid w:val="00F86091"/>
    <w:rsid w:val="00F87B0F"/>
    <w:rsid w:val="00F9308C"/>
    <w:rsid w:val="00F94724"/>
    <w:rsid w:val="00F97A8A"/>
    <w:rsid w:val="00FA2EBE"/>
    <w:rsid w:val="00FA4842"/>
    <w:rsid w:val="00FB442D"/>
    <w:rsid w:val="00FB45DB"/>
    <w:rsid w:val="00FB5DD9"/>
    <w:rsid w:val="00FB5FAB"/>
    <w:rsid w:val="00FC28F4"/>
    <w:rsid w:val="00FC3C2D"/>
    <w:rsid w:val="00FC57FC"/>
    <w:rsid w:val="00FD35D4"/>
    <w:rsid w:val="00FD39E8"/>
    <w:rsid w:val="00FD45A6"/>
    <w:rsid w:val="00FD7401"/>
    <w:rsid w:val="00FE3275"/>
    <w:rsid w:val="00FE3C04"/>
    <w:rsid w:val="00FF20CF"/>
    <w:rsid w:val="00FF4070"/>
    <w:rsid w:val="00FF51DB"/>
    <w:rsid w:val="00FF6934"/>
    <w:rsid w:val="04D91774"/>
    <w:rsid w:val="05B1BBDF"/>
    <w:rsid w:val="08C68131"/>
    <w:rsid w:val="193F2E27"/>
    <w:rsid w:val="1A2B7350"/>
    <w:rsid w:val="1AB40A07"/>
    <w:rsid w:val="201EDC2A"/>
    <w:rsid w:val="27BBC289"/>
    <w:rsid w:val="2882E315"/>
    <w:rsid w:val="2AB859A6"/>
    <w:rsid w:val="2CE86AE5"/>
    <w:rsid w:val="2FF8736A"/>
    <w:rsid w:val="31EA7B8F"/>
    <w:rsid w:val="35310E70"/>
    <w:rsid w:val="3AE311F5"/>
    <w:rsid w:val="3E778312"/>
    <w:rsid w:val="3E932A1C"/>
    <w:rsid w:val="5198F864"/>
    <w:rsid w:val="52D2902F"/>
    <w:rsid w:val="55EDA489"/>
    <w:rsid w:val="57403264"/>
    <w:rsid w:val="57DBC28A"/>
    <w:rsid w:val="59238E01"/>
    <w:rsid w:val="59C59789"/>
    <w:rsid w:val="5FA6F4B0"/>
    <w:rsid w:val="6224C777"/>
    <w:rsid w:val="629680F7"/>
    <w:rsid w:val="639C56D1"/>
    <w:rsid w:val="686E2C9E"/>
    <w:rsid w:val="68B42C98"/>
    <w:rsid w:val="6945BD9A"/>
    <w:rsid w:val="69A373CD"/>
    <w:rsid w:val="6C190B42"/>
    <w:rsid w:val="6D06CF97"/>
    <w:rsid w:val="72A6110A"/>
    <w:rsid w:val="73C7A531"/>
    <w:rsid w:val="74A4ECF0"/>
    <w:rsid w:val="766A9087"/>
    <w:rsid w:val="79AC18C5"/>
    <w:rsid w:val="7A18D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30E7A0"/>
  <w15:chartTrackingRefBased/>
  <w15:docId w15:val="{20AF164B-4ECB-4C47-8764-EBD695FF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0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0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0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0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0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0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0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0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0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0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0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0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0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0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0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0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0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0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0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0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0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07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5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49E"/>
  </w:style>
  <w:style w:type="paragraph" w:styleId="Footer">
    <w:name w:val="footer"/>
    <w:basedOn w:val="Normal"/>
    <w:link w:val="FooterChar"/>
    <w:uiPriority w:val="99"/>
    <w:unhideWhenUsed/>
    <w:rsid w:val="000A5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49E"/>
  </w:style>
  <w:style w:type="character" w:styleId="CommentReference">
    <w:name w:val="annotation reference"/>
    <w:basedOn w:val="DefaultParagraphFont"/>
    <w:uiPriority w:val="99"/>
    <w:semiHidden/>
    <w:unhideWhenUsed/>
    <w:rsid w:val="00877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7E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7E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E2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474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4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7936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4A1AB0"/>
    <w:rPr>
      <w:color w:val="2B579A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1118DC"/>
    <w:pPr>
      <w:spacing w:after="0"/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118DC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1118DC"/>
    <w:pPr>
      <w:spacing w:line="240" w:lineRule="auto"/>
      <w:jc w:val="both"/>
    </w:pPr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1118DC"/>
    <w:rPr>
      <w:rFonts w:ascii="Calibri" w:hAnsi="Calibri" w:cs="Calibri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09/1368282090327794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104/reprints.29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80/136828205002216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16/j.tics.2004.08.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46/annurev.ps.39.020188.00024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D1F71-39BC-4B31-9A4C-4455325D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2479</Words>
  <Characters>14135</Characters>
  <Application>Microsoft Office Word</Application>
  <DocSecurity>4</DocSecurity>
  <Lines>117</Lines>
  <Paragraphs>33</Paragraphs>
  <ScaleCrop>false</ScaleCrop>
  <Company/>
  <LinksUpToDate>false</LinksUpToDate>
  <CharactersWithSpaces>16581</CharactersWithSpaces>
  <SharedDoc>false</SharedDoc>
  <HLinks>
    <vt:vector size="30" baseType="variant">
      <vt:variant>
        <vt:i4>1704023</vt:i4>
      </vt:variant>
      <vt:variant>
        <vt:i4>41</vt:i4>
      </vt:variant>
      <vt:variant>
        <vt:i4>0</vt:i4>
      </vt:variant>
      <vt:variant>
        <vt:i4>5</vt:i4>
      </vt:variant>
      <vt:variant>
        <vt:lpwstr>https://doi.org/10.3104/reprints.293</vt:lpwstr>
      </vt:variant>
      <vt:variant>
        <vt:lpwstr/>
      </vt:variant>
      <vt:variant>
        <vt:i4>1769564</vt:i4>
      </vt:variant>
      <vt:variant>
        <vt:i4>38</vt:i4>
      </vt:variant>
      <vt:variant>
        <vt:i4>0</vt:i4>
      </vt:variant>
      <vt:variant>
        <vt:i4>5</vt:i4>
      </vt:variant>
      <vt:variant>
        <vt:lpwstr>https://doi.org/10.1080/13682820500221600</vt:lpwstr>
      </vt:variant>
      <vt:variant>
        <vt:lpwstr/>
      </vt:variant>
      <vt:variant>
        <vt:i4>3145764</vt:i4>
      </vt:variant>
      <vt:variant>
        <vt:i4>35</vt:i4>
      </vt:variant>
      <vt:variant>
        <vt:i4>0</vt:i4>
      </vt:variant>
      <vt:variant>
        <vt:i4>5</vt:i4>
      </vt:variant>
      <vt:variant>
        <vt:lpwstr>https://doi.org/10.1016/j.tics.2004.08.012</vt:lpwstr>
      </vt:variant>
      <vt:variant>
        <vt:lpwstr/>
      </vt:variant>
      <vt:variant>
        <vt:i4>2490405</vt:i4>
      </vt:variant>
      <vt:variant>
        <vt:i4>32</vt:i4>
      </vt:variant>
      <vt:variant>
        <vt:i4>0</vt:i4>
      </vt:variant>
      <vt:variant>
        <vt:i4>5</vt:i4>
      </vt:variant>
      <vt:variant>
        <vt:lpwstr>https://doi.org/10.1146/annurev.ps.39.020188.000245</vt:lpwstr>
      </vt:variant>
      <vt:variant>
        <vt:lpwstr/>
      </vt:variant>
      <vt:variant>
        <vt:i4>1245265</vt:i4>
      </vt:variant>
      <vt:variant>
        <vt:i4>29</vt:i4>
      </vt:variant>
      <vt:variant>
        <vt:i4>0</vt:i4>
      </vt:variant>
      <vt:variant>
        <vt:i4>5</vt:i4>
      </vt:variant>
      <vt:variant>
        <vt:lpwstr>https://doi.org/10.3109/13682820903277944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Gatlinburg Conference Poster Submission</dc:title>
  <dc:subject/>
  <dc:creator>Pinks,Miranda</dc:creator>
  <cp:keywords/>
  <dc:description/>
  <cp:lastModifiedBy>Van Deusen,Kaylyn</cp:lastModifiedBy>
  <cp:revision>216</cp:revision>
  <dcterms:created xsi:type="dcterms:W3CDTF">2024-10-28T21:34:00Z</dcterms:created>
  <dcterms:modified xsi:type="dcterms:W3CDTF">2024-11-05T00:34:00Z</dcterms:modified>
</cp:coreProperties>
</file>