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02968707" w:rsidR="003D6244" w:rsidRPr="009E00A7" w:rsidRDefault="003D6244" w:rsidP="003D6244">
      <w:pPr>
        <w:rPr>
          <w:sz w:val="20"/>
          <w:szCs w:val="20"/>
        </w:rPr>
      </w:pPr>
      <w:r w:rsidRPr="009E00A7">
        <w:rPr>
          <w:b/>
          <w:sz w:val="20"/>
          <w:szCs w:val="20"/>
        </w:rPr>
        <w:t>Title</w:t>
      </w:r>
      <w:r w:rsidRPr="009E00A7">
        <w:rPr>
          <w:sz w:val="20"/>
          <w:szCs w:val="20"/>
        </w:rPr>
        <w:t xml:space="preserve">: </w:t>
      </w:r>
      <w:r w:rsidR="005D0598">
        <w:rPr>
          <w:sz w:val="20"/>
          <w:szCs w:val="20"/>
        </w:rPr>
        <w:t>Sensory Integration Therapy in Autism: A Systematic Review and Meta-Analysis</w:t>
      </w:r>
    </w:p>
    <w:p w14:paraId="7AC50371" w14:textId="5B08D750"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5D0598">
        <w:rPr>
          <w:sz w:val="20"/>
          <w:szCs w:val="20"/>
        </w:rPr>
        <w:t>Ellie Pazol</w:t>
      </w:r>
      <w:r w:rsidR="005D0598" w:rsidRPr="00D54F33">
        <w:rPr>
          <w:sz w:val="20"/>
          <w:szCs w:val="20"/>
          <w:vertAlign w:val="superscript"/>
        </w:rPr>
        <w:t>1</w:t>
      </w:r>
      <w:r w:rsidR="005D0598" w:rsidRPr="00622F1E">
        <w:rPr>
          <w:sz w:val="20"/>
          <w:szCs w:val="20"/>
        </w:rPr>
        <w:t>*</w:t>
      </w:r>
      <w:r w:rsidR="005D0598">
        <w:rPr>
          <w:sz w:val="20"/>
          <w:szCs w:val="20"/>
        </w:rPr>
        <w:t>, Jacob I. Feldman</w:t>
      </w:r>
      <w:r w:rsidR="005D0598">
        <w:rPr>
          <w:sz w:val="20"/>
          <w:szCs w:val="20"/>
          <w:vertAlign w:val="superscript"/>
        </w:rPr>
        <w:t>2,3</w:t>
      </w:r>
      <w:r w:rsidR="005D0598">
        <w:rPr>
          <w:sz w:val="20"/>
          <w:szCs w:val="20"/>
        </w:rPr>
        <w:t>*, Elyse Jenkins</w:t>
      </w:r>
      <w:r w:rsidR="005D0598">
        <w:rPr>
          <w:sz w:val="20"/>
          <w:szCs w:val="20"/>
          <w:vertAlign w:val="superscript"/>
        </w:rPr>
        <w:t>4</w:t>
      </w:r>
      <w:r w:rsidR="005D0598">
        <w:rPr>
          <w:sz w:val="20"/>
          <w:szCs w:val="20"/>
        </w:rPr>
        <w:t>, Francesca Bivens</w:t>
      </w:r>
      <w:r w:rsidR="005D0598" w:rsidRPr="00D54F33">
        <w:rPr>
          <w:sz w:val="20"/>
          <w:szCs w:val="20"/>
          <w:vertAlign w:val="superscript"/>
        </w:rPr>
        <w:t>1</w:t>
      </w:r>
      <w:r w:rsidR="005D0598">
        <w:rPr>
          <w:sz w:val="20"/>
          <w:szCs w:val="20"/>
        </w:rPr>
        <w:t>, Jennifer E. Markfeld</w:t>
      </w:r>
      <w:r w:rsidR="005D0598" w:rsidRPr="00D54F33">
        <w:rPr>
          <w:sz w:val="20"/>
          <w:szCs w:val="20"/>
          <w:vertAlign w:val="superscript"/>
        </w:rPr>
        <w:t>1</w:t>
      </w:r>
      <w:r w:rsidR="005D0598">
        <w:rPr>
          <w:sz w:val="20"/>
          <w:szCs w:val="20"/>
          <w:vertAlign w:val="superscript"/>
        </w:rPr>
        <w:t>,3</w:t>
      </w:r>
      <w:r w:rsidR="005D0598">
        <w:rPr>
          <w:sz w:val="20"/>
          <w:szCs w:val="20"/>
        </w:rPr>
        <w:t>, Shannon C. LaPoint</w:t>
      </w:r>
      <w:r w:rsidR="005D0598" w:rsidRPr="008D5C39">
        <w:rPr>
          <w:sz w:val="20"/>
          <w:szCs w:val="20"/>
          <w:vertAlign w:val="superscript"/>
        </w:rPr>
        <w:t>5</w:t>
      </w:r>
      <w:r w:rsidR="005D0598">
        <w:rPr>
          <w:sz w:val="20"/>
          <w:szCs w:val="20"/>
        </w:rPr>
        <w:t xml:space="preserve">, </w:t>
      </w:r>
      <w:proofErr w:type="spellStart"/>
      <w:r w:rsidR="005D0598">
        <w:rPr>
          <w:sz w:val="20"/>
          <w:szCs w:val="20"/>
        </w:rPr>
        <w:t>Micheal</w:t>
      </w:r>
      <w:proofErr w:type="spellEnd"/>
      <w:r w:rsidR="005D0598">
        <w:rPr>
          <w:sz w:val="20"/>
          <w:szCs w:val="20"/>
        </w:rPr>
        <w:t xml:space="preserve"> Sandbank</w:t>
      </w:r>
      <w:r w:rsidR="005D0598">
        <w:rPr>
          <w:sz w:val="20"/>
          <w:szCs w:val="20"/>
          <w:vertAlign w:val="superscript"/>
        </w:rPr>
        <w:t>4</w:t>
      </w:r>
      <w:r w:rsidR="005D0598">
        <w:rPr>
          <w:sz w:val="20"/>
          <w:szCs w:val="20"/>
        </w:rPr>
        <w:t>, and Tiffany Woynaroski</w:t>
      </w:r>
      <w:r w:rsidR="005D0598">
        <w:rPr>
          <w:sz w:val="20"/>
          <w:szCs w:val="20"/>
          <w:vertAlign w:val="superscript"/>
        </w:rPr>
        <w:t>2,3,6-8</w:t>
      </w:r>
    </w:p>
    <w:p w14:paraId="77FE6733" w14:textId="0A80CA9D"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5D0598" w:rsidRPr="0095372D">
        <w:rPr>
          <w:iCs/>
          <w:color w:val="000000"/>
          <w:sz w:val="20"/>
          <w:szCs w:val="20"/>
        </w:rPr>
        <w:t xml:space="preserve">Sensory differences are a key feature of autism that affect people throughout the lifespan. </w:t>
      </w:r>
      <w:r w:rsidR="005D0598">
        <w:rPr>
          <w:iCs/>
          <w:color w:val="000000"/>
          <w:sz w:val="20"/>
          <w:szCs w:val="20"/>
        </w:rPr>
        <w:t>T</w:t>
      </w:r>
      <w:r w:rsidR="005D0598" w:rsidRPr="0095372D">
        <w:rPr>
          <w:iCs/>
          <w:color w:val="000000"/>
          <w:sz w:val="20"/>
          <w:szCs w:val="20"/>
        </w:rPr>
        <w:t>herapies addressing sensory differences</w:t>
      </w:r>
      <w:r w:rsidR="005D0598">
        <w:rPr>
          <w:iCs/>
          <w:color w:val="000000"/>
          <w:sz w:val="20"/>
          <w:szCs w:val="20"/>
        </w:rPr>
        <w:t xml:space="preserve"> may </w:t>
      </w:r>
      <w:r w:rsidR="005D0598" w:rsidRPr="0095372D">
        <w:rPr>
          <w:iCs/>
          <w:color w:val="000000"/>
          <w:sz w:val="20"/>
          <w:szCs w:val="20"/>
        </w:rPr>
        <w:t xml:space="preserve">help autistic individuals </w:t>
      </w:r>
      <w:r w:rsidR="005D0598">
        <w:rPr>
          <w:iCs/>
          <w:color w:val="000000"/>
          <w:sz w:val="20"/>
          <w:szCs w:val="20"/>
        </w:rPr>
        <w:t xml:space="preserve">improve their participation </w:t>
      </w:r>
      <w:r w:rsidR="005D0598" w:rsidRPr="0095372D">
        <w:rPr>
          <w:iCs/>
          <w:color w:val="000000"/>
          <w:sz w:val="20"/>
          <w:szCs w:val="20"/>
        </w:rPr>
        <w:t xml:space="preserve">in </w:t>
      </w:r>
      <w:r w:rsidR="005D0598">
        <w:rPr>
          <w:iCs/>
          <w:color w:val="000000"/>
          <w:sz w:val="20"/>
          <w:szCs w:val="20"/>
        </w:rPr>
        <w:t xml:space="preserve">daily life. Sensory integration therapy has received a lot of attention within the occupational therapy literature as putative evidence-based practice for these sensory differences, though critiques have been levied at this approach from within and outside the occupational therapy community. Sensory integration therapy has the potential to broadly impact development, </w:t>
      </w:r>
      <w:r w:rsidR="005D0598" w:rsidRPr="0095372D">
        <w:rPr>
          <w:iCs/>
          <w:color w:val="000000"/>
          <w:sz w:val="20"/>
          <w:szCs w:val="20"/>
        </w:rPr>
        <w:t xml:space="preserve">as sensory disruptions early in life have the potential to produce cascading effects </w:t>
      </w:r>
      <w:r w:rsidR="005D0598">
        <w:rPr>
          <w:iCs/>
          <w:color w:val="000000"/>
          <w:sz w:val="20"/>
          <w:szCs w:val="20"/>
        </w:rPr>
        <w:t>o</w:t>
      </w:r>
      <w:r w:rsidR="005D0598" w:rsidRPr="0095372D">
        <w:rPr>
          <w:iCs/>
          <w:color w:val="000000"/>
          <w:sz w:val="20"/>
          <w:szCs w:val="20"/>
        </w:rPr>
        <w:t>nto higher order domains</w:t>
      </w:r>
      <w:r w:rsidR="005D0598">
        <w:rPr>
          <w:iCs/>
          <w:color w:val="000000"/>
          <w:sz w:val="20"/>
          <w:szCs w:val="20"/>
        </w:rPr>
        <w:t>, such as social communication and language</w:t>
      </w:r>
      <w:r w:rsidR="005D0598" w:rsidRPr="0095372D">
        <w:rPr>
          <w:iCs/>
          <w:color w:val="000000"/>
          <w:sz w:val="20"/>
          <w:szCs w:val="20"/>
        </w:rPr>
        <w:t xml:space="preserve">. </w:t>
      </w:r>
      <w:r w:rsidR="005D0598">
        <w:rPr>
          <w:iCs/>
          <w:color w:val="000000"/>
          <w:sz w:val="20"/>
          <w:szCs w:val="20"/>
        </w:rPr>
        <w:t xml:space="preserve">Although we </w:t>
      </w:r>
      <w:r w:rsidR="005D0598" w:rsidRPr="0095372D">
        <w:rPr>
          <w:iCs/>
          <w:color w:val="000000"/>
          <w:sz w:val="20"/>
          <w:szCs w:val="20"/>
        </w:rPr>
        <w:t>recent</w:t>
      </w:r>
      <w:r w:rsidR="005D0598">
        <w:rPr>
          <w:iCs/>
          <w:color w:val="000000"/>
          <w:sz w:val="20"/>
          <w:szCs w:val="20"/>
        </w:rPr>
        <w:t>ly conducted a large-scale</w:t>
      </w:r>
      <w:r w:rsidR="005D0598" w:rsidRPr="0095372D">
        <w:rPr>
          <w:iCs/>
          <w:color w:val="000000"/>
          <w:sz w:val="20"/>
          <w:szCs w:val="20"/>
        </w:rPr>
        <w:t xml:space="preserve"> meta-analysis </w:t>
      </w:r>
      <w:r w:rsidR="005D0598">
        <w:rPr>
          <w:iCs/>
          <w:color w:val="000000"/>
          <w:sz w:val="20"/>
          <w:szCs w:val="20"/>
        </w:rPr>
        <w:t xml:space="preserve">of all therapies for autistic children </w:t>
      </w:r>
      <w:r w:rsidR="005D0598" w:rsidRPr="0095372D">
        <w:rPr>
          <w:iCs/>
          <w:color w:val="000000"/>
          <w:sz w:val="20"/>
          <w:szCs w:val="20"/>
        </w:rPr>
        <w:t>age</w:t>
      </w:r>
      <w:r w:rsidR="005D0598">
        <w:rPr>
          <w:iCs/>
          <w:color w:val="000000"/>
          <w:sz w:val="20"/>
          <w:szCs w:val="20"/>
        </w:rPr>
        <w:t>d</w:t>
      </w:r>
      <w:r w:rsidR="005D0598" w:rsidRPr="0095372D">
        <w:rPr>
          <w:iCs/>
          <w:color w:val="000000"/>
          <w:sz w:val="20"/>
          <w:szCs w:val="20"/>
        </w:rPr>
        <w:t xml:space="preserve"> 0-8</w:t>
      </w:r>
      <w:r w:rsidR="005D0598">
        <w:rPr>
          <w:iCs/>
          <w:color w:val="000000"/>
          <w:sz w:val="20"/>
          <w:szCs w:val="20"/>
        </w:rPr>
        <w:t xml:space="preserve"> (i.e., Project AIM)</w:t>
      </w:r>
      <w:r w:rsidR="005D0598" w:rsidRPr="0095372D">
        <w:rPr>
          <w:iCs/>
          <w:color w:val="000000"/>
          <w:sz w:val="20"/>
          <w:szCs w:val="20"/>
        </w:rPr>
        <w:t xml:space="preserve">, </w:t>
      </w:r>
      <w:r w:rsidR="005D0598">
        <w:rPr>
          <w:iCs/>
          <w:color w:val="000000"/>
          <w:sz w:val="20"/>
          <w:szCs w:val="20"/>
        </w:rPr>
        <w:t xml:space="preserve">we were unable to produce a </w:t>
      </w:r>
      <w:r w:rsidR="005D0598" w:rsidRPr="0095372D">
        <w:rPr>
          <w:iCs/>
          <w:color w:val="000000"/>
          <w:sz w:val="20"/>
          <w:szCs w:val="20"/>
        </w:rPr>
        <w:t xml:space="preserve">reliable estimate of summary effects </w:t>
      </w:r>
      <w:r w:rsidR="005D0598">
        <w:rPr>
          <w:iCs/>
          <w:color w:val="000000"/>
          <w:sz w:val="20"/>
          <w:szCs w:val="20"/>
        </w:rPr>
        <w:t xml:space="preserve">for sensory integration therapy </w:t>
      </w:r>
      <w:r w:rsidR="005D0598" w:rsidRPr="0095372D">
        <w:rPr>
          <w:iCs/>
          <w:color w:val="000000"/>
          <w:sz w:val="20"/>
          <w:szCs w:val="20"/>
        </w:rPr>
        <w:t xml:space="preserve">due to the small number of studies in each </w:t>
      </w:r>
      <w:r w:rsidR="005D0598">
        <w:rPr>
          <w:iCs/>
          <w:color w:val="000000"/>
          <w:sz w:val="20"/>
          <w:szCs w:val="20"/>
        </w:rPr>
        <w:t xml:space="preserve">outcome </w:t>
      </w:r>
      <w:r w:rsidR="005D0598" w:rsidRPr="0095372D">
        <w:rPr>
          <w:iCs/>
          <w:color w:val="000000"/>
          <w:sz w:val="20"/>
          <w:szCs w:val="20"/>
        </w:rPr>
        <w:t xml:space="preserve">category. </w:t>
      </w:r>
      <w:r w:rsidR="005D0598">
        <w:rPr>
          <w:iCs/>
          <w:color w:val="000000"/>
          <w:sz w:val="20"/>
          <w:szCs w:val="20"/>
        </w:rPr>
        <w:t>Additionally, though several systematic reviews of this literature have been conducted, no studies to date have meta-analyzed these results</w:t>
      </w:r>
      <w:r w:rsidR="005D0598" w:rsidRPr="0095372D">
        <w:rPr>
          <w:iCs/>
          <w:color w:val="000000"/>
          <w:sz w:val="20"/>
          <w:szCs w:val="20"/>
        </w:rPr>
        <w:t xml:space="preserve">. The purpose of this meta-analysis is to address this gap in the literature by synthesizing the effects of </w:t>
      </w:r>
      <w:r w:rsidR="005D0598">
        <w:rPr>
          <w:iCs/>
          <w:color w:val="000000"/>
          <w:sz w:val="20"/>
          <w:szCs w:val="20"/>
        </w:rPr>
        <w:t xml:space="preserve">sensory integration </w:t>
      </w:r>
      <w:r w:rsidR="005D0598" w:rsidRPr="0095372D">
        <w:rPr>
          <w:iCs/>
          <w:color w:val="000000"/>
          <w:sz w:val="20"/>
          <w:szCs w:val="20"/>
        </w:rPr>
        <w:t>therap</w:t>
      </w:r>
      <w:r w:rsidR="005D0598">
        <w:rPr>
          <w:iCs/>
          <w:color w:val="000000"/>
          <w:sz w:val="20"/>
          <w:szCs w:val="20"/>
        </w:rPr>
        <w:t>y</w:t>
      </w:r>
      <w:r w:rsidR="005D0598" w:rsidRPr="0095372D">
        <w:rPr>
          <w:iCs/>
          <w:color w:val="000000"/>
          <w:sz w:val="20"/>
          <w:szCs w:val="20"/>
        </w:rPr>
        <w:t xml:space="preserve"> for autistic children</w:t>
      </w:r>
      <w:r w:rsidR="005D0598">
        <w:rPr>
          <w:iCs/>
          <w:color w:val="000000"/>
          <w:sz w:val="20"/>
          <w:szCs w:val="20"/>
        </w:rPr>
        <w:t xml:space="preserve"> (i.e., birth through 18 years)</w:t>
      </w:r>
      <w:r w:rsidR="005D0598" w:rsidRPr="0095372D">
        <w:rPr>
          <w:iCs/>
          <w:color w:val="000000"/>
          <w:sz w:val="20"/>
          <w:szCs w:val="20"/>
        </w:rPr>
        <w:t xml:space="preserve">. We </w:t>
      </w:r>
      <w:r w:rsidR="005D0598">
        <w:rPr>
          <w:iCs/>
          <w:color w:val="000000"/>
          <w:sz w:val="20"/>
          <w:szCs w:val="20"/>
        </w:rPr>
        <w:t>aim to evaluate (a) whether sensory integration approaches improve outcomes relative to a comparison condition, (b) whether the extent to which studies adhered to the principles of Ayres Sensory Integration Therapy moderates the effects of sensory integration therapy, and (c) whether studies of sensory integration approaches have sufficient methodological rigor to merit confident conclusions about summary effect estimates</w:t>
      </w:r>
      <w:r w:rsidR="005D0598" w:rsidRPr="0095372D">
        <w:rPr>
          <w:iCs/>
          <w:color w:val="000000"/>
          <w:sz w:val="20"/>
          <w:szCs w:val="20"/>
        </w:rPr>
        <w:t>.</w:t>
      </w:r>
    </w:p>
    <w:p w14:paraId="7AC50373" w14:textId="7EDDF30D"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5D0598">
        <w:rPr>
          <w:color w:val="000000"/>
          <w:sz w:val="20"/>
          <w:szCs w:val="20"/>
        </w:rPr>
        <w:t>We are currently conducting the systematic review and meta-analysis; all data extraction and analyses will be complete by the Gatlinburg Conference in April 2025. We conducted a new search building off the search terms from Project AIM that yielded 3382 unique results. Studies will be eligible for our review if (a) they compare sensory integration-based approaches to a comparison condition (b) in a controlled group design study (c) with children on the autism spectrum. Studies will be ineligible for our review if published in a language other than English. All eligible studies will be coded using a previously developed and validated coding schema employed in Project AIM (see Sandbank et al., 2020, 2023) and the Ayres Sensory Integration Checklist. Effect sizes will be analyzed using correlated and hierarchical effects meta-analytic models.</w:t>
      </w:r>
    </w:p>
    <w:p w14:paraId="7AC50374" w14:textId="111BDB98"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5D0598">
        <w:rPr>
          <w:color w:val="000000"/>
          <w:sz w:val="20"/>
          <w:szCs w:val="20"/>
        </w:rPr>
        <w:t xml:space="preserve">Preliminary results on the differences between sensory integration therapy and comparison conditions were conducted using the extant Project AIM dataset. Across the six studies (44 effect sizes) that met eligibility criteria for our new meta-analysis, there was a significant effect estimate of sensory integration therapy across all outcome domains, </w:t>
      </w:r>
      <w:r w:rsidR="005D0598">
        <w:rPr>
          <w:i/>
          <w:iCs/>
          <w:color w:val="000000"/>
          <w:sz w:val="20"/>
          <w:szCs w:val="20"/>
        </w:rPr>
        <w:t xml:space="preserve">g </w:t>
      </w:r>
      <w:r w:rsidR="005D0598">
        <w:rPr>
          <w:color w:val="000000"/>
          <w:sz w:val="20"/>
          <w:szCs w:val="20"/>
        </w:rPr>
        <w:t xml:space="preserve">= 0.733, </w:t>
      </w:r>
      <w:r w:rsidR="005D0598">
        <w:rPr>
          <w:i/>
          <w:iCs/>
          <w:color w:val="000000"/>
          <w:sz w:val="20"/>
          <w:szCs w:val="20"/>
        </w:rPr>
        <w:t>p</w:t>
      </w:r>
      <w:r w:rsidR="005D0598">
        <w:rPr>
          <w:color w:val="000000"/>
          <w:sz w:val="20"/>
          <w:szCs w:val="20"/>
        </w:rPr>
        <w:t xml:space="preserve"> = .024. However, many of the individual effect sizes contributing to this estimate were extracted from studies with substantial risks of bias. Due to the low number of effect sizes and substantial risks of bias, we were unable to evaluate the effect of sensory integration therapy on specific outcome domains (e.g., sensory, motor, language) with a high degree of confidence (i.e., all </w:t>
      </w:r>
      <w:proofErr w:type="spellStart"/>
      <w:r w:rsidR="005D0598" w:rsidRPr="00DB6C4E">
        <w:rPr>
          <w:i/>
          <w:iCs/>
          <w:color w:val="000000"/>
          <w:sz w:val="20"/>
          <w:szCs w:val="20"/>
        </w:rPr>
        <w:t>df</w:t>
      </w:r>
      <w:proofErr w:type="spellEnd"/>
      <w:r w:rsidR="005D0598" w:rsidRPr="00DB6C4E">
        <w:rPr>
          <w:i/>
          <w:iCs/>
          <w:color w:val="000000"/>
          <w:sz w:val="20"/>
          <w:szCs w:val="20"/>
        </w:rPr>
        <w:t xml:space="preserve"> </w:t>
      </w:r>
      <w:r w:rsidR="005D0598">
        <w:rPr>
          <w:color w:val="000000"/>
          <w:sz w:val="20"/>
          <w:szCs w:val="20"/>
        </w:rPr>
        <w:t>in this model &lt; 4). Results based on the primary search strategy will be presented at the Gatlinburg Conference.</w:t>
      </w:r>
    </w:p>
    <w:p w14:paraId="7AC50375" w14:textId="3F54AB39" w:rsidR="003D6244" w:rsidRDefault="003D6244" w:rsidP="003D6244">
      <w:pPr>
        <w:rPr>
          <w:iCs/>
          <w:color w:val="000000"/>
          <w:sz w:val="20"/>
          <w:szCs w:val="20"/>
        </w:rPr>
      </w:pPr>
      <w:r>
        <w:rPr>
          <w:b/>
          <w:iCs/>
          <w:color w:val="000000"/>
          <w:sz w:val="20"/>
          <w:szCs w:val="20"/>
          <w:lang w:val="en-GB"/>
        </w:rPr>
        <w:t xml:space="preserve">Discussion: </w:t>
      </w:r>
      <w:r w:rsidR="005D0598">
        <w:rPr>
          <w:bCs/>
          <w:iCs/>
          <w:color w:val="000000"/>
          <w:sz w:val="20"/>
          <w:szCs w:val="20"/>
          <w:lang w:val="en-GB"/>
        </w:rPr>
        <w:t xml:space="preserve">This is the first study to meta-analyse effect sizes for sensory integration therapy. The preliminary results presented here should be interpreted with caution: though this approach </w:t>
      </w:r>
      <w:r w:rsidR="005D0598">
        <w:rPr>
          <w:iCs/>
          <w:color w:val="000000"/>
          <w:sz w:val="20"/>
          <w:szCs w:val="20"/>
        </w:rPr>
        <w:t xml:space="preserve">has the potential to yield moderate-large effects, on average, across a broad range of outcomes for children on the autism spectrum, greater consideration of study and outcome quality are needed prior to generating clinical recommendations. The </w:t>
      </w:r>
      <w:proofErr w:type="gramStart"/>
      <w:r w:rsidR="005D0598">
        <w:rPr>
          <w:iCs/>
          <w:color w:val="000000"/>
          <w:sz w:val="20"/>
          <w:szCs w:val="20"/>
        </w:rPr>
        <w:t>final results</w:t>
      </w:r>
      <w:proofErr w:type="gramEnd"/>
      <w:r w:rsidR="005D0598">
        <w:rPr>
          <w:iCs/>
          <w:color w:val="000000"/>
          <w:sz w:val="20"/>
          <w:szCs w:val="20"/>
        </w:rPr>
        <w:t xml:space="preserve"> of this systematic review and synthesis,</w:t>
      </w:r>
      <w:r w:rsidR="005D0598" w:rsidRPr="008D5C39">
        <w:rPr>
          <w:iCs/>
          <w:color w:val="000000"/>
          <w:sz w:val="20"/>
          <w:szCs w:val="20"/>
        </w:rPr>
        <w:t xml:space="preserve"> </w:t>
      </w:r>
      <w:r w:rsidR="005D0598">
        <w:rPr>
          <w:iCs/>
          <w:color w:val="000000"/>
          <w:sz w:val="20"/>
          <w:szCs w:val="20"/>
        </w:rPr>
        <w:t>to be presented at the Gatlinburg Conference, are expected to</w:t>
      </w:r>
      <w:r w:rsidR="005D0598" w:rsidRPr="00D54F33">
        <w:rPr>
          <w:iCs/>
          <w:color w:val="000000"/>
          <w:sz w:val="20"/>
          <w:szCs w:val="20"/>
        </w:rPr>
        <w:t xml:space="preserve"> inform treatment recommendations for </w:t>
      </w:r>
      <w:r w:rsidR="005D0598">
        <w:rPr>
          <w:iCs/>
          <w:color w:val="000000"/>
          <w:sz w:val="20"/>
          <w:szCs w:val="20"/>
        </w:rPr>
        <w:t xml:space="preserve">autistic </w:t>
      </w:r>
      <w:r w:rsidR="005D0598" w:rsidRPr="00D54F33">
        <w:rPr>
          <w:iCs/>
          <w:color w:val="000000"/>
          <w:sz w:val="20"/>
          <w:szCs w:val="20"/>
        </w:rPr>
        <w:t xml:space="preserve">children of all ages. Future directions, </w:t>
      </w:r>
      <w:r w:rsidR="005D0598">
        <w:rPr>
          <w:iCs/>
          <w:color w:val="000000"/>
          <w:sz w:val="20"/>
          <w:szCs w:val="20"/>
        </w:rPr>
        <w:t>as well as implications for research and practice,</w:t>
      </w:r>
      <w:r w:rsidR="005D0598" w:rsidRPr="00D54F33">
        <w:rPr>
          <w:iCs/>
          <w:color w:val="000000"/>
          <w:sz w:val="20"/>
          <w:szCs w:val="20"/>
        </w:rPr>
        <w:t xml:space="preserve"> will be discussed.</w:t>
      </w:r>
    </w:p>
    <w:p w14:paraId="2AF82926" w14:textId="77777777" w:rsidR="005D0598" w:rsidRDefault="005D0598" w:rsidP="003D6244">
      <w:pPr>
        <w:rPr>
          <w:iCs/>
          <w:color w:val="000000"/>
          <w:sz w:val="20"/>
          <w:szCs w:val="20"/>
        </w:rPr>
      </w:pPr>
    </w:p>
    <w:p w14:paraId="38F7FA44" w14:textId="77777777" w:rsidR="005D0598" w:rsidRPr="004E6CD2" w:rsidRDefault="005D0598" w:rsidP="003D6244">
      <w:pPr>
        <w:rPr>
          <w:color w:val="000000"/>
          <w:sz w:val="20"/>
          <w:szCs w:val="20"/>
          <w:lang w:val="en-GB"/>
        </w:rPr>
      </w:pPr>
    </w:p>
    <w:p w14:paraId="7AC50376" w14:textId="5B3D0435" w:rsidR="003D6244" w:rsidRDefault="003D6244" w:rsidP="003D6244">
      <w:pPr>
        <w:rPr>
          <w:color w:val="000000"/>
          <w:sz w:val="20"/>
          <w:szCs w:val="20"/>
        </w:rPr>
      </w:pPr>
      <w:r w:rsidRPr="00514B99">
        <w:rPr>
          <w:b/>
          <w:color w:val="000000"/>
          <w:sz w:val="20"/>
          <w:szCs w:val="20"/>
          <w:lang w:val="en-GB"/>
        </w:rPr>
        <w:lastRenderedPageBreak/>
        <w:t>References</w:t>
      </w:r>
      <w:r>
        <w:rPr>
          <w:b/>
          <w:color w:val="000000"/>
          <w:sz w:val="20"/>
          <w:szCs w:val="20"/>
          <w:lang w:val="en-GB"/>
        </w:rPr>
        <w:t xml:space="preserve">: </w:t>
      </w:r>
    </w:p>
    <w:p w14:paraId="54488682" w14:textId="77777777" w:rsidR="005D0598" w:rsidRPr="000F7C0A" w:rsidRDefault="005D0598" w:rsidP="005D0598">
      <w:pPr>
        <w:pStyle w:val="ListParagraph"/>
        <w:numPr>
          <w:ilvl w:val="0"/>
          <w:numId w:val="2"/>
        </w:numPr>
        <w:spacing w:after="0"/>
        <w:rPr>
          <w:color w:val="000000"/>
          <w:sz w:val="20"/>
          <w:szCs w:val="20"/>
        </w:rPr>
      </w:pPr>
      <w:r w:rsidRPr="000F7C0A">
        <w:rPr>
          <w:color w:val="000000"/>
          <w:sz w:val="20"/>
          <w:szCs w:val="20"/>
        </w:rPr>
        <w:t xml:space="preserve">Sandbank, M., </w:t>
      </w:r>
      <w:proofErr w:type="spellStart"/>
      <w:r w:rsidRPr="000F7C0A">
        <w:rPr>
          <w:color w:val="000000"/>
          <w:sz w:val="20"/>
          <w:szCs w:val="20"/>
        </w:rPr>
        <w:t>Bottema-Beutel</w:t>
      </w:r>
      <w:proofErr w:type="spellEnd"/>
      <w:r w:rsidRPr="000F7C0A">
        <w:rPr>
          <w:color w:val="000000"/>
          <w:sz w:val="20"/>
          <w:szCs w:val="20"/>
        </w:rPr>
        <w:t xml:space="preserve">, K., Crowley </w:t>
      </w:r>
      <w:proofErr w:type="spellStart"/>
      <w:r w:rsidRPr="000F7C0A">
        <w:rPr>
          <w:color w:val="000000"/>
          <w:sz w:val="20"/>
          <w:szCs w:val="20"/>
        </w:rPr>
        <w:t>LaPoint</w:t>
      </w:r>
      <w:proofErr w:type="spellEnd"/>
      <w:r w:rsidRPr="000F7C0A">
        <w:rPr>
          <w:color w:val="000000"/>
          <w:sz w:val="20"/>
          <w:szCs w:val="20"/>
        </w:rPr>
        <w:t xml:space="preserve">, S., Feldman, J. I., Barrett, D. J., Caldwell, N., Dunham, K., Crank, J., </w:t>
      </w:r>
      <w:proofErr w:type="spellStart"/>
      <w:r w:rsidRPr="000F7C0A">
        <w:rPr>
          <w:color w:val="000000"/>
          <w:sz w:val="20"/>
          <w:szCs w:val="20"/>
        </w:rPr>
        <w:t>Albarran</w:t>
      </w:r>
      <w:proofErr w:type="spellEnd"/>
      <w:r w:rsidRPr="000F7C0A">
        <w:rPr>
          <w:color w:val="000000"/>
          <w:sz w:val="20"/>
          <w:szCs w:val="20"/>
        </w:rPr>
        <w:t xml:space="preserve">, S., &amp; </w:t>
      </w:r>
      <w:proofErr w:type="spellStart"/>
      <w:r w:rsidRPr="000F7C0A">
        <w:rPr>
          <w:color w:val="000000"/>
          <w:sz w:val="20"/>
          <w:szCs w:val="20"/>
        </w:rPr>
        <w:t>Woynaroski</w:t>
      </w:r>
      <w:proofErr w:type="spellEnd"/>
      <w:r w:rsidRPr="000F7C0A">
        <w:rPr>
          <w:color w:val="000000"/>
          <w:sz w:val="20"/>
          <w:szCs w:val="20"/>
        </w:rPr>
        <w:t xml:space="preserve">, T. (2023). Autism intervention meta-analysis of early childhood studies (Project AIM): Updated systematic review and secondary analysis. </w:t>
      </w:r>
      <w:r w:rsidRPr="000F7C0A">
        <w:rPr>
          <w:i/>
          <w:iCs/>
          <w:color w:val="000000"/>
          <w:sz w:val="20"/>
          <w:szCs w:val="20"/>
        </w:rPr>
        <w:t>BMJ, 383</w:t>
      </w:r>
      <w:r w:rsidRPr="000F7C0A">
        <w:rPr>
          <w:color w:val="000000"/>
          <w:sz w:val="20"/>
          <w:szCs w:val="20"/>
        </w:rPr>
        <w:t xml:space="preserve">, Article e076733. </w:t>
      </w:r>
      <w:hyperlink r:id="rId10" w:history="1">
        <w:r w:rsidRPr="008D5C39">
          <w:rPr>
            <w:rStyle w:val="Hyperlink"/>
            <w:sz w:val="20"/>
            <w:szCs w:val="20"/>
          </w:rPr>
          <w:t>https://doi.org/10.1136/bmj-2023-076733</w:t>
        </w:r>
      </w:hyperlink>
      <w:r w:rsidRPr="000F7C0A">
        <w:rPr>
          <w:color w:val="000000"/>
          <w:sz w:val="20"/>
          <w:szCs w:val="20"/>
        </w:rPr>
        <w:t xml:space="preserve">  </w:t>
      </w:r>
    </w:p>
    <w:p w14:paraId="7D5D0B61" w14:textId="77777777" w:rsidR="005D0598" w:rsidRPr="000F7C0A" w:rsidRDefault="005D0598" w:rsidP="005D0598">
      <w:pPr>
        <w:pStyle w:val="ListParagraph"/>
        <w:numPr>
          <w:ilvl w:val="0"/>
          <w:numId w:val="2"/>
        </w:numPr>
        <w:spacing w:after="0"/>
        <w:rPr>
          <w:color w:val="000000"/>
          <w:sz w:val="20"/>
          <w:szCs w:val="20"/>
        </w:rPr>
      </w:pPr>
      <w:r w:rsidRPr="000F7C0A">
        <w:rPr>
          <w:color w:val="000000"/>
          <w:sz w:val="20"/>
          <w:szCs w:val="20"/>
        </w:rPr>
        <w:t xml:space="preserve">Sandbank, M., </w:t>
      </w:r>
      <w:proofErr w:type="spellStart"/>
      <w:r w:rsidRPr="000F7C0A">
        <w:rPr>
          <w:color w:val="000000"/>
          <w:sz w:val="20"/>
          <w:szCs w:val="20"/>
        </w:rPr>
        <w:t>Bottema-Beutel</w:t>
      </w:r>
      <w:proofErr w:type="spellEnd"/>
      <w:r w:rsidRPr="000F7C0A">
        <w:rPr>
          <w:color w:val="000000"/>
          <w:sz w:val="20"/>
          <w:szCs w:val="20"/>
        </w:rPr>
        <w:t xml:space="preserve">, K., Crowley, S., Cassidy, M., Dunham, K., Feldman, J. I., Crank, J., </w:t>
      </w:r>
      <w:proofErr w:type="spellStart"/>
      <w:r w:rsidRPr="000F7C0A">
        <w:rPr>
          <w:color w:val="000000"/>
          <w:sz w:val="20"/>
          <w:szCs w:val="20"/>
        </w:rPr>
        <w:t>Albarran</w:t>
      </w:r>
      <w:proofErr w:type="spellEnd"/>
      <w:r w:rsidRPr="000F7C0A">
        <w:rPr>
          <w:color w:val="000000"/>
          <w:sz w:val="20"/>
          <w:szCs w:val="20"/>
        </w:rPr>
        <w:t xml:space="preserve">, S. A., Raj, S., Mahbub, P., &amp; </w:t>
      </w:r>
      <w:proofErr w:type="spellStart"/>
      <w:r w:rsidRPr="000F7C0A">
        <w:rPr>
          <w:color w:val="000000"/>
          <w:sz w:val="20"/>
          <w:szCs w:val="20"/>
        </w:rPr>
        <w:t>Woynaroski</w:t>
      </w:r>
      <w:proofErr w:type="spellEnd"/>
      <w:r w:rsidRPr="000F7C0A">
        <w:rPr>
          <w:color w:val="000000"/>
          <w:sz w:val="20"/>
          <w:szCs w:val="20"/>
        </w:rPr>
        <w:t xml:space="preserve">, T. G. (2020). Project AIM: Autism intervention meta-analysis for studies of young children. </w:t>
      </w:r>
      <w:r w:rsidRPr="000F7C0A">
        <w:rPr>
          <w:i/>
          <w:iCs/>
          <w:color w:val="000000"/>
          <w:sz w:val="20"/>
          <w:szCs w:val="20"/>
        </w:rPr>
        <w:t>Psychological Bulletin, 146</w:t>
      </w:r>
      <w:r w:rsidRPr="000F7C0A">
        <w:rPr>
          <w:color w:val="000000"/>
          <w:sz w:val="20"/>
          <w:szCs w:val="20"/>
        </w:rPr>
        <w:t xml:space="preserve">(1), 1-29. </w:t>
      </w:r>
      <w:hyperlink r:id="rId11" w:history="1">
        <w:r w:rsidRPr="008D5C39">
          <w:rPr>
            <w:rStyle w:val="Hyperlink"/>
            <w:sz w:val="20"/>
            <w:szCs w:val="20"/>
          </w:rPr>
          <w:t>https://doi.org/10.1037/bul0000215</w:t>
        </w:r>
      </w:hyperlink>
      <w:r w:rsidRPr="000F7C0A">
        <w:rPr>
          <w:color w:val="000000"/>
          <w:sz w:val="20"/>
          <w:szCs w:val="20"/>
        </w:rPr>
        <w:t xml:space="preserve"> </w:t>
      </w:r>
    </w:p>
    <w:p w14:paraId="758A867D" w14:textId="77777777" w:rsidR="005D0598" w:rsidRPr="000F7C0A" w:rsidRDefault="005D0598" w:rsidP="005D0598">
      <w:pPr>
        <w:pStyle w:val="ListParagraph"/>
        <w:numPr>
          <w:ilvl w:val="0"/>
          <w:numId w:val="2"/>
        </w:numPr>
        <w:spacing w:after="0"/>
        <w:rPr>
          <w:color w:val="000000"/>
          <w:sz w:val="20"/>
          <w:szCs w:val="20"/>
        </w:rPr>
      </w:pPr>
      <w:r w:rsidRPr="000F7C0A">
        <w:rPr>
          <w:color w:val="000000"/>
          <w:sz w:val="20"/>
          <w:szCs w:val="20"/>
        </w:rPr>
        <w:t xml:space="preserve">Schaaf, R. C., Dumont, R. L., </w:t>
      </w:r>
      <w:proofErr w:type="spellStart"/>
      <w:r w:rsidRPr="000F7C0A">
        <w:rPr>
          <w:color w:val="000000"/>
          <w:sz w:val="20"/>
          <w:szCs w:val="20"/>
        </w:rPr>
        <w:t>Arbesman</w:t>
      </w:r>
      <w:proofErr w:type="spellEnd"/>
      <w:r w:rsidRPr="000F7C0A">
        <w:rPr>
          <w:color w:val="000000"/>
          <w:sz w:val="20"/>
          <w:szCs w:val="20"/>
        </w:rPr>
        <w:t xml:space="preserve">, M., &amp; May-Benson, T. A. (2018). Efficacy of occupational therapy using Ayres Sensory Integration: A systematic review. </w:t>
      </w:r>
      <w:r w:rsidRPr="000F7C0A">
        <w:rPr>
          <w:i/>
          <w:iCs/>
          <w:color w:val="000000"/>
          <w:sz w:val="20"/>
          <w:szCs w:val="20"/>
        </w:rPr>
        <w:t>The American Journal of Occupational Therapy, 72</w:t>
      </w:r>
      <w:r w:rsidRPr="000F7C0A">
        <w:rPr>
          <w:color w:val="000000"/>
          <w:sz w:val="20"/>
          <w:szCs w:val="20"/>
        </w:rPr>
        <w:t xml:space="preserve">(1), 1-4A. </w:t>
      </w:r>
      <w:hyperlink r:id="rId12" w:history="1">
        <w:r w:rsidRPr="008D5C39">
          <w:rPr>
            <w:rStyle w:val="Hyperlink"/>
            <w:sz w:val="20"/>
            <w:szCs w:val="20"/>
          </w:rPr>
          <w:t>https://doi.org/10.5014/ajot.2018.028431</w:t>
        </w:r>
      </w:hyperlink>
      <w:r w:rsidRPr="000F7C0A">
        <w:rPr>
          <w:color w:val="000000"/>
          <w:sz w:val="20"/>
          <w:szCs w:val="20"/>
        </w:rPr>
        <w:t xml:space="preserve"> </w:t>
      </w:r>
    </w:p>
    <w:p w14:paraId="5E566C29" w14:textId="77777777" w:rsidR="005D0598" w:rsidRPr="000F7C0A" w:rsidRDefault="005D0598" w:rsidP="005D0598">
      <w:pPr>
        <w:pStyle w:val="ListParagraph"/>
        <w:numPr>
          <w:ilvl w:val="0"/>
          <w:numId w:val="2"/>
        </w:numPr>
        <w:spacing w:after="0"/>
        <w:rPr>
          <w:color w:val="000000"/>
          <w:sz w:val="20"/>
          <w:szCs w:val="20"/>
        </w:rPr>
      </w:pPr>
      <w:r w:rsidRPr="000F7C0A">
        <w:rPr>
          <w:color w:val="000000"/>
          <w:sz w:val="20"/>
          <w:szCs w:val="20"/>
        </w:rPr>
        <w:t xml:space="preserve">Schoen, S. A., Lane, S. J., Mailloux, Z., May‐Benson, T., Parham, L. D., </w:t>
      </w:r>
      <w:proofErr w:type="spellStart"/>
      <w:r w:rsidRPr="000F7C0A">
        <w:rPr>
          <w:color w:val="000000"/>
          <w:sz w:val="20"/>
          <w:szCs w:val="20"/>
        </w:rPr>
        <w:t>Roley</w:t>
      </w:r>
      <w:proofErr w:type="spellEnd"/>
      <w:r w:rsidRPr="000F7C0A">
        <w:rPr>
          <w:color w:val="000000"/>
          <w:sz w:val="20"/>
          <w:szCs w:val="20"/>
        </w:rPr>
        <w:t xml:space="preserve">, S. S., &amp; Schaaf, R. C. (2019). A systematic review of Ayres sensory integration intervention for children with autism. </w:t>
      </w:r>
      <w:r w:rsidRPr="000F7C0A">
        <w:rPr>
          <w:i/>
          <w:iCs/>
          <w:color w:val="000000"/>
          <w:sz w:val="20"/>
          <w:szCs w:val="20"/>
        </w:rPr>
        <w:t>Autism Research, 12</w:t>
      </w:r>
      <w:r w:rsidRPr="000F7C0A">
        <w:rPr>
          <w:color w:val="000000"/>
          <w:sz w:val="20"/>
          <w:szCs w:val="20"/>
        </w:rPr>
        <w:t xml:space="preserve">(1), 6-19. </w:t>
      </w:r>
      <w:hyperlink r:id="rId13" w:history="1">
        <w:r w:rsidRPr="008D5C39">
          <w:rPr>
            <w:rStyle w:val="Hyperlink"/>
            <w:sz w:val="20"/>
            <w:szCs w:val="20"/>
          </w:rPr>
          <w:t>https://doi.org/10.1002/aur.2046</w:t>
        </w:r>
      </w:hyperlink>
      <w:r w:rsidRPr="000F7C0A">
        <w:rPr>
          <w:color w:val="000000"/>
          <w:sz w:val="20"/>
          <w:szCs w:val="20"/>
        </w:rPr>
        <w:t xml:space="preserve"> </w:t>
      </w:r>
    </w:p>
    <w:p w14:paraId="7AC5037A" w14:textId="77777777" w:rsidR="001C735E" w:rsidRDefault="001C735E" w:rsidP="003D6244">
      <w:pPr>
        <w:rPr>
          <w:rFonts w:ascii="Calibri" w:eastAsia="Calibri" w:hAnsi="Calibri" w:cs="Times New Roman"/>
          <w:sz w:val="20"/>
          <w:szCs w:val="20"/>
        </w:rPr>
      </w:pPr>
    </w:p>
    <w:p w14:paraId="6987F112" w14:textId="77777777" w:rsidR="005D0598" w:rsidRPr="008B1E03" w:rsidRDefault="005D0598" w:rsidP="005D0598">
      <w:pPr>
        <w:pStyle w:val="FootnoteText"/>
        <w:rPr>
          <w:lang w:val="en-CA"/>
        </w:rPr>
      </w:pPr>
      <w:r w:rsidRPr="008B1E03">
        <w:rPr>
          <w:rStyle w:val="FootnoteReference"/>
        </w:rPr>
        <w:footnoteRef/>
      </w:r>
      <w:r w:rsidRPr="008B1E03">
        <w:t xml:space="preserve"> </w:t>
      </w:r>
      <w:r>
        <w:rPr>
          <w:lang w:val="en-CA"/>
        </w:rPr>
        <w:t>Vanderbilt University</w:t>
      </w:r>
    </w:p>
    <w:p w14:paraId="1F3820F3" w14:textId="77777777" w:rsidR="005D0598" w:rsidRDefault="005D0598" w:rsidP="005D0598">
      <w:pPr>
        <w:pStyle w:val="Footer"/>
        <w:rPr>
          <w:sz w:val="20"/>
          <w:szCs w:val="20"/>
          <w:lang w:val="en-CA"/>
        </w:rPr>
      </w:pPr>
      <w:r>
        <w:rPr>
          <w:rStyle w:val="FootnoteReference"/>
        </w:rPr>
        <w:t>2</w:t>
      </w:r>
      <w:r w:rsidRPr="008B1E03">
        <w:t xml:space="preserve"> </w:t>
      </w:r>
      <w:r>
        <w:rPr>
          <w:sz w:val="20"/>
          <w:szCs w:val="20"/>
          <w:lang w:val="en-CA"/>
        </w:rPr>
        <w:t>Vanderbilt University Medical Center</w:t>
      </w:r>
    </w:p>
    <w:p w14:paraId="4754C2D9" w14:textId="77777777" w:rsidR="005D0598" w:rsidRDefault="005D0598" w:rsidP="005D0598">
      <w:pPr>
        <w:pStyle w:val="FootnoteText"/>
      </w:pPr>
      <w:r>
        <w:rPr>
          <w:rStyle w:val="FootnoteReference"/>
        </w:rPr>
        <w:t>3</w:t>
      </w:r>
      <w:r w:rsidRPr="008B1E03">
        <w:t xml:space="preserve"> </w:t>
      </w:r>
      <w:r>
        <w:t>Frist Center for Autism and Innovation, Vanderbilt University</w:t>
      </w:r>
    </w:p>
    <w:p w14:paraId="19C3DDFE" w14:textId="77777777" w:rsidR="005D0598" w:rsidRPr="008B1E03" w:rsidRDefault="005D0598" w:rsidP="005D0598">
      <w:pPr>
        <w:pStyle w:val="FootnoteText"/>
        <w:rPr>
          <w:lang w:val="en-CA"/>
        </w:rPr>
      </w:pPr>
      <w:r>
        <w:rPr>
          <w:rStyle w:val="FootnoteReference"/>
        </w:rPr>
        <w:t>4</w:t>
      </w:r>
      <w:r w:rsidRPr="008B1E03">
        <w:t xml:space="preserve"> </w:t>
      </w:r>
      <w:r w:rsidRPr="008B1E03">
        <w:rPr>
          <w:lang w:val="en-CA"/>
        </w:rPr>
        <w:t xml:space="preserve">University of </w:t>
      </w:r>
      <w:r>
        <w:rPr>
          <w:lang w:val="en-CA"/>
        </w:rPr>
        <w:t>North Carolina at Chapel Hill</w:t>
      </w:r>
    </w:p>
    <w:p w14:paraId="0A2826FA" w14:textId="77777777" w:rsidR="005D0598" w:rsidRDefault="005D0598" w:rsidP="005D0598">
      <w:pPr>
        <w:pStyle w:val="Footer"/>
        <w:rPr>
          <w:sz w:val="20"/>
          <w:szCs w:val="20"/>
        </w:rPr>
      </w:pPr>
      <w:r>
        <w:rPr>
          <w:rStyle w:val="FootnoteReference"/>
          <w:sz w:val="20"/>
          <w:szCs w:val="20"/>
        </w:rPr>
        <w:t>5</w:t>
      </w:r>
      <w:r w:rsidRPr="008B1E03">
        <w:rPr>
          <w:sz w:val="20"/>
          <w:szCs w:val="20"/>
        </w:rPr>
        <w:t xml:space="preserve"> </w:t>
      </w:r>
      <w:r>
        <w:rPr>
          <w:sz w:val="20"/>
          <w:szCs w:val="20"/>
        </w:rPr>
        <w:t>Florida State University</w:t>
      </w:r>
    </w:p>
    <w:p w14:paraId="416C0628" w14:textId="77777777" w:rsidR="005D0598" w:rsidRDefault="005D0598" w:rsidP="005D0598">
      <w:pPr>
        <w:pStyle w:val="Footer"/>
        <w:rPr>
          <w:sz w:val="20"/>
          <w:szCs w:val="20"/>
        </w:rPr>
      </w:pPr>
      <w:r>
        <w:rPr>
          <w:rStyle w:val="FootnoteReference"/>
          <w:sz w:val="20"/>
          <w:szCs w:val="20"/>
        </w:rPr>
        <w:t>6</w:t>
      </w:r>
      <w:r w:rsidRPr="008B1E03">
        <w:rPr>
          <w:sz w:val="20"/>
          <w:szCs w:val="20"/>
        </w:rPr>
        <w:t xml:space="preserve"> </w:t>
      </w:r>
      <w:r>
        <w:rPr>
          <w:sz w:val="20"/>
          <w:szCs w:val="20"/>
        </w:rPr>
        <w:t>Vanderbilt Kennedy Center</w:t>
      </w:r>
    </w:p>
    <w:p w14:paraId="6835155B" w14:textId="77777777" w:rsidR="005D0598" w:rsidRDefault="005D0598" w:rsidP="005D0598">
      <w:pPr>
        <w:pStyle w:val="Footer"/>
        <w:rPr>
          <w:sz w:val="20"/>
          <w:szCs w:val="20"/>
        </w:rPr>
      </w:pPr>
      <w:r>
        <w:rPr>
          <w:rStyle w:val="FootnoteReference"/>
          <w:sz w:val="20"/>
          <w:szCs w:val="20"/>
        </w:rPr>
        <w:t>7</w:t>
      </w:r>
      <w:r w:rsidRPr="008B1E03">
        <w:rPr>
          <w:sz w:val="20"/>
          <w:szCs w:val="20"/>
        </w:rPr>
        <w:t xml:space="preserve"> </w:t>
      </w:r>
      <w:r>
        <w:rPr>
          <w:sz w:val="20"/>
          <w:szCs w:val="20"/>
        </w:rPr>
        <w:t>Vanderbilt Brain Institute</w:t>
      </w:r>
    </w:p>
    <w:p w14:paraId="57812251" w14:textId="77777777" w:rsidR="005D0598" w:rsidRDefault="005D0598" w:rsidP="005D0598">
      <w:pPr>
        <w:pStyle w:val="Footer"/>
        <w:rPr>
          <w:sz w:val="20"/>
          <w:szCs w:val="20"/>
          <w:lang w:val="en-CA"/>
        </w:rPr>
      </w:pPr>
      <w:r>
        <w:rPr>
          <w:rStyle w:val="FootnoteReference"/>
          <w:sz w:val="20"/>
          <w:szCs w:val="20"/>
        </w:rPr>
        <w:t>8</w:t>
      </w:r>
      <w:r w:rsidRPr="008B1E03">
        <w:rPr>
          <w:sz w:val="20"/>
          <w:szCs w:val="20"/>
        </w:rPr>
        <w:t xml:space="preserve"> </w:t>
      </w:r>
      <w:r>
        <w:rPr>
          <w:sz w:val="20"/>
          <w:szCs w:val="20"/>
          <w:lang w:val="en-CA"/>
        </w:rPr>
        <w:t>University of Hawaii at Manoa</w:t>
      </w:r>
    </w:p>
    <w:p w14:paraId="100E6A99" w14:textId="77777777" w:rsidR="005D0598" w:rsidRPr="00D54F33" w:rsidRDefault="005D0598" w:rsidP="005D0598">
      <w:pPr>
        <w:pStyle w:val="Footer"/>
        <w:rPr>
          <w:sz w:val="20"/>
          <w:szCs w:val="20"/>
          <w:lang w:val="en-CA"/>
        </w:rPr>
      </w:pPr>
      <w:r>
        <w:rPr>
          <w:sz w:val="20"/>
          <w:szCs w:val="20"/>
          <w:lang w:val="en-CA"/>
        </w:rPr>
        <w:t>* Authors made equal contributions</w:t>
      </w:r>
    </w:p>
    <w:p w14:paraId="01616EA4" w14:textId="77777777" w:rsidR="005D0598" w:rsidRPr="003D6244" w:rsidRDefault="005D0598" w:rsidP="003D6244"/>
    <w:sectPr w:rsidR="005D0598" w:rsidRPr="003D6244" w:rsidSect="00394E2C">
      <w:headerReference w:type="default" r:id="rId14"/>
      <w:footerReference w:type="default" r:id="rId15"/>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E366" w14:textId="77777777" w:rsidR="00AC09BB" w:rsidRDefault="00AC09BB" w:rsidP="00A16498">
      <w:pPr>
        <w:spacing w:after="0" w:line="240" w:lineRule="auto"/>
      </w:pPr>
      <w:r>
        <w:separator/>
      </w:r>
    </w:p>
  </w:endnote>
  <w:endnote w:type="continuationSeparator" w:id="0">
    <w:p w14:paraId="083BA75F" w14:textId="77777777" w:rsidR="00AC09BB" w:rsidRDefault="00AC09BB"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4875C" w14:textId="77777777" w:rsidR="00AC09BB" w:rsidRDefault="00AC09BB" w:rsidP="00A16498">
      <w:pPr>
        <w:spacing w:after="0" w:line="240" w:lineRule="auto"/>
      </w:pPr>
      <w:r>
        <w:separator/>
      </w:r>
    </w:p>
  </w:footnote>
  <w:footnote w:type="continuationSeparator" w:id="0">
    <w:p w14:paraId="6E146A40" w14:textId="77777777" w:rsidR="00AC09BB" w:rsidRDefault="00AC09BB"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2C25E880"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2C25E880"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A6290"/>
    <w:multiLevelType w:val="hybridMultilevel"/>
    <w:tmpl w:val="EC528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80652626">
    <w:abstractNumId w:val="0"/>
  </w:num>
  <w:num w:numId="2" w16cid:durableId="387922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D0598"/>
    <w:rsid w:val="005F3158"/>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C09BB"/>
    <w:rsid w:val="00AE4ADB"/>
    <w:rsid w:val="00B226B4"/>
    <w:rsid w:val="00B71AFF"/>
    <w:rsid w:val="00BA2D2D"/>
    <w:rsid w:val="00C6243D"/>
    <w:rsid w:val="00C80718"/>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5D05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02/aur.204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5014/ajot.2018.0284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37/bul000021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oi.org/10.1136/bmj-2023-0767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Pazol, Ellie R</cp:lastModifiedBy>
  <cp:revision>2</cp:revision>
  <dcterms:created xsi:type="dcterms:W3CDTF">2024-11-05T00:20:00Z</dcterms:created>
  <dcterms:modified xsi:type="dcterms:W3CDTF">2024-11-05T00:20:00Z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