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D6244" w:rsidP="23C8C242" w:rsidRDefault="003D6244" w14:paraId="3CC2B532" w14:textId="3906548E">
      <w:pPr>
        <w:rPr>
          <w:sz w:val="20"/>
          <w:szCs w:val="20"/>
        </w:rPr>
      </w:pPr>
      <w:r w:rsidRPr="23C8C242" w:rsidR="003D6244">
        <w:rPr>
          <w:b w:val="1"/>
          <w:bCs w:val="1"/>
          <w:sz w:val="20"/>
          <w:szCs w:val="20"/>
        </w:rPr>
        <w:t>Title</w:t>
      </w:r>
      <w:r w:rsidRPr="23C8C242" w:rsidR="003D6244">
        <w:rPr>
          <w:sz w:val="20"/>
          <w:szCs w:val="20"/>
        </w:rPr>
        <w:t xml:space="preserve">: </w:t>
      </w:r>
      <w:r w:rsidRPr="23C8C242" w:rsidR="7FC71FDD">
        <w:rPr>
          <w:sz w:val="20"/>
          <w:szCs w:val="20"/>
        </w:rPr>
        <w:t>Comparison of therapies and services utilized by children with Down syndrome with medical co-occurring conditions</w:t>
      </w:r>
    </w:p>
    <w:p w:rsidRPr="008B1E03" w:rsidR="003D6244" w:rsidP="003D6244" w:rsidRDefault="003D6244" w14:paraId="7AC50371" w14:textId="3C2A9937">
      <w:pPr>
        <w:rPr>
          <w:sz w:val="20"/>
          <w:szCs w:val="20"/>
          <w:vertAlign w:val="superscript"/>
        </w:rPr>
      </w:pPr>
      <w:r w:rsidRPr="23C8C242" w:rsidR="003D6244">
        <w:rPr>
          <w:b w:val="1"/>
          <w:bCs w:val="1"/>
          <w:sz w:val="20"/>
          <w:szCs w:val="20"/>
        </w:rPr>
        <w:t>Authors</w:t>
      </w:r>
      <w:r w:rsidRPr="23C8C242" w:rsidR="003D6244">
        <w:rPr>
          <w:sz w:val="20"/>
          <w:szCs w:val="20"/>
        </w:rPr>
        <w:t xml:space="preserve">: </w:t>
      </w:r>
      <w:r w:rsidRPr="23C8C242" w:rsidR="0DA694CC">
        <w:rPr>
          <w:sz w:val="20"/>
          <w:szCs w:val="20"/>
        </w:rPr>
        <w:t>Rebecca Bernstein</w:t>
      </w:r>
      <w:r w:rsidRPr="23C8C242" w:rsidR="0DA694CC">
        <w:rPr>
          <w:sz w:val="20"/>
          <w:szCs w:val="20"/>
          <w:vertAlign w:val="superscript"/>
        </w:rPr>
        <w:t>1</w:t>
      </w:r>
      <w:r w:rsidRPr="23C8C242" w:rsidR="0DA694CC">
        <w:rPr>
          <w:sz w:val="20"/>
          <w:szCs w:val="20"/>
        </w:rPr>
        <w:t>, BA; Kristine Wolter-Warmerdam</w:t>
      </w:r>
      <w:r w:rsidRPr="23C8C242" w:rsidR="0DA694CC">
        <w:rPr>
          <w:sz w:val="20"/>
          <w:szCs w:val="20"/>
          <w:vertAlign w:val="superscript"/>
        </w:rPr>
        <w:t>1</w:t>
      </w:r>
      <w:r w:rsidRPr="23C8C242" w:rsidR="0DA694CC">
        <w:rPr>
          <w:sz w:val="20"/>
          <w:szCs w:val="20"/>
        </w:rPr>
        <w:t>, PhD</w:t>
      </w:r>
      <w:r w:rsidRPr="23C8C242" w:rsidR="0DA694CC">
        <w:rPr>
          <w:sz w:val="20"/>
          <w:szCs w:val="20"/>
        </w:rPr>
        <w:t xml:space="preserve"> ABD, MA; Allison Meyer</w:t>
      </w:r>
      <w:r w:rsidRPr="23C8C242" w:rsidR="0DA694CC">
        <w:rPr>
          <w:sz w:val="20"/>
          <w:szCs w:val="20"/>
          <w:vertAlign w:val="superscript"/>
        </w:rPr>
        <w:t>1,</w:t>
      </w:r>
      <w:r w:rsidRPr="23C8C242" w:rsidR="0DA694CC">
        <w:rPr>
          <w:sz w:val="20"/>
          <w:szCs w:val="20"/>
          <w:vertAlign w:val="superscript"/>
        </w:rPr>
        <w:t>2</w:t>
      </w:r>
      <w:r w:rsidRPr="23C8C242" w:rsidR="0DA694CC">
        <w:rPr>
          <w:sz w:val="20"/>
          <w:szCs w:val="20"/>
        </w:rPr>
        <w:t>,</w:t>
      </w:r>
      <w:r w:rsidRPr="23C8C242" w:rsidR="0DA694CC">
        <w:rPr>
          <w:sz w:val="20"/>
          <w:szCs w:val="20"/>
        </w:rPr>
        <w:t xml:space="preserve"> PhD</w:t>
      </w:r>
    </w:p>
    <w:p w:rsidR="003D6244" w:rsidP="23C8C242" w:rsidRDefault="003D6244" w14:paraId="6E692E89" w14:textId="1AE99801">
      <w:pPr>
        <w:rPr>
          <w:b w:val="1"/>
          <w:bCs w:val="1"/>
          <w:color w:val="000000" w:themeColor="text1" w:themeTint="FF" w:themeShade="FF"/>
          <w:sz w:val="20"/>
          <w:szCs w:val="20"/>
          <w:lang w:val="en-GB"/>
        </w:rPr>
      </w:pPr>
      <w:r w:rsidRPr="23C8C242" w:rsidR="003D6244">
        <w:rPr>
          <w:b w:val="1"/>
          <w:bCs w:val="1"/>
          <w:sz w:val="20"/>
          <w:szCs w:val="20"/>
        </w:rPr>
        <w:t>Introduction</w:t>
      </w:r>
      <w:r w:rsidRPr="23C8C242" w:rsidR="003D6244">
        <w:rPr>
          <w:sz w:val="20"/>
          <w:szCs w:val="20"/>
        </w:rPr>
        <w:t xml:space="preserve">: </w:t>
      </w:r>
      <w:r w:rsidRPr="23C8C242" w:rsidR="7D1CD032">
        <w:rPr>
          <w:sz w:val="20"/>
          <w:szCs w:val="20"/>
        </w:rPr>
        <w:t>Children with Down syndrome (DS) make up 1 out of 640 live births in the United States (CDC.gov, 2024); many of which are born with or develop to have differing levels of complex medical needs (Hickey et al., 2012). Due to this variability, many children with DS receive several types of therapeutic services and treatments that can overlap with one another. Families with children that have higher numbers of medical co-occurring conditions report difficulty managing the different services and will focus on a few areas while putting others to the side, including mental and behavioral health supports (Justin et al., 2022; Osborn, 2020; Calwell et al., 2023). Our preliminary review aims to identify the use of mental and behavioral health services for children with DS in relation to their medical diagnosis complexity and other therapies or services utilized.</w:t>
      </w:r>
    </w:p>
    <w:p w:rsidR="003D6244" w:rsidP="23C8C242" w:rsidRDefault="003D6244" w14:paraId="493CBCD5" w14:textId="6122827D">
      <w:pPr>
        <w:rPr>
          <w:color w:val="000000" w:themeColor="text1" w:themeTint="FF" w:themeShade="FF"/>
          <w:sz w:val="20"/>
          <w:szCs w:val="20"/>
          <w:lang w:val="en-US"/>
        </w:rPr>
      </w:pPr>
      <w:r w:rsidRPr="23C8C242" w:rsidR="003D6244">
        <w:rPr>
          <w:b w:val="1"/>
          <w:bCs w:val="1"/>
          <w:color w:val="000000" w:themeColor="text1" w:themeTint="FF" w:themeShade="FF"/>
          <w:sz w:val="20"/>
          <w:szCs w:val="20"/>
          <w:lang w:val="en-US"/>
        </w:rPr>
        <w:t>Method</w:t>
      </w:r>
      <w:r w:rsidRPr="23C8C242" w:rsidR="003D6244">
        <w:rPr>
          <w:color w:val="000000" w:themeColor="text1" w:themeTint="FF" w:themeShade="FF"/>
          <w:sz w:val="20"/>
          <w:szCs w:val="20"/>
          <w:lang w:val="en-US"/>
        </w:rPr>
        <w:t>:</w:t>
      </w:r>
      <w:r w:rsidRPr="23C8C242" w:rsidR="2CC039E7">
        <w:rPr>
          <w:color w:val="000000" w:themeColor="text1" w:themeTint="FF" w:themeShade="FF"/>
          <w:sz w:val="20"/>
          <w:szCs w:val="20"/>
          <w:lang w:val="en-US"/>
        </w:rPr>
        <w:t xml:space="preserve"> Through a retrospective review of caregiver responses from a clinic initiative survey, we analyzed data for the use of mental and behavioral health services and the impact of medical comorbidity numbers. Responses for 170 children with DS (Mean age= 9.5; male=57.1%, English speaking=78.8%; Spanish speaking=21.2%) that received care through a multidisciplinary clinic specializing in DS were reviewed. The survey asked questions on current services utilized (mental/behavioral health and medical based therapies/services), caregiver opinion on mental health, and caregiver interest in learning about mental health. Demographics and medical co-occurring conditions were merged with the results. Children with DS were classified into two groups: low level of co-occurring medical conditions (0-15.99) and high levels of co-occurring (16+) medical conditions. These groups were defined by a median split of the number medical co-occurring conditions (median=16) Frequencies are reported and chi-square tests were completed between medical co-occurring conditions and reported therapies and services from the caregiver survey.  </w:t>
      </w:r>
    </w:p>
    <w:p w:rsidR="003D6244" w:rsidP="23C8C242" w:rsidRDefault="003D6244" w14:paraId="51BF3A75" w14:textId="0AC2B973">
      <w:pPr>
        <w:pStyle w:val="Normal"/>
        <w:rPr>
          <w:rFonts w:cs="Calibri"/>
          <w:color w:val="000000" w:themeColor="text1" w:themeTint="FF" w:themeShade="FF"/>
          <w:sz w:val="20"/>
          <w:szCs w:val="20"/>
          <w:lang w:val="en-US"/>
        </w:rPr>
      </w:pPr>
      <w:r w:rsidRPr="23C8C242" w:rsidR="003D6244">
        <w:rPr>
          <w:b w:val="1"/>
          <w:bCs w:val="1"/>
          <w:color w:val="000000" w:themeColor="text1" w:themeTint="FF" w:themeShade="FF"/>
          <w:sz w:val="20"/>
          <w:szCs w:val="20"/>
          <w:lang w:val="en-US"/>
        </w:rPr>
        <w:t>Results</w:t>
      </w:r>
      <w:r w:rsidRPr="23C8C242" w:rsidR="003D6244">
        <w:rPr>
          <w:color w:val="000000" w:themeColor="text1" w:themeTint="FF" w:themeShade="FF"/>
          <w:sz w:val="20"/>
          <w:szCs w:val="20"/>
          <w:lang w:val="en-US"/>
        </w:rPr>
        <w:t>:</w:t>
      </w:r>
      <w:r w:rsidRPr="23C8C242" w:rsidR="35B1021B">
        <w:rPr>
          <w:color w:val="000000" w:themeColor="text1" w:themeTint="FF" w:themeShade="FF"/>
          <w:sz w:val="20"/>
          <w:szCs w:val="20"/>
          <w:lang w:val="en-US"/>
        </w:rPr>
        <w:t xml:space="preserve"> All participants (n=170) had at least one </w:t>
      </w:r>
      <w:r w:rsidRPr="23C8C242" w:rsidR="46F655D0">
        <w:rPr>
          <w:color w:val="000000" w:themeColor="text1" w:themeTint="FF" w:themeShade="FF"/>
          <w:sz w:val="20"/>
          <w:szCs w:val="20"/>
          <w:lang w:val="en-US"/>
        </w:rPr>
        <w:t>co-</w:t>
      </w:r>
      <w:r w:rsidRPr="23C8C242" w:rsidR="12A60FA0">
        <w:rPr>
          <w:color w:val="000000" w:themeColor="text1" w:themeTint="FF" w:themeShade="FF"/>
          <w:sz w:val="20"/>
          <w:szCs w:val="20"/>
          <w:lang w:val="en-US"/>
        </w:rPr>
        <w:t>occurring</w:t>
      </w:r>
      <w:r w:rsidRPr="23C8C242" w:rsidR="46F655D0">
        <w:rPr>
          <w:color w:val="000000" w:themeColor="text1" w:themeTint="FF" w:themeShade="FF"/>
          <w:sz w:val="20"/>
          <w:szCs w:val="20"/>
          <w:lang w:val="en-US"/>
        </w:rPr>
        <w:t xml:space="preserve"> </w:t>
      </w:r>
      <w:r w:rsidRPr="23C8C242" w:rsidR="35B1021B">
        <w:rPr>
          <w:color w:val="000000" w:themeColor="text1" w:themeTint="FF" w:themeShade="FF"/>
          <w:sz w:val="20"/>
          <w:szCs w:val="20"/>
          <w:lang w:val="en-US"/>
        </w:rPr>
        <w:t>medical co</w:t>
      </w:r>
      <w:r w:rsidRPr="23C8C242" w:rsidR="095D1A03">
        <w:rPr>
          <w:color w:val="000000" w:themeColor="text1" w:themeTint="FF" w:themeShade="FF"/>
          <w:sz w:val="20"/>
          <w:szCs w:val="20"/>
          <w:lang w:val="en-US"/>
        </w:rPr>
        <w:t xml:space="preserve">ndition </w:t>
      </w:r>
      <w:r w:rsidRPr="23C8C242" w:rsidR="35B1021B">
        <w:rPr>
          <w:color w:val="000000" w:themeColor="text1" w:themeTint="FF" w:themeShade="FF"/>
          <w:sz w:val="20"/>
          <w:szCs w:val="20"/>
          <w:lang w:val="en-US"/>
        </w:rPr>
        <w:t>identified</w:t>
      </w:r>
      <w:r w:rsidRPr="23C8C242" w:rsidR="35B1021B">
        <w:rPr>
          <w:color w:val="000000" w:themeColor="text1" w:themeTint="FF" w:themeShade="FF"/>
          <w:sz w:val="20"/>
          <w:szCs w:val="20"/>
          <w:lang w:val="en-US"/>
        </w:rPr>
        <w:t xml:space="preserve"> (mean=16.02; median=16; range=3-33). Over half (51.8%) of the families reported that their child used mental or behavioral</w:t>
      </w:r>
      <w:r w:rsidRPr="23C8C242" w:rsidR="17868B88">
        <w:rPr>
          <w:color w:val="000000" w:themeColor="text1" w:themeTint="FF" w:themeShade="FF"/>
          <w:sz w:val="20"/>
          <w:szCs w:val="20"/>
          <w:lang w:val="en-US"/>
        </w:rPr>
        <w:t xml:space="preserve"> health</w:t>
      </w:r>
      <w:r w:rsidRPr="23C8C242" w:rsidR="35B1021B">
        <w:rPr>
          <w:color w:val="000000" w:themeColor="text1" w:themeTint="FF" w:themeShade="FF"/>
          <w:sz w:val="20"/>
          <w:szCs w:val="20"/>
          <w:lang w:val="en-US"/>
        </w:rPr>
        <w:t xml:space="preserve"> therapies (psychological medication management, individual therapy, group therapy, or other) compared to 96.5% using other </w:t>
      </w:r>
      <w:r w:rsidRPr="23C8C242" w:rsidR="6B952624">
        <w:rPr>
          <w:color w:val="000000" w:themeColor="text1" w:themeTint="FF" w:themeShade="FF"/>
          <w:sz w:val="20"/>
          <w:szCs w:val="20"/>
          <w:lang w:val="en-US"/>
        </w:rPr>
        <w:t xml:space="preserve">medical </w:t>
      </w:r>
      <w:r w:rsidRPr="23C8C242" w:rsidR="35B1021B">
        <w:rPr>
          <w:color w:val="000000" w:themeColor="text1" w:themeTint="FF" w:themeShade="FF"/>
          <w:sz w:val="20"/>
          <w:szCs w:val="20"/>
          <w:lang w:val="en-US"/>
        </w:rPr>
        <w:t xml:space="preserve">therapy services (applied behavior analysis, occupational therapy, physical, speech, or other). Both groups of medical co-occurring conditions reported </w:t>
      </w:r>
      <w:r w:rsidRPr="23C8C242" w:rsidR="35B1021B">
        <w:rPr>
          <w:color w:val="000000" w:themeColor="text1" w:themeTint="FF" w:themeShade="FF"/>
          <w:sz w:val="20"/>
          <w:szCs w:val="20"/>
          <w:lang w:val="en-US"/>
        </w:rPr>
        <w:t xml:space="preserve">using </w:t>
      </w:r>
      <w:r w:rsidRPr="23C8C242" w:rsidR="344A01E1">
        <w:rPr>
          <w:color w:val="000000" w:themeColor="text1" w:themeTint="FF" w:themeShade="FF"/>
          <w:sz w:val="20"/>
          <w:szCs w:val="20"/>
          <w:lang w:val="en-US"/>
        </w:rPr>
        <w:t xml:space="preserve">less </w:t>
      </w:r>
      <w:r w:rsidRPr="23C8C242" w:rsidR="35B1021B">
        <w:rPr>
          <w:color w:val="000000" w:themeColor="text1" w:themeTint="FF" w:themeShade="FF"/>
          <w:sz w:val="20"/>
          <w:szCs w:val="20"/>
          <w:lang w:val="en-US"/>
        </w:rPr>
        <w:t>mental and behavioral health therapies</w:t>
      </w:r>
      <w:r w:rsidRPr="23C8C242" w:rsidR="4E52063E">
        <w:rPr>
          <w:color w:val="000000" w:themeColor="text1" w:themeTint="FF" w:themeShade="FF"/>
          <w:sz w:val="20"/>
          <w:szCs w:val="20"/>
          <w:lang w:val="en-US"/>
        </w:rPr>
        <w:t xml:space="preserve"> than other therapies and services</w:t>
      </w:r>
      <w:r w:rsidRPr="23C8C242" w:rsidR="2229819A">
        <w:rPr>
          <w:color w:val="000000" w:themeColor="text1" w:themeTint="FF" w:themeShade="FF"/>
          <w:sz w:val="20"/>
          <w:szCs w:val="20"/>
          <w:lang w:val="en-US"/>
        </w:rPr>
        <w:t>, with the vast majority accessing one type of service alone (i.e., only psychiatric medication, only mental health intervention</w:t>
      </w:r>
      <w:r w:rsidRPr="23C8C242" w:rsidR="0CBAFAD1">
        <w:rPr>
          <w:color w:val="000000" w:themeColor="text1" w:themeTint="FF" w:themeShade="FF"/>
          <w:sz w:val="20"/>
          <w:szCs w:val="20"/>
          <w:lang w:val="en-US"/>
        </w:rPr>
        <w:t>; high=78.4%; low=74.4%</w:t>
      </w:r>
      <w:r w:rsidRPr="23C8C242" w:rsidR="2229819A">
        <w:rPr>
          <w:color w:val="000000" w:themeColor="text1" w:themeTint="FF" w:themeShade="FF"/>
          <w:sz w:val="20"/>
          <w:szCs w:val="20"/>
          <w:lang w:val="en-US"/>
        </w:rPr>
        <w:t>)</w:t>
      </w:r>
      <w:r w:rsidRPr="23C8C242" w:rsidR="35B1021B">
        <w:rPr>
          <w:color w:val="000000" w:themeColor="text1" w:themeTint="FF" w:themeShade="FF"/>
          <w:sz w:val="20"/>
          <w:szCs w:val="20"/>
          <w:lang w:val="en-US"/>
        </w:rPr>
        <w:t xml:space="preserve">. </w:t>
      </w:r>
      <w:r w:rsidRPr="23C8C242" w:rsidR="35B1021B">
        <w:rPr>
          <w:color w:val="000000" w:themeColor="text1" w:themeTint="FF" w:themeShade="FF"/>
          <w:sz w:val="20"/>
          <w:szCs w:val="20"/>
          <w:lang w:val="en-US"/>
        </w:rPr>
        <w:t xml:space="preserve">Approximately half of the families (n=87; 51.2%) reported no prior conversation with a provider regarding their child’s mental health needs. However, 60.0% of caregivers expressed being “interested” or “very interested” in learning about mental and behavioral health, with the high medical group indicating a similar interest in comparison to the low medical group.    </w:t>
      </w:r>
    </w:p>
    <w:p w:rsidRPr="004E6CD2" w:rsidR="003D6244" w:rsidP="23C8C242" w:rsidRDefault="003D6244" w14:paraId="7AC50375" w14:textId="634C6A62">
      <w:pPr>
        <w:pStyle w:val="Normal"/>
        <w:rPr>
          <w:b w:val="1"/>
          <w:bCs w:val="1"/>
          <w:color w:val="000000"/>
          <w:sz w:val="20"/>
          <w:szCs w:val="20"/>
          <w:lang w:val="en-GB"/>
        </w:rPr>
      </w:pPr>
      <w:r w:rsidRPr="23C8C242" w:rsidR="003D6244">
        <w:rPr>
          <w:b w:val="1"/>
          <w:bCs w:val="1"/>
          <w:color w:val="000000" w:themeColor="text1" w:themeTint="FF" w:themeShade="FF"/>
          <w:sz w:val="20"/>
          <w:szCs w:val="20"/>
          <w:lang w:val="en-GB"/>
        </w:rPr>
        <w:t xml:space="preserve">Discussion: </w:t>
      </w:r>
      <w:r w:rsidRPr="23C8C242" w:rsidR="46CA5529">
        <w:rPr>
          <w:b w:val="0"/>
          <w:bCs w:val="0"/>
          <w:color w:val="000000" w:themeColor="text1" w:themeTint="FF" w:themeShade="FF"/>
          <w:sz w:val="20"/>
          <w:szCs w:val="20"/>
          <w:lang w:val="en-GB"/>
        </w:rPr>
        <w:t xml:space="preserve">There were no significant differences </w:t>
      </w:r>
      <w:r w:rsidRPr="23C8C242" w:rsidR="03ABF6A3">
        <w:rPr>
          <w:b w:val="0"/>
          <w:bCs w:val="0"/>
          <w:color w:val="000000" w:themeColor="text1" w:themeTint="FF" w:themeShade="FF"/>
          <w:sz w:val="20"/>
          <w:szCs w:val="20"/>
          <w:lang w:val="en-GB"/>
        </w:rPr>
        <w:t xml:space="preserve">between the </w:t>
      </w:r>
      <w:r w:rsidRPr="23C8C242" w:rsidR="79720712">
        <w:rPr>
          <w:b w:val="0"/>
          <w:bCs w:val="0"/>
          <w:color w:val="000000" w:themeColor="text1" w:themeTint="FF" w:themeShade="FF"/>
          <w:sz w:val="20"/>
          <w:szCs w:val="20"/>
          <w:lang w:val="en-GB"/>
        </w:rPr>
        <w:t>high and low medical complexity groups for</w:t>
      </w:r>
      <w:r w:rsidRPr="23C8C242" w:rsidR="03ABF6A3">
        <w:rPr>
          <w:b w:val="0"/>
          <w:bCs w:val="0"/>
          <w:color w:val="000000" w:themeColor="text1" w:themeTint="FF" w:themeShade="FF"/>
          <w:sz w:val="20"/>
          <w:szCs w:val="20"/>
          <w:lang w:val="en-GB"/>
        </w:rPr>
        <w:t xml:space="preserve"> use of mental and </w:t>
      </w:r>
      <w:r w:rsidRPr="23C8C242" w:rsidR="03ABF6A3">
        <w:rPr>
          <w:b w:val="0"/>
          <w:bCs w:val="0"/>
          <w:color w:val="000000" w:themeColor="text1" w:themeTint="FF" w:themeShade="FF"/>
          <w:sz w:val="20"/>
          <w:szCs w:val="20"/>
          <w:lang w:val="en-GB"/>
        </w:rPr>
        <w:t>behavioral</w:t>
      </w:r>
      <w:r w:rsidRPr="23C8C242" w:rsidR="03ABF6A3">
        <w:rPr>
          <w:b w:val="0"/>
          <w:bCs w:val="0"/>
          <w:color w:val="000000" w:themeColor="text1" w:themeTint="FF" w:themeShade="FF"/>
          <w:sz w:val="20"/>
          <w:szCs w:val="20"/>
          <w:lang w:val="en-GB"/>
        </w:rPr>
        <w:t xml:space="preserve"> health services. </w:t>
      </w:r>
      <w:r w:rsidRPr="23C8C242" w:rsidR="6D81E513">
        <w:rPr>
          <w:b w:val="0"/>
          <w:bCs w:val="0"/>
          <w:color w:val="000000" w:themeColor="text1" w:themeTint="FF" w:themeShade="FF"/>
          <w:sz w:val="20"/>
          <w:szCs w:val="20"/>
          <w:lang w:val="en-GB"/>
        </w:rPr>
        <w:t>There is a</w:t>
      </w:r>
      <w:r w:rsidRPr="23C8C242" w:rsidR="03ABF6A3">
        <w:rPr>
          <w:b w:val="0"/>
          <w:bCs w:val="0"/>
          <w:color w:val="000000" w:themeColor="text1" w:themeTint="FF" w:themeShade="FF"/>
          <w:sz w:val="20"/>
          <w:szCs w:val="20"/>
          <w:lang w:val="en-GB"/>
        </w:rPr>
        <w:t xml:space="preserve">n overall high interest in learning about mental and </w:t>
      </w:r>
      <w:r w:rsidRPr="23C8C242" w:rsidR="03ABF6A3">
        <w:rPr>
          <w:b w:val="0"/>
          <w:bCs w:val="0"/>
          <w:color w:val="000000" w:themeColor="text1" w:themeTint="FF" w:themeShade="FF"/>
          <w:sz w:val="20"/>
          <w:szCs w:val="20"/>
          <w:lang w:val="en-GB"/>
        </w:rPr>
        <w:t>behavioral</w:t>
      </w:r>
      <w:r w:rsidRPr="23C8C242" w:rsidR="03ABF6A3">
        <w:rPr>
          <w:b w:val="0"/>
          <w:bCs w:val="0"/>
          <w:color w:val="000000" w:themeColor="text1" w:themeTint="FF" w:themeShade="FF"/>
          <w:sz w:val="20"/>
          <w:szCs w:val="20"/>
          <w:lang w:val="en-GB"/>
        </w:rPr>
        <w:t xml:space="preserve"> health regardless of </w:t>
      </w:r>
      <w:r w:rsidRPr="23C8C242" w:rsidR="35BD2C58">
        <w:rPr>
          <w:b w:val="0"/>
          <w:bCs w:val="0"/>
          <w:color w:val="000000" w:themeColor="text1" w:themeTint="FF" w:themeShade="FF"/>
          <w:sz w:val="20"/>
          <w:szCs w:val="20"/>
          <w:lang w:val="en-GB"/>
        </w:rPr>
        <w:t xml:space="preserve">whether families are already accessing </w:t>
      </w:r>
      <w:r w:rsidRPr="23C8C242" w:rsidR="03ABF6A3">
        <w:rPr>
          <w:b w:val="0"/>
          <w:bCs w:val="0"/>
          <w:color w:val="000000" w:themeColor="text1" w:themeTint="FF" w:themeShade="FF"/>
          <w:sz w:val="20"/>
          <w:szCs w:val="20"/>
          <w:lang w:val="en-GB"/>
        </w:rPr>
        <w:t xml:space="preserve">mental and </w:t>
      </w:r>
      <w:r w:rsidRPr="23C8C242" w:rsidR="03ABF6A3">
        <w:rPr>
          <w:b w:val="0"/>
          <w:bCs w:val="0"/>
          <w:color w:val="000000" w:themeColor="text1" w:themeTint="FF" w:themeShade="FF"/>
          <w:sz w:val="20"/>
          <w:szCs w:val="20"/>
          <w:lang w:val="en-GB"/>
        </w:rPr>
        <w:t>behavioral</w:t>
      </w:r>
      <w:r w:rsidRPr="23C8C242" w:rsidR="03ABF6A3">
        <w:rPr>
          <w:b w:val="0"/>
          <w:bCs w:val="0"/>
          <w:color w:val="000000" w:themeColor="text1" w:themeTint="FF" w:themeShade="FF"/>
          <w:sz w:val="20"/>
          <w:szCs w:val="20"/>
          <w:lang w:val="en-GB"/>
        </w:rPr>
        <w:t xml:space="preserve"> health services. However, current literature </w:t>
      </w:r>
      <w:r w:rsidRPr="23C8C242" w:rsidR="09EC0F05">
        <w:rPr>
          <w:b w:val="0"/>
          <w:bCs w:val="0"/>
          <w:color w:val="000000" w:themeColor="text1" w:themeTint="FF" w:themeShade="FF"/>
          <w:sz w:val="20"/>
          <w:szCs w:val="20"/>
          <w:lang w:val="en-GB"/>
        </w:rPr>
        <w:t>indicates</w:t>
      </w:r>
      <w:r w:rsidRPr="23C8C242" w:rsidR="09EC0F05">
        <w:rPr>
          <w:b w:val="0"/>
          <w:bCs w:val="0"/>
          <w:color w:val="000000" w:themeColor="text1" w:themeTint="FF" w:themeShade="FF"/>
          <w:sz w:val="20"/>
          <w:szCs w:val="20"/>
          <w:lang w:val="en-GB"/>
        </w:rPr>
        <w:t xml:space="preserve"> </w:t>
      </w:r>
      <w:r w:rsidRPr="23C8C242" w:rsidR="03ABF6A3">
        <w:rPr>
          <w:b w:val="0"/>
          <w:bCs w:val="0"/>
          <w:color w:val="000000" w:themeColor="text1" w:themeTint="FF" w:themeShade="FF"/>
          <w:sz w:val="20"/>
          <w:szCs w:val="20"/>
          <w:lang w:val="en-GB"/>
        </w:rPr>
        <w:t>that individuals with high reports of co-occurring medical conditions do have difficulties accessing care supports</w:t>
      </w:r>
      <w:r w:rsidRPr="23C8C242" w:rsidR="17D84713">
        <w:rPr>
          <w:b w:val="0"/>
          <w:bCs w:val="0"/>
          <w:color w:val="000000" w:themeColor="text1" w:themeTint="FF" w:themeShade="FF"/>
          <w:sz w:val="20"/>
          <w:szCs w:val="20"/>
          <w:lang w:val="en-GB"/>
        </w:rPr>
        <w:t xml:space="preserve"> (</w:t>
      </w:r>
      <w:r w:rsidRPr="23C8C242" w:rsidR="1B651E11">
        <w:rPr>
          <w:sz w:val="20"/>
          <w:szCs w:val="20"/>
        </w:rPr>
        <w:t>Calwell et al., 2023; Osborn, 2020</w:t>
      </w:r>
      <w:r w:rsidRPr="23C8C242" w:rsidR="17D84713">
        <w:rPr>
          <w:b w:val="0"/>
          <w:bCs w:val="0"/>
          <w:color w:val="000000" w:themeColor="text1" w:themeTint="FF" w:themeShade="FF"/>
          <w:sz w:val="20"/>
          <w:szCs w:val="20"/>
          <w:lang w:val="en-GB"/>
        </w:rPr>
        <w:t>)</w:t>
      </w:r>
      <w:r w:rsidRPr="23C8C242" w:rsidR="03ABF6A3">
        <w:rPr>
          <w:b w:val="0"/>
          <w:bCs w:val="0"/>
          <w:color w:val="000000" w:themeColor="text1" w:themeTint="FF" w:themeShade="FF"/>
          <w:sz w:val="20"/>
          <w:szCs w:val="20"/>
          <w:lang w:val="en-GB"/>
        </w:rPr>
        <w:t xml:space="preserve">. </w:t>
      </w:r>
      <w:r w:rsidRPr="23C8C242" w:rsidR="03C52E97">
        <w:rPr>
          <w:b w:val="0"/>
          <w:bCs w:val="0"/>
          <w:color w:val="000000" w:themeColor="text1" w:themeTint="FF" w:themeShade="FF"/>
          <w:sz w:val="20"/>
          <w:szCs w:val="20"/>
          <w:lang w:val="en-GB"/>
        </w:rPr>
        <w:t xml:space="preserve">Because many individuals with DS already have high medical complexity, this population may access or approach mental and </w:t>
      </w:r>
      <w:r w:rsidRPr="23C8C242" w:rsidR="03C52E97">
        <w:rPr>
          <w:b w:val="0"/>
          <w:bCs w:val="0"/>
          <w:color w:val="000000" w:themeColor="text1" w:themeTint="FF" w:themeShade="FF"/>
          <w:sz w:val="20"/>
          <w:szCs w:val="20"/>
          <w:lang w:val="en-GB"/>
        </w:rPr>
        <w:t>behavioral</w:t>
      </w:r>
      <w:r w:rsidRPr="23C8C242" w:rsidR="03C52E97">
        <w:rPr>
          <w:b w:val="0"/>
          <w:bCs w:val="0"/>
          <w:color w:val="000000" w:themeColor="text1" w:themeTint="FF" w:themeShade="FF"/>
          <w:sz w:val="20"/>
          <w:szCs w:val="20"/>
          <w:lang w:val="en-GB"/>
        </w:rPr>
        <w:t xml:space="preserve"> health services differently. </w:t>
      </w:r>
      <w:r w:rsidRPr="23C8C242" w:rsidR="03ABF6A3">
        <w:rPr>
          <w:b w:val="0"/>
          <w:bCs w:val="0"/>
          <w:color w:val="000000" w:themeColor="text1" w:themeTint="FF" w:themeShade="FF"/>
          <w:sz w:val="20"/>
          <w:szCs w:val="20"/>
          <w:lang w:val="en-GB"/>
        </w:rPr>
        <w:t xml:space="preserve">Future guidance for this focus would be to </w:t>
      </w:r>
      <w:r w:rsidRPr="23C8C242" w:rsidR="03ABF6A3">
        <w:rPr>
          <w:b w:val="0"/>
          <w:bCs w:val="0"/>
          <w:color w:val="000000" w:themeColor="text1" w:themeTint="FF" w:themeShade="FF"/>
          <w:sz w:val="20"/>
          <w:szCs w:val="20"/>
          <w:lang w:val="en-GB"/>
        </w:rPr>
        <w:t>identify</w:t>
      </w:r>
      <w:r w:rsidRPr="23C8C242" w:rsidR="03ABF6A3">
        <w:rPr>
          <w:b w:val="0"/>
          <w:bCs w:val="0"/>
          <w:color w:val="000000" w:themeColor="text1" w:themeTint="FF" w:themeShade="FF"/>
          <w:sz w:val="20"/>
          <w:szCs w:val="20"/>
          <w:lang w:val="en-GB"/>
        </w:rPr>
        <w:t xml:space="preserve"> the barriers which families are facing in accessing </w:t>
      </w:r>
      <w:r w:rsidRPr="23C8C242" w:rsidR="03ABF6A3">
        <w:rPr>
          <w:b w:val="0"/>
          <w:bCs w:val="0"/>
          <w:color w:val="000000" w:themeColor="text1" w:themeTint="FF" w:themeShade="FF"/>
          <w:sz w:val="20"/>
          <w:szCs w:val="20"/>
          <w:lang w:val="en-GB"/>
        </w:rPr>
        <w:t>behavioral</w:t>
      </w:r>
      <w:r w:rsidRPr="23C8C242" w:rsidR="03ABF6A3">
        <w:rPr>
          <w:b w:val="0"/>
          <w:bCs w:val="0"/>
          <w:color w:val="000000" w:themeColor="text1" w:themeTint="FF" w:themeShade="FF"/>
          <w:sz w:val="20"/>
          <w:szCs w:val="20"/>
          <w:lang w:val="en-GB"/>
        </w:rPr>
        <w:t xml:space="preserve"> and mental health services and </w:t>
      </w:r>
      <w:r w:rsidRPr="23C8C242" w:rsidR="03ABF6A3">
        <w:rPr>
          <w:b w:val="0"/>
          <w:bCs w:val="0"/>
          <w:color w:val="000000" w:themeColor="text1" w:themeTint="FF" w:themeShade="FF"/>
          <w:sz w:val="20"/>
          <w:szCs w:val="20"/>
          <w:lang w:val="en-GB"/>
        </w:rPr>
        <w:t>identify</w:t>
      </w:r>
      <w:r w:rsidRPr="23C8C242" w:rsidR="03ABF6A3">
        <w:rPr>
          <w:b w:val="0"/>
          <w:bCs w:val="0"/>
          <w:color w:val="000000" w:themeColor="text1" w:themeTint="FF" w:themeShade="FF"/>
          <w:sz w:val="20"/>
          <w:szCs w:val="20"/>
          <w:lang w:val="en-GB"/>
        </w:rPr>
        <w:t xml:space="preserve"> if there is a connection between this and medical complexity.</w:t>
      </w:r>
      <w:r w:rsidRPr="23C8C242" w:rsidR="03ABF6A3">
        <w:rPr>
          <w:b w:val="1"/>
          <w:bCs w:val="1"/>
          <w:color w:val="000000" w:themeColor="text1" w:themeTint="FF" w:themeShade="FF"/>
          <w:sz w:val="20"/>
          <w:szCs w:val="20"/>
          <w:lang w:val="en-GB"/>
        </w:rPr>
        <w:t xml:space="preserve">  </w:t>
      </w:r>
      <w:r w:rsidRPr="23C8C242" w:rsidR="3A0BF4EC">
        <w:rPr>
          <w:b w:val="0"/>
          <w:bCs w:val="0"/>
          <w:color w:val="000000" w:themeColor="text1" w:themeTint="FF" w:themeShade="FF"/>
          <w:sz w:val="20"/>
          <w:szCs w:val="20"/>
          <w:lang w:val="en-GB"/>
        </w:rPr>
        <w:t xml:space="preserve">Data collection is ongoing. </w:t>
      </w:r>
    </w:p>
    <w:p w:rsidRPr="009E00A7" w:rsidR="003D6244" w:rsidP="003D6244" w:rsidRDefault="003D6244" w14:paraId="7AC50376" w14:textId="32994321">
      <w:pPr>
        <w:rPr>
          <w:color w:val="000000"/>
          <w:sz w:val="20"/>
          <w:szCs w:val="20"/>
          <w:lang w:val="en-GB"/>
        </w:rPr>
      </w:pPr>
      <w:r w:rsidRPr="23C8C242" w:rsidR="003D6244">
        <w:rPr>
          <w:b w:val="1"/>
          <w:bCs w:val="1"/>
          <w:color w:val="000000" w:themeColor="text1" w:themeTint="FF" w:themeShade="FF"/>
          <w:sz w:val="20"/>
          <w:szCs w:val="20"/>
          <w:lang w:val="en-GB"/>
        </w:rPr>
        <w:t>References</w:t>
      </w:r>
      <w:r w:rsidRPr="23C8C242" w:rsidR="003D6244">
        <w:rPr>
          <w:b w:val="1"/>
          <w:bCs w:val="1"/>
          <w:color w:val="000000" w:themeColor="text1" w:themeTint="FF" w:themeShade="FF"/>
          <w:sz w:val="20"/>
          <w:szCs w:val="20"/>
          <w:lang w:val="en-GB"/>
        </w:rPr>
        <w:t xml:space="preserve">: </w:t>
      </w:r>
    </w:p>
    <w:p w:rsidR="552B384B" w:rsidP="23C8C242" w:rsidRDefault="552B384B" w14:paraId="0932253E" w14:textId="2645894D">
      <w:pPr>
        <w:rPr>
          <w:b w:val="0"/>
          <w:bCs w:val="0"/>
          <w:color w:val="000000" w:themeColor="text1" w:themeTint="FF" w:themeShade="FF"/>
          <w:sz w:val="20"/>
          <w:szCs w:val="20"/>
          <w:lang w:val="en-US"/>
        </w:rPr>
      </w:pPr>
      <w:r w:rsidRPr="23C8C242" w:rsidR="552B384B">
        <w:rPr>
          <w:b w:val="0"/>
          <w:bCs w:val="0"/>
          <w:color w:val="000000" w:themeColor="text1" w:themeTint="FF" w:themeShade="FF"/>
          <w:sz w:val="20"/>
          <w:szCs w:val="20"/>
          <w:lang w:val="en-US"/>
        </w:rPr>
        <w:t xml:space="preserve">Caldwell, A. R., Kim, Y., </w:t>
      </w:r>
      <w:r w:rsidRPr="23C8C242" w:rsidR="552B384B">
        <w:rPr>
          <w:b w:val="0"/>
          <w:bCs w:val="0"/>
          <w:color w:val="000000" w:themeColor="text1" w:themeTint="FF" w:themeShade="FF"/>
          <w:sz w:val="20"/>
          <w:szCs w:val="20"/>
          <w:lang w:val="en-US"/>
        </w:rPr>
        <w:t>Alshahwan</w:t>
      </w:r>
      <w:r w:rsidRPr="23C8C242" w:rsidR="552B384B">
        <w:rPr>
          <w:b w:val="0"/>
          <w:bCs w:val="0"/>
          <w:color w:val="000000" w:themeColor="text1" w:themeTint="FF" w:themeShade="FF"/>
          <w:sz w:val="20"/>
          <w:szCs w:val="20"/>
          <w:lang w:val="en-US"/>
        </w:rPr>
        <w:t xml:space="preserve">, N., </w:t>
      </w:r>
      <w:r w:rsidRPr="23C8C242" w:rsidR="552B384B">
        <w:rPr>
          <w:b w:val="0"/>
          <w:bCs w:val="0"/>
          <w:color w:val="000000" w:themeColor="text1" w:themeTint="FF" w:themeShade="FF"/>
          <w:sz w:val="20"/>
          <w:szCs w:val="20"/>
          <w:lang w:val="en-US"/>
        </w:rPr>
        <w:t>Vellody</w:t>
      </w:r>
      <w:r w:rsidRPr="23C8C242" w:rsidR="552B384B">
        <w:rPr>
          <w:b w:val="0"/>
          <w:bCs w:val="0"/>
          <w:color w:val="000000" w:themeColor="text1" w:themeTint="FF" w:themeShade="FF"/>
          <w:sz w:val="20"/>
          <w:szCs w:val="20"/>
          <w:lang w:val="en-US"/>
        </w:rPr>
        <w:t xml:space="preserve">, K., Bendixen, R. M., Renz, K., ... &amp; Must, A. (2023). Parental </w:t>
      </w:r>
      <w:r w:rsidRPr="23C8C242" w:rsidR="552B384B">
        <w:rPr>
          <w:b w:val="0"/>
          <w:bCs w:val="0"/>
          <w:color w:val="000000" w:themeColor="text1" w:themeTint="FF" w:themeShade="FF"/>
          <w:sz w:val="20"/>
          <w:szCs w:val="20"/>
          <w:lang w:val="en-US"/>
        </w:rPr>
        <w:t>perception</w:t>
      </w:r>
      <w:r w:rsidRPr="23C8C242" w:rsidR="552B384B">
        <w:rPr>
          <w:b w:val="0"/>
          <w:bCs w:val="0"/>
          <w:color w:val="000000" w:themeColor="text1" w:themeTint="FF" w:themeShade="FF"/>
          <w:sz w:val="20"/>
          <w:szCs w:val="20"/>
          <w:lang w:val="en-US"/>
        </w:rPr>
        <w:t xml:space="preserve"> of facilitators and barriers to health among young children with down syndrome: a qualitative study. Frontiers in </w:t>
      </w:r>
      <w:r w:rsidRPr="23C8C242" w:rsidR="552B384B">
        <w:rPr>
          <w:b w:val="0"/>
          <w:bCs w:val="0"/>
          <w:color w:val="000000" w:themeColor="text1" w:themeTint="FF" w:themeShade="FF"/>
          <w:sz w:val="20"/>
          <w:szCs w:val="20"/>
          <w:lang w:val="en-US"/>
        </w:rPr>
        <w:t>Pediatrics</w:t>
      </w:r>
      <w:r w:rsidRPr="23C8C242" w:rsidR="552B384B">
        <w:rPr>
          <w:b w:val="0"/>
          <w:bCs w:val="0"/>
          <w:color w:val="000000" w:themeColor="text1" w:themeTint="FF" w:themeShade="FF"/>
          <w:sz w:val="20"/>
          <w:szCs w:val="20"/>
          <w:lang w:val="en-US"/>
        </w:rPr>
        <w:t xml:space="preserve">, 11, 1155850. </w:t>
      </w:r>
    </w:p>
    <w:p w:rsidR="552B384B" w:rsidP="23C8C242" w:rsidRDefault="552B384B" w14:paraId="3CD8F310" w14:textId="44CCB5D5">
      <w:pPr>
        <w:pStyle w:val="Normal"/>
        <w:rPr>
          <w:b w:val="0"/>
          <w:bCs w:val="0"/>
          <w:color w:val="000000" w:themeColor="text1" w:themeTint="FF" w:themeShade="FF"/>
          <w:sz w:val="20"/>
          <w:szCs w:val="20"/>
          <w:lang w:val="en-US"/>
        </w:rPr>
      </w:pPr>
      <w:r w:rsidRPr="23C8C242" w:rsidR="552B384B">
        <w:rPr>
          <w:b w:val="0"/>
          <w:bCs w:val="0"/>
          <w:color w:val="000000" w:themeColor="text1" w:themeTint="FF" w:themeShade="FF"/>
          <w:sz w:val="20"/>
          <w:szCs w:val="20"/>
          <w:lang w:val="en-US"/>
        </w:rPr>
        <w:t xml:space="preserve">Hickey, F., Hickey, E., &amp; Summar, K. L. (2012). Medical update for children with Down syndrome for the </w:t>
      </w:r>
      <w:r w:rsidRPr="23C8C242" w:rsidR="552B384B">
        <w:rPr>
          <w:b w:val="0"/>
          <w:bCs w:val="0"/>
          <w:color w:val="000000" w:themeColor="text1" w:themeTint="FF" w:themeShade="FF"/>
          <w:sz w:val="20"/>
          <w:szCs w:val="20"/>
          <w:lang w:val="en-US"/>
        </w:rPr>
        <w:t>pediatrician</w:t>
      </w:r>
      <w:r w:rsidRPr="23C8C242" w:rsidR="552B384B">
        <w:rPr>
          <w:b w:val="0"/>
          <w:bCs w:val="0"/>
          <w:color w:val="000000" w:themeColor="text1" w:themeTint="FF" w:themeShade="FF"/>
          <w:sz w:val="20"/>
          <w:szCs w:val="20"/>
          <w:lang w:val="en-US"/>
        </w:rPr>
        <w:t xml:space="preserve"> and family practitioner. Advances in </w:t>
      </w:r>
      <w:r w:rsidRPr="23C8C242" w:rsidR="552B384B">
        <w:rPr>
          <w:b w:val="0"/>
          <w:bCs w:val="0"/>
          <w:color w:val="000000" w:themeColor="text1" w:themeTint="FF" w:themeShade="FF"/>
          <w:sz w:val="20"/>
          <w:szCs w:val="20"/>
          <w:lang w:val="en-US"/>
        </w:rPr>
        <w:t>pediatrics</w:t>
      </w:r>
      <w:r w:rsidRPr="23C8C242" w:rsidR="552B384B">
        <w:rPr>
          <w:b w:val="0"/>
          <w:bCs w:val="0"/>
          <w:color w:val="000000" w:themeColor="text1" w:themeTint="FF" w:themeShade="FF"/>
          <w:sz w:val="20"/>
          <w:szCs w:val="20"/>
          <w:lang w:val="en-US"/>
        </w:rPr>
        <w:t>, 59(1), 137-157</w:t>
      </w:r>
      <w:r w:rsidRPr="23C8C242" w:rsidR="552B384B">
        <w:rPr>
          <w:b w:val="0"/>
          <w:bCs w:val="0"/>
          <w:color w:val="000000" w:themeColor="text1" w:themeTint="FF" w:themeShade="FF"/>
          <w:sz w:val="20"/>
          <w:szCs w:val="20"/>
          <w:lang w:val="en-US"/>
        </w:rPr>
        <w:t xml:space="preserve">.  </w:t>
      </w:r>
      <w:r w:rsidRPr="23C8C242" w:rsidR="552B384B">
        <w:rPr>
          <w:b w:val="0"/>
          <w:bCs w:val="0"/>
          <w:color w:val="000000" w:themeColor="text1" w:themeTint="FF" w:themeShade="FF"/>
          <w:sz w:val="20"/>
          <w:szCs w:val="20"/>
          <w:lang w:val="en-US"/>
        </w:rPr>
        <w:t xml:space="preserve"> </w:t>
      </w:r>
    </w:p>
    <w:p w:rsidR="552B384B" w:rsidP="23C8C242" w:rsidRDefault="552B384B" w14:paraId="47C32FE9" w14:textId="306A799F">
      <w:pPr>
        <w:pStyle w:val="Normal"/>
        <w:rPr>
          <w:b w:val="0"/>
          <w:bCs w:val="0"/>
          <w:color w:val="000000" w:themeColor="text1" w:themeTint="FF" w:themeShade="FF"/>
          <w:sz w:val="20"/>
          <w:szCs w:val="20"/>
          <w:lang w:val="en-US"/>
        </w:rPr>
      </w:pPr>
      <w:r w:rsidRPr="23C8C242" w:rsidR="552B384B">
        <w:rPr>
          <w:b w:val="0"/>
          <w:bCs w:val="0"/>
          <w:color w:val="000000" w:themeColor="text1" w:themeTint="FF" w:themeShade="FF"/>
          <w:sz w:val="20"/>
          <w:szCs w:val="20"/>
          <w:lang w:val="en-US"/>
        </w:rPr>
        <w:t xml:space="preserve">Justin, A. Y., Bayer, N. D., Beach, S. R., Kuo, D. Z., &amp; </w:t>
      </w:r>
      <w:r w:rsidRPr="23C8C242" w:rsidR="552B384B">
        <w:rPr>
          <w:b w:val="0"/>
          <w:bCs w:val="0"/>
          <w:color w:val="000000" w:themeColor="text1" w:themeTint="FF" w:themeShade="FF"/>
          <w:sz w:val="20"/>
          <w:szCs w:val="20"/>
          <w:lang w:val="en-US"/>
        </w:rPr>
        <w:t>Houtrow</w:t>
      </w:r>
      <w:r w:rsidRPr="23C8C242" w:rsidR="552B384B">
        <w:rPr>
          <w:b w:val="0"/>
          <w:bCs w:val="0"/>
          <w:color w:val="000000" w:themeColor="text1" w:themeTint="FF" w:themeShade="FF"/>
          <w:sz w:val="20"/>
          <w:szCs w:val="20"/>
          <w:lang w:val="en-US"/>
        </w:rPr>
        <w:t xml:space="preserve">, A. J. (2022). A national profile of families and caregivers of children with disabilities and/or medical complexity. Academic </w:t>
      </w:r>
      <w:r w:rsidRPr="23C8C242" w:rsidR="552B384B">
        <w:rPr>
          <w:b w:val="0"/>
          <w:bCs w:val="0"/>
          <w:color w:val="000000" w:themeColor="text1" w:themeTint="FF" w:themeShade="FF"/>
          <w:sz w:val="20"/>
          <w:szCs w:val="20"/>
          <w:lang w:val="en-US"/>
        </w:rPr>
        <w:t>Pediatrics</w:t>
      </w:r>
      <w:r w:rsidRPr="23C8C242" w:rsidR="552B384B">
        <w:rPr>
          <w:b w:val="0"/>
          <w:bCs w:val="0"/>
          <w:color w:val="000000" w:themeColor="text1" w:themeTint="FF" w:themeShade="FF"/>
          <w:sz w:val="20"/>
          <w:szCs w:val="20"/>
          <w:lang w:val="en-US"/>
        </w:rPr>
        <w:t xml:space="preserve">, 22(8), 1489-1498. </w:t>
      </w:r>
    </w:p>
    <w:p w:rsidR="552B384B" w:rsidP="23C8C242" w:rsidRDefault="552B384B" w14:paraId="5421A4D7" w14:textId="5920943D">
      <w:pPr>
        <w:pStyle w:val="Normal"/>
        <w:rPr>
          <w:b w:val="0"/>
          <w:bCs w:val="0"/>
          <w:color w:val="000000" w:themeColor="text1" w:themeTint="FF" w:themeShade="FF"/>
          <w:sz w:val="20"/>
          <w:szCs w:val="20"/>
          <w:lang w:val="en-US"/>
        </w:rPr>
      </w:pPr>
      <w:r w:rsidRPr="23C8C242" w:rsidR="552B384B">
        <w:rPr>
          <w:b w:val="0"/>
          <w:bCs w:val="0"/>
          <w:color w:val="000000" w:themeColor="text1" w:themeTint="FF" w:themeShade="FF"/>
          <w:sz w:val="20"/>
          <w:szCs w:val="20"/>
          <w:lang w:val="en-US"/>
        </w:rPr>
        <w:t xml:space="preserve">Kuo, D. Z., Melguizo-Castro, M., Goudie, A., Nick, T. G., Robbins, J. M., &amp; Casey, P. H. (2015). Variation in child health care </w:t>
      </w:r>
      <w:r w:rsidRPr="23C8C242" w:rsidR="552B384B">
        <w:rPr>
          <w:b w:val="0"/>
          <w:bCs w:val="0"/>
          <w:color w:val="000000" w:themeColor="text1" w:themeTint="FF" w:themeShade="FF"/>
          <w:sz w:val="20"/>
          <w:szCs w:val="20"/>
          <w:lang w:val="en-US"/>
        </w:rPr>
        <w:t>utilization</w:t>
      </w:r>
      <w:r w:rsidRPr="23C8C242" w:rsidR="552B384B">
        <w:rPr>
          <w:b w:val="0"/>
          <w:bCs w:val="0"/>
          <w:color w:val="000000" w:themeColor="text1" w:themeTint="FF" w:themeShade="FF"/>
          <w:sz w:val="20"/>
          <w:szCs w:val="20"/>
          <w:lang w:val="en-US"/>
        </w:rPr>
        <w:t xml:space="preserve"> by medical complexity. Maternal and child health journal, 19, 40-48. </w:t>
      </w:r>
    </w:p>
    <w:p w:rsidR="552B384B" w:rsidP="23C8C242" w:rsidRDefault="552B384B" w14:paraId="56476B6C" w14:textId="1886022F">
      <w:pPr>
        <w:pStyle w:val="Normal"/>
        <w:rPr>
          <w:b w:val="0"/>
          <w:bCs w:val="0"/>
          <w:color w:val="000000" w:themeColor="text1" w:themeTint="FF" w:themeShade="FF"/>
          <w:sz w:val="20"/>
          <w:szCs w:val="20"/>
          <w:lang w:val="en-GB"/>
        </w:rPr>
      </w:pPr>
      <w:r w:rsidRPr="23C8C242" w:rsidR="552B384B">
        <w:rPr>
          <w:b w:val="0"/>
          <w:bCs w:val="0"/>
          <w:color w:val="000000" w:themeColor="text1" w:themeTint="FF" w:themeShade="FF"/>
          <w:sz w:val="20"/>
          <w:szCs w:val="20"/>
          <w:lang w:val="en-GB"/>
        </w:rPr>
        <w:t xml:space="preserve">Lee, E. Y., Neil, N., &amp; Friesen, D. C. (2021). Support needs, coping, and stress among parents and caregivers of people with Down syndrome. Research in Developmental Disabilities, 119, 104113. </w:t>
      </w:r>
    </w:p>
    <w:p w:rsidR="552B384B" w:rsidP="23C8C242" w:rsidRDefault="552B384B" w14:paraId="3E62656E" w14:textId="73542DC5">
      <w:pPr>
        <w:pStyle w:val="Normal"/>
        <w:rPr>
          <w:b w:val="0"/>
          <w:bCs w:val="0"/>
          <w:color w:val="000000" w:themeColor="text1" w:themeTint="FF" w:themeShade="FF"/>
          <w:sz w:val="20"/>
          <w:szCs w:val="20"/>
          <w:lang w:val="en-US"/>
        </w:rPr>
      </w:pPr>
      <w:r w:rsidRPr="23C8C242" w:rsidR="552B384B">
        <w:rPr>
          <w:b w:val="0"/>
          <w:bCs w:val="0"/>
          <w:color w:val="000000" w:themeColor="text1" w:themeTint="FF" w:themeShade="FF"/>
          <w:sz w:val="20"/>
          <w:szCs w:val="20"/>
          <w:lang w:val="en-US"/>
        </w:rPr>
        <w:t xml:space="preserve">Menear, K. (2007). Parents' </w:t>
      </w:r>
      <w:r w:rsidRPr="23C8C242" w:rsidR="552B384B">
        <w:rPr>
          <w:b w:val="0"/>
          <w:bCs w:val="0"/>
          <w:color w:val="000000" w:themeColor="text1" w:themeTint="FF" w:themeShade="FF"/>
          <w:sz w:val="20"/>
          <w:szCs w:val="20"/>
          <w:lang w:val="en-US"/>
        </w:rPr>
        <w:t>perceptions</w:t>
      </w:r>
      <w:r w:rsidRPr="23C8C242" w:rsidR="552B384B">
        <w:rPr>
          <w:b w:val="0"/>
          <w:bCs w:val="0"/>
          <w:color w:val="000000" w:themeColor="text1" w:themeTint="FF" w:themeShade="FF"/>
          <w:sz w:val="20"/>
          <w:szCs w:val="20"/>
          <w:lang w:val="en-US"/>
        </w:rPr>
        <w:t xml:space="preserve"> of health and physical activity needs of children with Down syndrome. Down Syndrome Research and Practice, 12(1), 60-68. </w:t>
      </w:r>
    </w:p>
    <w:p w:rsidR="552B384B" w:rsidP="23C8C242" w:rsidRDefault="552B384B" w14:paraId="6FF67C1D" w14:textId="542C5DFB">
      <w:pPr>
        <w:pStyle w:val="Normal"/>
        <w:rPr>
          <w:b w:val="0"/>
          <w:bCs w:val="0"/>
          <w:color w:val="000000" w:themeColor="text1" w:themeTint="FF" w:themeShade="FF"/>
          <w:sz w:val="20"/>
          <w:szCs w:val="20"/>
          <w:lang w:val="en-GB"/>
        </w:rPr>
      </w:pPr>
      <w:r w:rsidRPr="23C8C242" w:rsidR="552B384B">
        <w:rPr>
          <w:b w:val="0"/>
          <w:bCs w:val="0"/>
          <w:color w:val="000000" w:themeColor="text1" w:themeTint="FF" w:themeShade="FF"/>
          <w:sz w:val="20"/>
          <w:szCs w:val="20"/>
          <w:lang w:val="en-GB"/>
        </w:rPr>
        <w:t>Osborn, R., Roberts, L., &amp; Kneebone, I. (2020). Barriers to accessing mental health treatment for parents of children with intellectual disabilities: A preliminary study. Disability and rehabilitation, 42(16), 2311-2317.</w:t>
      </w:r>
    </w:p>
    <w:p w:rsidRPr="008B1E03" w:rsidR="003D6244" w:rsidP="003D6244" w:rsidRDefault="003D6244" w14:paraId="7AC50377" w14:textId="03F0C65D">
      <w:pPr>
        <w:pStyle w:val="FootnoteText"/>
        <w:rPr>
          <w:b w:val="0"/>
          <w:bCs w:val="0"/>
          <w:lang w:val="en-CA"/>
        </w:rPr>
      </w:pPr>
      <w:r w:rsidRPr="008B1E03">
        <w:rPr>
          <w:rStyle w:val="FootnoteReference"/>
          <w:b w:val="0"/>
          <w:bCs w:val="0"/>
        </w:rPr>
        <w:footnoteRef/>
      </w:r>
      <w:r w:rsidRPr="008B1E03" w:rsidR="003D6244">
        <w:rPr>
          <w:b w:val="0"/>
          <w:bCs w:val="0"/>
        </w:rPr>
        <w:t xml:space="preserve"> </w:t>
      </w:r>
      <w:r w:rsidRPr="008B1E03" w:rsidR="248C471F">
        <w:rPr>
          <w:b w:val="0"/>
          <w:bCs w:val="0"/>
        </w:rPr>
        <w:t xml:space="preserve">S</w:t>
      </w:r>
      <w:r w:rsidR="248C471F">
        <w:rPr>
          <w:b w:val="0"/>
          <w:bCs w:val="0"/>
        </w:rPr>
        <w:t>ie</w:t>
      </w:r>
      <w:r w:rsidR="248C471F">
        <w:rPr>
          <w:b w:val="0"/>
          <w:bCs w:val="0"/>
        </w:rPr>
        <w:t xml:space="preserve"> Center for Down Syndrome, Children’s Hospital Colorado</w:t>
      </w:r>
    </w:p>
    <w:p w:rsidRPr="008B1E03" w:rsidR="003D6244" w:rsidP="0059601C" w:rsidRDefault="003D6244" w14:paraId="7AC50379" w14:textId="13904105">
      <w:pPr>
        <w:pStyle w:val="FootnoteText"/>
      </w:pPr>
      <w:r w:rsidRPr="23C8C242" w:rsidR="003D6244">
        <w:rPr>
          <w:rStyle w:val="FootnoteReference"/>
          <w:b w:val="0"/>
          <w:bCs w:val="0"/>
        </w:rPr>
        <w:t>2</w:t>
      </w:r>
      <w:r w:rsidR="003D6244">
        <w:rPr>
          <w:b w:val="0"/>
          <w:bCs w:val="0"/>
        </w:rPr>
        <w:t xml:space="preserve"> </w:t>
      </w:r>
      <w:r w:rsidR="65719290">
        <w:rPr>
          <w:b w:val="0"/>
          <w:bCs w:val="0"/>
        </w:rPr>
        <w:t>University of Colorado School of Medicine, Department o</w:t>
      </w:r>
      <w:r w:rsidR="65719290">
        <w:rPr/>
        <w:t>f Pediatrics</w:t>
      </w:r>
    </w:p>
    <w:p w:rsidRPr="003D6244" w:rsidR="001C735E" w:rsidP="003D6244" w:rsidRDefault="001C735E" w14:paraId="7AC5037A" w14:textId="77777777"/>
    <w:sectPr w:rsidRPr="003D6244" w:rsidR="001C735E" w:rsidSect="00394E2C">
      <w:headerReference w:type="default" r:id="rId10"/>
      <w:footerReference w:type="default" r:id="rId11"/>
      <w:pgSz w:w="12240" w:h="15840" w:orient="portrait"/>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9448E" w:rsidP="00A16498" w:rsidRDefault="0069448E" w14:paraId="760553E5" w14:textId="77777777">
      <w:pPr>
        <w:spacing w:after="0" w:line="240" w:lineRule="auto"/>
      </w:pPr>
      <w:r>
        <w:separator/>
      </w:r>
    </w:p>
  </w:endnote>
  <w:endnote w:type="continuationSeparator" w:id="0">
    <w:p w:rsidR="0069448E" w:rsidP="00A16498" w:rsidRDefault="0069448E" w14:paraId="0596DA2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6035048"/>
      <w:docPartObj>
        <w:docPartGallery w:val="Page Numbers (Bottom of Page)"/>
        <w:docPartUnique/>
      </w:docPartObj>
      <w:rPr>
        <w:b w:val="1"/>
        <w:bCs w:val="1"/>
      </w:rPr>
    </w:sdtPr>
    <w:sdtEndPr>
      <w:rPr>
        <w:b w:val="1"/>
        <w:bCs w:val="1"/>
        <w:sz w:val="20"/>
        <w:szCs w:val="20"/>
      </w:rPr>
    </w:sdtEndPr>
    <w:sdtContent>
      <w:sdt>
        <w:sdtPr>
          <w:id w:val="-1669238322"/>
          <w:docPartObj>
            <w:docPartGallery w:val="Page Numbers (Top of Page)"/>
            <w:docPartUnique/>
          </w:docPartObj>
          <w:rPr>
            <w:b w:val="1"/>
            <w:bCs w:val="1"/>
          </w:rPr>
        </w:sdtPr>
        <w:sdtContent>
          <w:p w:rsidRPr="00F361B2" w:rsidR="003D6244" w:rsidP="003D6244" w:rsidRDefault="003D6244" w14:paraId="7AC50381" w14:textId="77777777">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EndPr>
          <w:rPr>
            <w:b w:val="1"/>
            <w:bCs w:val="1"/>
          </w:rPr>
        </w:sdtEndPr>
      </w:sdt>
    </w:sdtContent>
  </w:sdt>
  <w:p w:rsidR="003D6244" w:rsidRDefault="003D6244" w14:paraId="7AC5038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9448E" w:rsidP="00A16498" w:rsidRDefault="0069448E" w14:paraId="3D59823F" w14:textId="77777777">
      <w:pPr>
        <w:spacing w:after="0" w:line="240" w:lineRule="auto"/>
      </w:pPr>
      <w:r>
        <w:separator/>
      </w:r>
    </w:p>
  </w:footnote>
  <w:footnote w:type="continuationSeparator" w:id="0">
    <w:p w:rsidR="0069448E" w:rsidP="00A16498" w:rsidRDefault="0069448E" w14:paraId="7EA42F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16498" w:rsidRDefault="00A16498" w14:paraId="7AC5037F" w14:textId="77777777">
    <w:pPr>
      <w:pStyle w:val="Header"/>
    </w:pPr>
  </w:p>
  <w:p w:rsidR="00A16498" w:rsidRDefault="00A16498" w14:paraId="7AC5038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9"/>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4D82"/>
    <w:rsid w:val="004473AC"/>
    <w:rsid w:val="00452576"/>
    <w:rsid w:val="0045428A"/>
    <w:rsid w:val="00550360"/>
    <w:rsid w:val="00577DC4"/>
    <w:rsid w:val="0059601C"/>
    <w:rsid w:val="005F3158"/>
    <w:rsid w:val="00625543"/>
    <w:rsid w:val="006535AF"/>
    <w:rsid w:val="006637E7"/>
    <w:rsid w:val="0069448E"/>
    <w:rsid w:val="006C05DD"/>
    <w:rsid w:val="00751FEE"/>
    <w:rsid w:val="007722E4"/>
    <w:rsid w:val="0077649B"/>
    <w:rsid w:val="00777D73"/>
    <w:rsid w:val="007B4CE7"/>
    <w:rsid w:val="00801D2A"/>
    <w:rsid w:val="00817FE3"/>
    <w:rsid w:val="0087492A"/>
    <w:rsid w:val="008938D8"/>
    <w:rsid w:val="009462E3"/>
    <w:rsid w:val="009A6A19"/>
    <w:rsid w:val="009B1DAB"/>
    <w:rsid w:val="009E1B56"/>
    <w:rsid w:val="00A16498"/>
    <w:rsid w:val="00AB7B37"/>
    <w:rsid w:val="00AE4ADB"/>
    <w:rsid w:val="00B226B4"/>
    <w:rsid w:val="00B71AFF"/>
    <w:rsid w:val="00BA2D2D"/>
    <w:rsid w:val="00C6243D"/>
    <w:rsid w:val="00C80718"/>
    <w:rsid w:val="00CF3CDF"/>
    <w:rsid w:val="00D46241"/>
    <w:rsid w:val="00D60D08"/>
    <w:rsid w:val="00DC15FA"/>
    <w:rsid w:val="00E15391"/>
    <w:rsid w:val="00E34365"/>
    <w:rsid w:val="00EC1345"/>
    <w:rsid w:val="00F023E6"/>
    <w:rsid w:val="00F2162A"/>
    <w:rsid w:val="00FF5F04"/>
    <w:rsid w:val="03ABF6A3"/>
    <w:rsid w:val="03C52E97"/>
    <w:rsid w:val="095D1A03"/>
    <w:rsid w:val="09EC0F05"/>
    <w:rsid w:val="0CBAFAD1"/>
    <w:rsid w:val="0DA694CC"/>
    <w:rsid w:val="12A60FA0"/>
    <w:rsid w:val="17868B88"/>
    <w:rsid w:val="17D84713"/>
    <w:rsid w:val="1B651E11"/>
    <w:rsid w:val="2229819A"/>
    <w:rsid w:val="23C8C242"/>
    <w:rsid w:val="248C471F"/>
    <w:rsid w:val="2620CAAD"/>
    <w:rsid w:val="2CC039E7"/>
    <w:rsid w:val="344A01E1"/>
    <w:rsid w:val="35B1021B"/>
    <w:rsid w:val="35BD2C58"/>
    <w:rsid w:val="36696713"/>
    <w:rsid w:val="3A0BF4EC"/>
    <w:rsid w:val="46CA5529"/>
    <w:rsid w:val="46F655D0"/>
    <w:rsid w:val="4A25FA91"/>
    <w:rsid w:val="4E52063E"/>
    <w:rsid w:val="522EBEFF"/>
    <w:rsid w:val="552B384B"/>
    <w:rsid w:val="629E6D37"/>
    <w:rsid w:val="6358DDB4"/>
    <w:rsid w:val="65719290"/>
    <w:rsid w:val="68B1094D"/>
    <w:rsid w:val="6B952624"/>
    <w:rsid w:val="6D81E513"/>
    <w:rsid w:val="739E7DBC"/>
    <w:rsid w:val="79720712"/>
    <w:rsid w:val="7BEC01F6"/>
    <w:rsid w:val="7D1CD032"/>
    <w:rsid w:val="7FC71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styleId="HeaderChar" w:customStyle="1">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styleId="FooterChar" w:customStyle="1">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hAnsi="Calibri" w:eastAsia="Calibri" w:cs="Times New Roman"/>
      <w:sz w:val="20"/>
      <w:szCs w:val="20"/>
    </w:rPr>
  </w:style>
  <w:style w:type="character" w:styleId="FootnoteTextChar" w:customStyle="1">
    <w:name w:val="Footnote Text Char"/>
    <w:basedOn w:val="DefaultParagraphFont"/>
    <w:link w:val="FootnoteText"/>
    <w:uiPriority w:val="99"/>
    <w:rsid w:val="003D6244"/>
    <w:rPr>
      <w:rFonts w:ascii="Calibri" w:hAnsi="Calibri" w:eastAsia="Calibri" w:cs="Times New Roman"/>
      <w:sz w:val="20"/>
      <w:szCs w:val="20"/>
    </w:rPr>
  </w:style>
  <w:style w:type="character" w:styleId="FootnoteReference">
    <w:name w:val="footnote reference"/>
    <w:uiPriority w:val="99"/>
    <w:semiHidden/>
    <w:unhideWhenUsed/>
    <w:rsid w:val="003D6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BA1F5B47B2DF4998FBB6A27B6FC17C" ma:contentTypeVersion="12" ma:contentTypeDescription="Create a new document." ma:contentTypeScope="" ma:versionID="60d98afad30dbb42d9899d46d645251b">
  <xsd:schema xmlns:xsd="http://www.w3.org/2001/XMLSchema" xmlns:xs="http://www.w3.org/2001/XMLSchema" xmlns:p="http://schemas.microsoft.com/office/2006/metadata/properties" xmlns:ns1="http://schemas.microsoft.com/sharepoint/v3" xmlns:ns2="f0db478f-7151-4db3-8ccd-16ec12c7f6e6" targetNamespace="http://schemas.microsoft.com/office/2006/metadata/properties" ma:root="true" ma:fieldsID="5a01182585e29556f77b930707d23b53" ns1:_="" ns2:_="">
    <xsd:import namespace="http://schemas.microsoft.com/sharepoint/v3"/>
    <xsd:import namespace="f0db478f-7151-4db3-8ccd-16ec12c7f6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db478f-7151-4db3-8ccd-16ec12c7f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A15207-603C-4F64-8BF6-810F8E97BC5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UCDHS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2025 Gatlinburg Conference Poster Submission</dc:title>
  <dc:creator>BSHELTON</dc:creator>
  <lastModifiedBy>Bernstein, Rebecca</lastModifiedBy>
  <revision>4</revision>
  <dcterms:created xsi:type="dcterms:W3CDTF">2023-09-01T15:06:00.0000000Z</dcterms:created>
  <dcterms:modified xsi:type="dcterms:W3CDTF">2024-11-04T23:33:12.8299031Z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0x0101003CBA1F5B47B2DF4998FBB6A27B6FC17C</vt:lpwstr>
  </property>
</Properties>
</file>