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50370" w14:textId="45421DFB" w:rsidR="003D6244" w:rsidRPr="00CD6F5F" w:rsidRDefault="003D6244" w:rsidP="003D6244">
      <w:pPr>
        <w:rPr>
          <w:sz w:val="20"/>
          <w:szCs w:val="20"/>
        </w:rPr>
      </w:pPr>
      <w:r w:rsidRPr="00CD6F5F">
        <w:rPr>
          <w:b/>
          <w:sz w:val="20"/>
          <w:szCs w:val="20"/>
        </w:rPr>
        <w:t>Title</w:t>
      </w:r>
      <w:r w:rsidRPr="00CD6F5F">
        <w:rPr>
          <w:sz w:val="20"/>
          <w:szCs w:val="20"/>
        </w:rPr>
        <w:t xml:space="preserve">: </w:t>
      </w:r>
      <w:r w:rsidR="008B5773" w:rsidRPr="00CD6F5F">
        <w:rPr>
          <w:sz w:val="20"/>
          <w:szCs w:val="20"/>
        </w:rPr>
        <w:t>An ADOS-Derived Joint Attention Factor for Module 3: Construct Validity and Links to Intelligence in Autistic Children</w:t>
      </w:r>
    </w:p>
    <w:p w14:paraId="7AC50371" w14:textId="1776F199" w:rsidR="003D6244" w:rsidRPr="00CD6F5F" w:rsidRDefault="003D6244" w:rsidP="003D6244">
      <w:pPr>
        <w:rPr>
          <w:sz w:val="20"/>
          <w:szCs w:val="20"/>
          <w:vertAlign w:val="superscript"/>
        </w:rPr>
      </w:pPr>
      <w:r w:rsidRPr="00CD6F5F">
        <w:rPr>
          <w:b/>
          <w:sz w:val="20"/>
          <w:szCs w:val="20"/>
        </w:rPr>
        <w:t>Authors</w:t>
      </w:r>
      <w:r w:rsidRPr="00CD6F5F">
        <w:rPr>
          <w:sz w:val="20"/>
          <w:szCs w:val="20"/>
        </w:rPr>
        <w:t xml:space="preserve">: </w:t>
      </w:r>
      <w:r w:rsidR="008B5773" w:rsidRPr="00CD6F5F">
        <w:rPr>
          <w:sz w:val="20"/>
          <w:szCs w:val="20"/>
        </w:rPr>
        <w:t>Andrew Dakopolos</w:t>
      </w:r>
      <w:r w:rsidR="008B5773" w:rsidRPr="00CD6F5F">
        <w:rPr>
          <w:sz w:val="20"/>
          <w:szCs w:val="20"/>
          <w:vertAlign w:val="superscript"/>
        </w:rPr>
        <w:t>1,2</w:t>
      </w:r>
      <w:r w:rsidR="008B5773" w:rsidRPr="00CD6F5F">
        <w:rPr>
          <w:sz w:val="20"/>
          <w:szCs w:val="20"/>
        </w:rPr>
        <w:t>, Olivia Surgent</w:t>
      </w:r>
      <w:r w:rsidR="008B5773" w:rsidRPr="00CD6F5F">
        <w:rPr>
          <w:sz w:val="20"/>
          <w:szCs w:val="20"/>
          <w:vertAlign w:val="superscript"/>
        </w:rPr>
        <w:t>1,2</w:t>
      </w:r>
      <w:r w:rsidR="008B5773" w:rsidRPr="00CD6F5F">
        <w:rPr>
          <w:sz w:val="20"/>
          <w:szCs w:val="20"/>
        </w:rPr>
        <w:t>,</w:t>
      </w:r>
      <w:r w:rsidR="005C3A4F">
        <w:rPr>
          <w:sz w:val="20"/>
          <w:szCs w:val="20"/>
        </w:rPr>
        <w:t xml:space="preserve"> Brianna Heath</w:t>
      </w:r>
      <w:r w:rsidR="005C3A4F">
        <w:rPr>
          <w:sz w:val="20"/>
          <w:szCs w:val="20"/>
          <w:vertAlign w:val="superscript"/>
        </w:rPr>
        <w:t>1,2</w:t>
      </w:r>
      <w:r w:rsidR="005C3A4F">
        <w:rPr>
          <w:sz w:val="20"/>
          <w:szCs w:val="20"/>
        </w:rPr>
        <w:t xml:space="preserve">, </w:t>
      </w:r>
      <w:r w:rsidR="008B5773" w:rsidRPr="00CD6F5F">
        <w:rPr>
          <w:sz w:val="20"/>
          <w:szCs w:val="20"/>
        </w:rPr>
        <w:t>Sally Rogers</w:t>
      </w:r>
      <w:r w:rsidR="008B5773" w:rsidRPr="00CD6F5F">
        <w:rPr>
          <w:sz w:val="20"/>
          <w:szCs w:val="20"/>
          <w:vertAlign w:val="superscript"/>
        </w:rPr>
        <w:t>1,2</w:t>
      </w:r>
      <w:r w:rsidR="008B5773" w:rsidRPr="00CD6F5F">
        <w:rPr>
          <w:sz w:val="20"/>
          <w:szCs w:val="20"/>
        </w:rPr>
        <w:t>, Marjorie Solomon</w:t>
      </w:r>
      <w:r w:rsidR="008B5773" w:rsidRPr="00CD6F5F">
        <w:rPr>
          <w:sz w:val="20"/>
          <w:szCs w:val="20"/>
          <w:vertAlign w:val="superscript"/>
        </w:rPr>
        <w:t>1,2</w:t>
      </w:r>
      <w:r w:rsidR="008B5773" w:rsidRPr="00CD6F5F">
        <w:rPr>
          <w:sz w:val="20"/>
          <w:szCs w:val="20"/>
        </w:rPr>
        <w:t>, David Amaral</w:t>
      </w:r>
      <w:r w:rsidR="008B5773" w:rsidRPr="00CD6F5F">
        <w:rPr>
          <w:sz w:val="20"/>
          <w:szCs w:val="20"/>
          <w:vertAlign w:val="superscript"/>
        </w:rPr>
        <w:t>1,2</w:t>
      </w:r>
      <w:r w:rsidR="008B5773" w:rsidRPr="00CD6F5F">
        <w:rPr>
          <w:sz w:val="20"/>
          <w:szCs w:val="20"/>
        </w:rPr>
        <w:t>, Peter Mundy</w:t>
      </w:r>
      <w:r w:rsidR="008B5773" w:rsidRPr="005C3A4F">
        <w:rPr>
          <w:sz w:val="20"/>
          <w:szCs w:val="20"/>
          <w:vertAlign w:val="superscript"/>
        </w:rPr>
        <w:t>1,3</w:t>
      </w:r>
      <w:r w:rsidR="008B5773" w:rsidRPr="00CD6F5F">
        <w:rPr>
          <w:sz w:val="20"/>
          <w:szCs w:val="20"/>
        </w:rPr>
        <w:t>, and Christine Wu Nordahl</w:t>
      </w:r>
      <w:r w:rsidR="008B5773" w:rsidRPr="00CD6F5F">
        <w:rPr>
          <w:sz w:val="20"/>
          <w:szCs w:val="20"/>
          <w:vertAlign w:val="superscript"/>
        </w:rPr>
        <w:t>1,2</w:t>
      </w:r>
    </w:p>
    <w:p w14:paraId="77FE6733" w14:textId="748D7E06" w:rsidR="00452576" w:rsidRPr="00CD6F5F" w:rsidRDefault="003D6244" w:rsidP="003D6244">
      <w:pPr>
        <w:rPr>
          <w:b/>
          <w:iCs/>
          <w:color w:val="000000"/>
          <w:sz w:val="20"/>
          <w:szCs w:val="20"/>
          <w:lang w:val="en-GB"/>
        </w:rPr>
      </w:pPr>
      <w:r w:rsidRPr="00CD6F5F">
        <w:rPr>
          <w:b/>
          <w:sz w:val="20"/>
          <w:szCs w:val="20"/>
        </w:rPr>
        <w:t>Introduction</w:t>
      </w:r>
      <w:r w:rsidRPr="00CD6F5F">
        <w:rPr>
          <w:sz w:val="20"/>
          <w:szCs w:val="20"/>
        </w:rPr>
        <w:t>:</w:t>
      </w:r>
      <w:r w:rsidR="008B5773" w:rsidRPr="00CD6F5F">
        <w:rPr>
          <w:sz w:val="20"/>
          <w:szCs w:val="20"/>
        </w:rPr>
        <w:t xml:space="preserve"> The Autism Diagnostic Observational Schedule</w:t>
      </w:r>
      <w:r w:rsidR="00455A81" w:rsidRPr="00CD6F5F">
        <w:rPr>
          <w:sz w:val="20"/>
          <w:szCs w:val="20"/>
        </w:rPr>
        <w:t>,</w:t>
      </w:r>
      <w:r w:rsidR="008B5773" w:rsidRPr="00CD6F5F">
        <w:rPr>
          <w:sz w:val="20"/>
          <w:szCs w:val="20"/>
        </w:rPr>
        <w:t xml:space="preserve"> Second Edition (ADOS-2) is a gold-standard diagnostic instrument for the evaluation of autism. Its ubiquity in the clinical diagnosis of autism and widespread use in autism research provides a unique opportunity to use results of the ADOS-2 in </w:t>
      </w:r>
      <w:r w:rsidR="00455A81" w:rsidRPr="00CD6F5F">
        <w:rPr>
          <w:sz w:val="20"/>
          <w:szCs w:val="20"/>
        </w:rPr>
        <w:t xml:space="preserve">clinical </w:t>
      </w:r>
      <w:r w:rsidR="008B5773" w:rsidRPr="00CD6F5F">
        <w:rPr>
          <w:sz w:val="20"/>
          <w:szCs w:val="20"/>
        </w:rPr>
        <w:t>investigations. When ADOS-2 calibrated severity scores</w:t>
      </w:r>
      <w:r w:rsidR="00455A81" w:rsidRPr="00CD6F5F">
        <w:rPr>
          <w:sz w:val="20"/>
          <w:szCs w:val="20"/>
        </w:rPr>
        <w:t xml:space="preserve"> (CSSs)</w:t>
      </w:r>
      <w:r w:rsidR="008B5773" w:rsidRPr="00CD6F5F">
        <w:rPr>
          <w:sz w:val="20"/>
          <w:szCs w:val="20"/>
        </w:rPr>
        <w:t xml:space="preserve"> were </w:t>
      </w:r>
      <w:r w:rsidR="00C35C2A" w:rsidRPr="00CD6F5F">
        <w:rPr>
          <w:sz w:val="20"/>
          <w:szCs w:val="20"/>
        </w:rPr>
        <w:t xml:space="preserve">updated in 2007, a third factor emerged in those foundational analyses for modules 1 and 2, which was termed </w:t>
      </w:r>
      <w:r w:rsidR="00455A81" w:rsidRPr="00CD6F5F">
        <w:rPr>
          <w:sz w:val="20"/>
          <w:szCs w:val="20"/>
        </w:rPr>
        <w:t>the</w:t>
      </w:r>
      <w:r w:rsidR="00C35C2A" w:rsidRPr="00CD6F5F">
        <w:rPr>
          <w:sz w:val="20"/>
          <w:szCs w:val="20"/>
        </w:rPr>
        <w:t xml:space="preserve"> “joint attention factor” and was comprised of items including pointing, gestures, showing, initiating joint attention, and unusual eye contact </w:t>
      </w:r>
      <w:r w:rsidR="007A6ED4">
        <w:rPr>
          <w:sz w:val="20"/>
          <w:szCs w:val="20"/>
        </w:rPr>
        <w:fldChar w:fldCharType="begin"/>
      </w:r>
      <w:r w:rsidR="007A6ED4">
        <w:rPr>
          <w:sz w:val="20"/>
          <w:szCs w:val="20"/>
        </w:rPr>
        <w:instrText xml:space="preserve"> ADDIN ZOTERO_ITEM CSL_CITATION {"citationID":"o246DN4I","properties":{"formattedCitation":"(Gotham et al., 2007)","plainCitation":"(Gotham et al., 2007)","noteIndex":0},"citationItems":[{"id":770,"uris":["http://zotero.org/users/13536754/items/JBSYGCGQ"],"itemData":{"id":770,"type":"article-journal","abstract":"Autism Diagnostic Observation Schedule (ADOS) Modules 1-3 item and domain total distributions were reviewed for 1,630 assessments of children aged 14 months to 16 years with an autism spectrum disorder (ASD) or with heterogeneous non-spectrum disorders. Children were divided by language level and age to yield more homogeneous cells. Items were chosen that best differentiated between diagnoses and were arranged into domains on the basis of multi-factor item-response analysis. Reflecting recent research, the revised algorithm now consists of two new domains, Social Affect and Restricted, Repetitive Behaviors (RRB), combined to one score to which thresholds are applied, resulting in generally improved predictive value. © 2006 Springer Science+Business Media, LLC.","container-title":"Journal of Autism and Developmental Disorders","DOI":"10.1007/s10803-006-0280-1","ISSN":"01623257","issue":"4","note":"PMID: 17180459","page":"613-627","title":"The autism diagnostic observation schedule: Revised algorithms for improved diagnostic validity","volume":"37","author":[{"family":"Gotham","given":"Katherine"},{"family":"Risi","given":"Susan"},{"family":"Pickles","given":"Andrew"},{"family":"Lord","given":"Catherine"}],"issued":{"date-parts":[["2007",4]]}}}],"schema":"https://github.com/citation-style-language/schema/raw/master/csl-citation.json"} </w:instrText>
      </w:r>
      <w:r w:rsidR="007A6ED4">
        <w:rPr>
          <w:sz w:val="20"/>
          <w:szCs w:val="20"/>
        </w:rPr>
        <w:fldChar w:fldCharType="separate"/>
      </w:r>
      <w:r w:rsidR="007A6ED4">
        <w:rPr>
          <w:noProof/>
          <w:sz w:val="20"/>
          <w:szCs w:val="20"/>
        </w:rPr>
        <w:t>(Gotham et al., 2007)</w:t>
      </w:r>
      <w:r w:rsidR="007A6ED4">
        <w:rPr>
          <w:sz w:val="20"/>
          <w:szCs w:val="20"/>
        </w:rPr>
        <w:fldChar w:fldCharType="end"/>
      </w:r>
      <w:r w:rsidR="00C35C2A" w:rsidRPr="00CD6F5F">
        <w:rPr>
          <w:sz w:val="20"/>
          <w:szCs w:val="20"/>
        </w:rPr>
        <w:t>. This factor structure was replicated in a new sampl</w:t>
      </w:r>
      <w:r w:rsidR="00815537">
        <w:rPr>
          <w:sz w:val="20"/>
          <w:szCs w:val="20"/>
        </w:rPr>
        <w:t>e</w:t>
      </w:r>
      <w:r w:rsidR="001C5B41">
        <w:rPr>
          <w:sz w:val="20"/>
          <w:szCs w:val="20"/>
        </w:rPr>
        <w:t xml:space="preserve"> </w:t>
      </w:r>
      <w:r w:rsidR="00815537">
        <w:rPr>
          <w:sz w:val="20"/>
          <w:szCs w:val="20"/>
        </w:rPr>
        <w:fldChar w:fldCharType="begin"/>
      </w:r>
      <w:r w:rsidR="00815537">
        <w:rPr>
          <w:sz w:val="20"/>
          <w:szCs w:val="20"/>
        </w:rPr>
        <w:instrText xml:space="preserve"> ADDIN ZOTERO_ITEM CSL_CITATION {"citationID":"NcvGffyt","properties":{"formattedCitation":"(Gotham et al., 2008)","plainCitation":"(Gotham et al., 2008)","noteIndex":0},"citationItems":[{"id":4868,"uris":["http://zotero.org/users/13536754/items/SQJXR8JP"],"itemData":{"id":4868,"type":"article-journal","abstract":"OBJECTIVE: To replicate the factor structure and predictive validity of revised Autism Diagnostic Observation Schedule algorithms in an independent dataset (N = 1,282).\nMETHOD: Algorithm revisions were replicated using data from children ages 18 months to 16 years collected at 11 North American sites participating in the Collaborative Programs for Excellence in Autism and the Studies to Advance Autism Research and Treatment.\nRESULTS: Sensitivities and specificities approximated or exceeded those of the old algorithms except for young children with phrase speech and a clinical diagnosis of pervasive developmental disorders not otherwise specified.\nCONCLUSIONS: Revised algorithms increase comparability between modules and improve the predictive validity of the Autism Diagnostic Observation Schedule for autism cases compared to the original algorithms.","container-title":"Journal of the American Academy of Child and Adolescent Psychiatry","DOI":"10.1097/CHI.0b013e31816bffb7","ISSN":"1527-5418","issue":"6","journalAbbreviation":"J Am Acad Child Adolesc Psychiatry","language":"eng","note":"PMID: 18434924\nPMCID: PMC3057666","page":"642-651","source":"PubMed","title":"A replication of the Autism Diagnostic Observation Schedule (ADOS) revised algorithms","volume":"47","author":[{"family":"Gotham","given":"Katherine"},{"family":"Risi","given":"Susan"},{"family":"Dawson","given":"Geraldine"},{"family":"Tager-Flusberg","given":"Helen"},{"family":"Joseph","given":"Robert"},{"family":"Carter","given":"Alice"},{"family":"Hepburn","given":"Susan"},{"family":"McMAHON","given":"William"},{"family":"Rodier","given":"Patricia"},{"family":"Hyman","given":"Susan L."},{"family":"Sigman","given":"Marian"},{"family":"Rogers","given":"Sally"},{"family":"Landa","given":"Rebecca"},{"family":"Spence","given":"M. Anne"},{"family":"Osann","given":"Kathryn"},{"family":"Flodman","given":"Pamela"},{"family":"Volkmar","given":"Fred"},{"family":"Hollander","given":"Eric"},{"family":"Buxbaum","given":"Joseph"},{"family":"Pickles","given":"Andrew"},{"family":"Lord","given":"Catherine"}],"issued":{"date-parts":[["2008",6]]}}}],"schema":"https://github.com/citation-style-language/schema/raw/master/csl-citation.json"} </w:instrText>
      </w:r>
      <w:r w:rsidR="00815537">
        <w:rPr>
          <w:sz w:val="20"/>
          <w:szCs w:val="20"/>
        </w:rPr>
        <w:fldChar w:fldCharType="separate"/>
      </w:r>
      <w:r w:rsidR="00815537">
        <w:rPr>
          <w:noProof/>
          <w:sz w:val="20"/>
          <w:szCs w:val="20"/>
        </w:rPr>
        <w:t>(Gotham et al., 2008)</w:t>
      </w:r>
      <w:r w:rsidR="00815537">
        <w:rPr>
          <w:sz w:val="20"/>
          <w:szCs w:val="20"/>
        </w:rPr>
        <w:fldChar w:fldCharType="end"/>
      </w:r>
      <w:r w:rsidR="00C35C2A" w:rsidRPr="00CD6F5F">
        <w:rPr>
          <w:sz w:val="20"/>
          <w:szCs w:val="20"/>
        </w:rPr>
        <w:t>, and corroborated by other investigators</w:t>
      </w:r>
      <w:r w:rsidR="00815537">
        <w:rPr>
          <w:sz w:val="20"/>
          <w:szCs w:val="20"/>
        </w:rPr>
        <w:t xml:space="preserve"> </w:t>
      </w:r>
      <w:r w:rsidR="001C5B41">
        <w:rPr>
          <w:sz w:val="20"/>
          <w:szCs w:val="20"/>
        </w:rPr>
        <w:fldChar w:fldCharType="begin"/>
      </w:r>
      <w:r w:rsidR="001C5B41">
        <w:rPr>
          <w:sz w:val="20"/>
          <w:szCs w:val="20"/>
        </w:rPr>
        <w:instrText xml:space="preserve"> ADDIN ZOTERO_ITEM CSL_CITATION {"citationID":"v8NLf5tZ","properties":{"formattedCitation":"(Oosterling et al., 2010)","plainCitation":"(Oosterling et al., 2010)","noteIndex":0},"citationItems":[{"id":4871,"uris":["http://zotero.org/users/13536754/items/RVP9EVNL"],"itemData":{"id":4871,"type":"article-journal","abstract":"Recently, Gotham et al. (2007) proposed revised algorithms for the Autism Diagnostic Observation Schedule (ADOS) with improved diagnostic validity. The aim of the current study was to replicate predictive validity, factor structure, and correlations with age and verbal and nonverbal IQ of the ADOS revised algorithms for Modules 1 and 2 in a large independent Dutch sample (N = 532). Results showed that the improvement of diagnostic validity was most apparent for autism, except in very young or low functioning children. Results for other autism spectrum disorders were less consistent. Overall, these findings support the use of the more homogeneous revised algorithms, with the use of similar items across developmental cells making it easier to compare ADOS scores within and between individuals.","container-title":"Journal of Autism and Developmental Disorders","DOI":"10.1007/s10803-009-0915-0","ISSN":"1573-3432","issue":"6","journalAbbreviation":"J Autism Dev Disord","language":"eng","note":"PMID: 20148299\nPMCID: PMC2864898","page":"689-703","source":"PubMed","title":"Improved diagnostic validity of the ADOS revised algorithms: a replication study in an independent sample","title-short":"Improved diagnostic validity of the ADOS revised algorithms","volume":"40","author":[{"family":"Oosterling","given":"Iris"},{"family":"Roos","given":"Sascha"},{"family":"Bildt","given":"Annelies","non-dropping-particle":"de"},{"family":"Rommelse","given":"Nanda"},{"family":"Jonge","given":"Maretha","non-dropping-particle":"de"},{"family":"Visser","given":"Janne"},{"family":"Lappenschaar","given":"Martijn"},{"family":"Swinkels","given":"Sophie"},{"family":"Gaag","given":"Rutger Jan","non-dropping-particle":"van der"},{"family":"Buitelaar","given":"Jan"}],"issued":{"date-parts":[["2010",6]]}}}],"schema":"https://github.com/citation-style-language/schema/raw/master/csl-citation.json"} </w:instrText>
      </w:r>
      <w:r w:rsidR="001C5B41">
        <w:rPr>
          <w:sz w:val="20"/>
          <w:szCs w:val="20"/>
        </w:rPr>
        <w:fldChar w:fldCharType="separate"/>
      </w:r>
      <w:r w:rsidR="001C5B41">
        <w:rPr>
          <w:noProof/>
          <w:sz w:val="20"/>
          <w:szCs w:val="20"/>
        </w:rPr>
        <w:t>(Oosterling et al., 2010)</w:t>
      </w:r>
      <w:r w:rsidR="001C5B41">
        <w:rPr>
          <w:sz w:val="20"/>
          <w:szCs w:val="20"/>
        </w:rPr>
        <w:fldChar w:fldCharType="end"/>
      </w:r>
      <w:r w:rsidR="00C35C2A" w:rsidRPr="00CD6F5F">
        <w:rPr>
          <w:sz w:val="20"/>
          <w:szCs w:val="20"/>
        </w:rPr>
        <w:t xml:space="preserve">. The ADOS-2 joint attention factor has been used in subsequent investigations and been found to be associated with </w:t>
      </w:r>
      <w:r w:rsidR="007A6ED4">
        <w:rPr>
          <w:sz w:val="20"/>
          <w:szCs w:val="20"/>
        </w:rPr>
        <w:t xml:space="preserve">intelligence in autistic children without intellectual disability </w:t>
      </w:r>
      <w:r w:rsidR="001C5B41">
        <w:rPr>
          <w:sz w:val="20"/>
          <w:szCs w:val="20"/>
        </w:rPr>
        <w:fldChar w:fldCharType="begin"/>
      </w:r>
      <w:r w:rsidR="001C5B41">
        <w:rPr>
          <w:sz w:val="20"/>
          <w:szCs w:val="20"/>
        </w:rPr>
        <w:instrText xml:space="preserve"> ADDIN ZOTERO_ITEM CSL_CITATION {"citationID":"mgwqTHuE","properties":{"formattedCitation":"(Sano et al., 2021)","plainCitation":"(Sano et al., 2021)","noteIndex":0},"citationItems":[{"id":32,"uris":["http://zotero.org/users/13536754/items/GZUIVTY9"],"itemData":{"id":32,"type":"article-journal","abstract":"In children with autism spectrum disorder (ASD), joint attention is regarded as a predictor of language function, social skills, communication, adaptive function, and intelligence. However, existing information about the association between joint attention and intelligence is limited. Most such studies have examined children with low intelligence. For this study, we investigated whether joint attention is related to intelligence in young children with autism spectrum disorder (ASD) without severe intellectual disability. We analyzed 113 children with ASD aged 40–98 months. Their Kaufman Assessment Battery (K-ABC) Mental Processing Index (MPI) scores are 60 and more (mean 93.4). We evaluated their intelligence using K-ABC and evaluated their joint attention using ADOS-2. After we performed simple regression analyses using K-ABC MPI and its nine subscales as dependent variables, using joint attention as the independent variable, we identified joint attention as a positive predictor of the MPI and its two subscales. From this result, we conclude that joint attention is related to intelligence in young children with ASD without severe intellectual disability. This result suggests a beneficial effect of early intervention targeting joint attention for children with ASD. Lay Summary: Joint attention is the ability to coordinate visual attention with another person and then shift one's gaze toward an object or event. Impairment of joint attention is regarded as an early marker of autism spectrum disorder (ASD). This study revealed impairment of joint attention as associated with lower intelligence in ASD children. These results are expected to constitute a rationale for future studies, particularly addressing beneficial effects of early intervention targeting joint attention for children with ASD.","container-title":"Autism Research","DOI":"10.1002/aur.2600","ISSN":"19393806","issue":"12","note":"PMID: 34427050\npublisher: John Wiley and Sons Inc","page":"2603-2612","title":"Joint attention and intelligence in children with autism spectrum disorder without severe intellectual disability","volume":"14","author":[{"family":"Sano","given":"Masuhiko"},{"family":"Yoshimura","given":"Yuko"},{"family":"Hirosawa","given":"Tetsu"},{"family":"Hasegawa","given":"Chiaki"},{"family":"An","given":"Kyung","dropping-particle":"min"},{"family":"Tanaka","given":"Sanae"},{"family":"Naitou","given":"Nobushige"},{"family":"Kikuchi","given":"Mitsuru"}],"issued":{"date-parts":[["2021",12,1]]}}}],"schema":"https://github.com/citation-style-language/schema/raw/master/csl-citation.json"} </w:instrText>
      </w:r>
      <w:r w:rsidR="001C5B41">
        <w:rPr>
          <w:sz w:val="20"/>
          <w:szCs w:val="20"/>
        </w:rPr>
        <w:fldChar w:fldCharType="separate"/>
      </w:r>
      <w:r w:rsidR="001C5B41">
        <w:rPr>
          <w:noProof/>
          <w:sz w:val="20"/>
          <w:szCs w:val="20"/>
        </w:rPr>
        <w:t>(Sano et al., 2021)</w:t>
      </w:r>
      <w:r w:rsidR="001C5B41">
        <w:rPr>
          <w:sz w:val="20"/>
          <w:szCs w:val="20"/>
        </w:rPr>
        <w:fldChar w:fldCharType="end"/>
      </w:r>
      <w:r w:rsidR="00963715">
        <w:rPr>
          <w:sz w:val="20"/>
          <w:szCs w:val="20"/>
        </w:rPr>
        <w:t>,</w:t>
      </w:r>
      <w:r w:rsidR="001C5B41">
        <w:rPr>
          <w:sz w:val="20"/>
          <w:szCs w:val="20"/>
        </w:rPr>
        <w:t xml:space="preserve"> </w:t>
      </w:r>
      <w:r w:rsidR="007A6ED4">
        <w:rPr>
          <w:sz w:val="20"/>
          <w:szCs w:val="20"/>
        </w:rPr>
        <w:t xml:space="preserve">as well as </w:t>
      </w:r>
      <w:r w:rsidR="00963715">
        <w:rPr>
          <w:sz w:val="20"/>
          <w:szCs w:val="20"/>
        </w:rPr>
        <w:t xml:space="preserve">with </w:t>
      </w:r>
      <w:r w:rsidR="007A6ED4">
        <w:rPr>
          <w:sz w:val="20"/>
          <w:szCs w:val="20"/>
        </w:rPr>
        <w:t>cognition and adaptive behavior</w:t>
      </w:r>
      <w:r w:rsidR="001C5B41">
        <w:rPr>
          <w:sz w:val="20"/>
          <w:szCs w:val="20"/>
        </w:rPr>
        <w:t xml:space="preserve"> </w:t>
      </w:r>
      <w:r w:rsidR="001C5B41">
        <w:rPr>
          <w:sz w:val="20"/>
          <w:szCs w:val="20"/>
        </w:rPr>
        <w:fldChar w:fldCharType="begin"/>
      </w:r>
      <w:r w:rsidR="001C5B41">
        <w:rPr>
          <w:sz w:val="20"/>
          <w:szCs w:val="20"/>
        </w:rPr>
        <w:instrText xml:space="preserve"> ADDIN ZOTERO_ITEM CSL_CITATION {"citationID":"9BfBo5Wq","properties":{"formattedCitation":"(Harrison et al., 2016)","plainCitation":"(Harrison et al., 2016)","noteIndex":0},"citationItems":[{"id":739,"uris":["http://zotero.org/users/13536754/items/ZHEET9RR"],"itemData":{"id":739,"type":"article-journal","abstract":"Joint attention skills have been shown to predict language outcomes in children with autism spectrum disorder (ASD). Less is known about the relationship between joint attention (JA) abilities in children with ASD and cognitive and adaptive abilities. In the current study, a subset of items from the Autism Diagnostic Observation Schedule (ADOS), designed to quantify JA abilities, were used to investigate social attention among an unusually large cross-sectional sample of children with ASD (n = 1061). An examination of the association between JA and a range of functional correlates (cognitive and adaptive) revealed JA was significantly related to verbal (VIQ) and non-verbal (NVIQ) cognitive ability as well as all domains of adaptive functioning (socialization, communication, and daily living skills). Additional analyses examined the degree to which the relation between adaptive abilities (socialization, communication, and daily living skills) and JA was maintained after taking into account the potentially mediating role of verbal and nonverbal cognitive ability. Results revealed that VIQ fully mediated the relation between JA and adaptive functioning, whereas the relation between these adaptive variables and JA was only partially mediated by NVIQ. Moderation analyses were also conducted to examine how verbal and non-verbal cognitive ability and gender impacted the relation between JA and adaptive functioning. In line with research showing a relation between language and JA, this indicates that while JA is significantly related to functional outcomes, this appears to be mediated specifically through a verbal cognitive pathway.","container-title":"Research in Autism Spectrum Disorders","DOI":"10.1016/j.rasd.2016.07.001","ISSN":"18780237","note":"publisher: Elsevier Ltd","page":"66-78","title":"Cognitive and adaptive correlates of an ADOS-derived joint attention composite","volume":"29-30","author":[{"family":"Harrison","given":"Ashley Johnson"},{"family":"Lu","given":"Zhenqiu (Laura)"},{"family":"McLean","given":"Rebecca L."},{"family":"Sheinkopf","given":"Stephen J."}],"issued":{"date-parts":[["2016",9,1]]}}}],"schema":"https://github.com/citation-style-language/schema/raw/master/csl-citation.json"} </w:instrText>
      </w:r>
      <w:r w:rsidR="001C5B41">
        <w:rPr>
          <w:sz w:val="20"/>
          <w:szCs w:val="20"/>
        </w:rPr>
        <w:fldChar w:fldCharType="separate"/>
      </w:r>
      <w:r w:rsidR="001C5B41">
        <w:rPr>
          <w:noProof/>
          <w:sz w:val="20"/>
          <w:szCs w:val="20"/>
        </w:rPr>
        <w:t>(Harrison et al., 2016)</w:t>
      </w:r>
      <w:r w:rsidR="001C5B41">
        <w:rPr>
          <w:sz w:val="20"/>
          <w:szCs w:val="20"/>
        </w:rPr>
        <w:fldChar w:fldCharType="end"/>
      </w:r>
      <w:r w:rsidR="00963715">
        <w:rPr>
          <w:sz w:val="20"/>
          <w:szCs w:val="20"/>
        </w:rPr>
        <w:t xml:space="preserve"> among autistic children</w:t>
      </w:r>
      <w:r w:rsidR="001C5B41">
        <w:rPr>
          <w:sz w:val="20"/>
          <w:szCs w:val="20"/>
        </w:rPr>
        <w:t xml:space="preserve">. </w:t>
      </w:r>
      <w:r w:rsidR="00963715">
        <w:rPr>
          <w:sz w:val="20"/>
          <w:szCs w:val="20"/>
        </w:rPr>
        <w:t>Furthermore, t</w:t>
      </w:r>
      <w:r w:rsidR="00963715" w:rsidRPr="00CD6F5F">
        <w:rPr>
          <w:sz w:val="20"/>
          <w:szCs w:val="20"/>
        </w:rPr>
        <w:t xml:space="preserve">here is evidence that once autistic children have begun communicating predominantly with speech, their joint attention skills </w:t>
      </w:r>
      <w:r w:rsidR="00963715">
        <w:rPr>
          <w:sz w:val="20"/>
          <w:szCs w:val="20"/>
        </w:rPr>
        <w:t>remain</w:t>
      </w:r>
      <w:r w:rsidR="00963715" w:rsidRPr="00CD6F5F">
        <w:rPr>
          <w:sz w:val="20"/>
          <w:szCs w:val="20"/>
        </w:rPr>
        <w:t xml:space="preserve"> significantly diminished compared to typically developing peers, even for those </w:t>
      </w:r>
      <w:r w:rsidR="00963715">
        <w:rPr>
          <w:sz w:val="20"/>
          <w:szCs w:val="20"/>
        </w:rPr>
        <w:t>whose</w:t>
      </w:r>
      <w:r w:rsidR="00963715" w:rsidRPr="00CD6F5F">
        <w:rPr>
          <w:sz w:val="20"/>
          <w:szCs w:val="20"/>
        </w:rPr>
        <w:t xml:space="preserve"> mental age</w:t>
      </w:r>
      <w:r w:rsidR="00963715">
        <w:rPr>
          <w:sz w:val="20"/>
          <w:szCs w:val="20"/>
        </w:rPr>
        <w:t xml:space="preserve"> is</w:t>
      </w:r>
      <w:r w:rsidR="00963715" w:rsidRPr="00CD6F5F">
        <w:rPr>
          <w:sz w:val="20"/>
          <w:szCs w:val="20"/>
        </w:rPr>
        <w:t xml:space="preserve"> commensurate with their chronological age</w:t>
      </w:r>
      <w:r w:rsidR="00963715">
        <w:rPr>
          <w:sz w:val="20"/>
          <w:szCs w:val="20"/>
        </w:rPr>
        <w:t xml:space="preserve"> </w:t>
      </w:r>
      <w:r w:rsidR="00963715">
        <w:rPr>
          <w:sz w:val="20"/>
          <w:szCs w:val="20"/>
        </w:rPr>
        <w:fldChar w:fldCharType="begin"/>
      </w:r>
      <w:r w:rsidR="00963715">
        <w:rPr>
          <w:sz w:val="20"/>
          <w:szCs w:val="20"/>
        </w:rPr>
        <w:instrText xml:space="preserve"> ADDIN ZOTERO_ITEM CSL_CITATION {"citationID":"autTILM2","properties":{"formattedCitation":"(Dakopolos &amp; Jahromi, 2019)","plainCitation":"(Dakopolos &amp; Jahromi, 2019)","noteIndex":0},"citationItems":[{"id":964,"uris":["http://zotero.org/users/13536754/items/IYMXLH2Z"],"itemData":{"id":964,"type":"article-journal","container-title":"Infant and Child Development","DOI":"10.1002/icd.2117","ISSN":"1522-7227","issue":"1","page":"e2117","title":"Differences in sensory responses among children with autism spectrum disorder and typical development: Links to joint attention and social competence","volume":"28","author":[{"family":"Dakopolos","given":"Andrew J."},{"family":"Jahromi","given":"Laudan B."}],"issued":{"date-parts":[["2019",1,30]]}}}],"schema":"https://github.com/citation-style-language/schema/raw/master/csl-citation.json"} </w:instrText>
      </w:r>
      <w:r w:rsidR="00963715">
        <w:rPr>
          <w:sz w:val="20"/>
          <w:szCs w:val="20"/>
        </w:rPr>
        <w:fldChar w:fldCharType="separate"/>
      </w:r>
      <w:r w:rsidR="00963715">
        <w:rPr>
          <w:noProof/>
          <w:sz w:val="20"/>
          <w:szCs w:val="20"/>
        </w:rPr>
        <w:t>(Dakopolos &amp; Jahromi, 2019)</w:t>
      </w:r>
      <w:r w:rsidR="00963715">
        <w:rPr>
          <w:sz w:val="20"/>
          <w:szCs w:val="20"/>
        </w:rPr>
        <w:fldChar w:fldCharType="end"/>
      </w:r>
      <w:r w:rsidR="00963715" w:rsidRPr="00CD6F5F">
        <w:rPr>
          <w:sz w:val="20"/>
          <w:szCs w:val="20"/>
        </w:rPr>
        <w:t xml:space="preserve">. </w:t>
      </w:r>
      <w:r w:rsidR="00963715">
        <w:rPr>
          <w:sz w:val="20"/>
          <w:szCs w:val="20"/>
        </w:rPr>
        <w:t>Given that</w:t>
      </w:r>
      <w:r w:rsidR="003E6289">
        <w:rPr>
          <w:sz w:val="20"/>
          <w:szCs w:val="20"/>
        </w:rPr>
        <w:t xml:space="preserve"> individual differences in</w:t>
      </w:r>
      <w:r w:rsidR="00963715">
        <w:rPr>
          <w:sz w:val="20"/>
          <w:szCs w:val="20"/>
        </w:rPr>
        <w:t xml:space="preserve"> joint attention</w:t>
      </w:r>
      <w:r w:rsidR="003E6289">
        <w:rPr>
          <w:sz w:val="20"/>
          <w:szCs w:val="20"/>
        </w:rPr>
        <w:t xml:space="preserve"> skills persist into childhood</w:t>
      </w:r>
      <w:r w:rsidR="00963715">
        <w:rPr>
          <w:sz w:val="20"/>
          <w:szCs w:val="20"/>
        </w:rPr>
        <w:t>, t</w:t>
      </w:r>
      <w:r w:rsidR="00C35C2A" w:rsidRPr="00CD6F5F">
        <w:rPr>
          <w:sz w:val="20"/>
          <w:szCs w:val="20"/>
        </w:rPr>
        <w:t>he purpose of the present study was to</w:t>
      </w:r>
      <w:r w:rsidR="00455A81" w:rsidRPr="00CD6F5F">
        <w:rPr>
          <w:sz w:val="20"/>
          <w:szCs w:val="20"/>
        </w:rPr>
        <w:t xml:space="preserve"> </w:t>
      </w:r>
      <w:r w:rsidR="00C35C2A" w:rsidRPr="00CD6F5F">
        <w:rPr>
          <w:sz w:val="20"/>
          <w:szCs w:val="20"/>
        </w:rPr>
        <w:t>explore a novel joint attention factor derived from module 3 ADOS-2 items, with the express goal</w:t>
      </w:r>
      <w:r w:rsidR="003E6289">
        <w:rPr>
          <w:sz w:val="20"/>
          <w:szCs w:val="20"/>
        </w:rPr>
        <w:t>s</w:t>
      </w:r>
      <w:r w:rsidR="00C35C2A" w:rsidRPr="00CD6F5F">
        <w:rPr>
          <w:sz w:val="20"/>
          <w:szCs w:val="20"/>
        </w:rPr>
        <w:t xml:space="preserve"> of </w:t>
      </w:r>
      <w:r w:rsidR="00963715">
        <w:rPr>
          <w:sz w:val="20"/>
          <w:szCs w:val="20"/>
        </w:rPr>
        <w:t>1</w:t>
      </w:r>
      <w:r w:rsidR="00455A81" w:rsidRPr="00CD6F5F">
        <w:rPr>
          <w:sz w:val="20"/>
          <w:szCs w:val="20"/>
        </w:rPr>
        <w:t xml:space="preserve">) </w:t>
      </w:r>
      <w:r w:rsidR="00963715" w:rsidRPr="00CD6F5F">
        <w:rPr>
          <w:sz w:val="20"/>
          <w:szCs w:val="20"/>
        </w:rPr>
        <w:t xml:space="preserve">investigating </w:t>
      </w:r>
      <w:r w:rsidR="00963715">
        <w:rPr>
          <w:sz w:val="20"/>
          <w:szCs w:val="20"/>
        </w:rPr>
        <w:t>the construct validity of the module 3 joint attention factor</w:t>
      </w:r>
      <w:r w:rsidR="00455A81" w:rsidRPr="00CD6F5F">
        <w:rPr>
          <w:sz w:val="20"/>
          <w:szCs w:val="20"/>
        </w:rPr>
        <w:t xml:space="preserve">, and </w:t>
      </w:r>
      <w:r w:rsidR="00963715">
        <w:rPr>
          <w:sz w:val="20"/>
          <w:szCs w:val="20"/>
        </w:rPr>
        <w:t>2</w:t>
      </w:r>
      <w:r w:rsidR="00455A81" w:rsidRPr="00CD6F5F">
        <w:rPr>
          <w:sz w:val="20"/>
          <w:szCs w:val="20"/>
        </w:rPr>
        <w:t>) examin</w:t>
      </w:r>
      <w:r w:rsidR="00963715">
        <w:rPr>
          <w:sz w:val="20"/>
          <w:szCs w:val="20"/>
        </w:rPr>
        <w:t xml:space="preserve">ing </w:t>
      </w:r>
      <w:r w:rsidR="00455A81" w:rsidRPr="00CD6F5F">
        <w:rPr>
          <w:sz w:val="20"/>
          <w:szCs w:val="20"/>
        </w:rPr>
        <w:t xml:space="preserve">the association between joint attention </w:t>
      </w:r>
      <w:r w:rsidR="003E6289">
        <w:rPr>
          <w:sz w:val="20"/>
          <w:szCs w:val="20"/>
        </w:rPr>
        <w:t xml:space="preserve">(ADOS-2 modules 1, 2, and 3 combined) </w:t>
      </w:r>
      <w:r w:rsidR="00455A81" w:rsidRPr="00CD6F5F">
        <w:rPr>
          <w:sz w:val="20"/>
          <w:szCs w:val="20"/>
        </w:rPr>
        <w:t>and IQ compared to other ADOS-2 summary scores</w:t>
      </w:r>
      <w:r w:rsidR="00C35C2A" w:rsidRPr="00CD6F5F">
        <w:rPr>
          <w:sz w:val="20"/>
          <w:szCs w:val="20"/>
        </w:rPr>
        <w:t xml:space="preserve">. </w:t>
      </w:r>
    </w:p>
    <w:p w14:paraId="283A4ADF" w14:textId="6B1C3072" w:rsidR="00CD6F5F" w:rsidRPr="00CD6F5F" w:rsidRDefault="003D6244" w:rsidP="003D6244">
      <w:pPr>
        <w:rPr>
          <w:sz w:val="20"/>
          <w:szCs w:val="20"/>
        </w:rPr>
      </w:pPr>
      <w:r w:rsidRPr="00CD6F5F">
        <w:rPr>
          <w:b/>
          <w:color w:val="000000"/>
          <w:sz w:val="20"/>
          <w:szCs w:val="20"/>
          <w:lang w:val="en-GB"/>
        </w:rPr>
        <w:t>Method</w:t>
      </w:r>
      <w:r w:rsidRPr="00CD6F5F">
        <w:rPr>
          <w:color w:val="000000"/>
          <w:sz w:val="20"/>
          <w:szCs w:val="20"/>
          <w:lang w:val="en-GB"/>
        </w:rPr>
        <w:t xml:space="preserve">: </w:t>
      </w:r>
      <w:r w:rsidR="00CD6F5F" w:rsidRPr="00CD6F5F">
        <w:rPr>
          <w:sz w:val="20"/>
          <w:szCs w:val="20"/>
        </w:rPr>
        <w:t>Longitudinal data was collected in 314 autistic children between the ages of 2-5 years at Visit 1 (n = 139 at Visit 2, 2-years after Visit 1; n = 120 at Visit 3, 4-5 years after Visit 2). All children enrolled in the study received a clinical diagnosis of autism at Visit 1, and diagnosis was confirmed via full clinical evaluation at Visit 2 and 3. ADOS-2 module 3 items were selected that had strong theoretical alignment to joint attention, and exploratory graph analysis and factor analysis were utilized to derive a final factor structure.</w:t>
      </w:r>
      <w:r w:rsidR="00963715">
        <w:rPr>
          <w:sz w:val="20"/>
          <w:szCs w:val="20"/>
        </w:rPr>
        <w:t xml:space="preserve"> These two </w:t>
      </w:r>
      <w:r w:rsidR="003E6289">
        <w:rPr>
          <w:sz w:val="20"/>
          <w:szCs w:val="20"/>
        </w:rPr>
        <w:t>methods</w:t>
      </w:r>
      <w:r w:rsidR="00963715">
        <w:rPr>
          <w:sz w:val="20"/>
          <w:szCs w:val="20"/>
        </w:rPr>
        <w:t xml:space="preserve"> were chosen to establish corroboration</w:t>
      </w:r>
      <w:r w:rsidR="003E6289">
        <w:rPr>
          <w:sz w:val="20"/>
          <w:szCs w:val="20"/>
        </w:rPr>
        <w:t xml:space="preserve"> of the factor</w:t>
      </w:r>
      <w:r w:rsidR="00963715">
        <w:rPr>
          <w:sz w:val="20"/>
          <w:szCs w:val="20"/>
        </w:rPr>
        <w:t>.</w:t>
      </w:r>
      <w:r w:rsidR="00CD6F5F" w:rsidRPr="00CD6F5F">
        <w:rPr>
          <w:sz w:val="20"/>
          <w:szCs w:val="20"/>
        </w:rPr>
        <w:t xml:space="preserve"> Joint attention scores across ADOS-2 modules 1, 2, and 3 and Visits 1, 2, and 3 were analyzed, and then combined. Finally, ADOS-2 calibrated severity scores (CSSs), as well as the social affect (SA) and restricted and repetitive behavior (RRB) subscales were compared to the joint attention factor in relation to intelligence at each study visit. The Mullen Scales of Early Learning (MSEL) was used at Visit 1 to obtain a developmental quotient (DQ), and the Differential Ability Scales-II (DAS-II) was used to measure IQ at Visit 2 and 3.</w:t>
      </w:r>
    </w:p>
    <w:p w14:paraId="7AC50374" w14:textId="3A323F33" w:rsidR="003D6244" w:rsidRPr="00CD6F5F" w:rsidRDefault="003D6244" w:rsidP="003D6244">
      <w:pPr>
        <w:rPr>
          <w:rFonts w:cs="Calibri"/>
          <w:iCs/>
          <w:color w:val="000000"/>
          <w:sz w:val="20"/>
          <w:szCs w:val="20"/>
          <w:lang w:val="en-GB"/>
        </w:rPr>
      </w:pPr>
      <w:r w:rsidRPr="00CD6F5F">
        <w:rPr>
          <w:b/>
          <w:color w:val="000000"/>
          <w:sz w:val="20"/>
          <w:szCs w:val="20"/>
          <w:lang w:val="en-GB"/>
        </w:rPr>
        <w:t>Results</w:t>
      </w:r>
      <w:r w:rsidRPr="00CD6F5F">
        <w:rPr>
          <w:color w:val="000000"/>
          <w:sz w:val="20"/>
          <w:szCs w:val="20"/>
          <w:lang w:val="en-GB"/>
        </w:rPr>
        <w:t xml:space="preserve">: </w:t>
      </w:r>
      <w:r w:rsidR="00CD6F5F">
        <w:rPr>
          <w:color w:val="000000"/>
          <w:sz w:val="20"/>
          <w:szCs w:val="20"/>
          <w:lang w:val="en-GB"/>
        </w:rPr>
        <w:t xml:space="preserve">Results of the exploratory graph analysis and factor analysis </w:t>
      </w:r>
      <w:r w:rsidR="00E9099E">
        <w:rPr>
          <w:color w:val="000000"/>
          <w:sz w:val="20"/>
          <w:szCs w:val="20"/>
          <w:lang w:val="en-GB"/>
        </w:rPr>
        <w:t xml:space="preserve">corroborated </w:t>
      </w:r>
      <w:proofErr w:type="gramStart"/>
      <w:r w:rsidR="00E9099E">
        <w:rPr>
          <w:color w:val="000000"/>
          <w:sz w:val="20"/>
          <w:szCs w:val="20"/>
          <w:lang w:val="en-GB"/>
        </w:rPr>
        <w:t>each other</w:t>
      </w:r>
      <w:r w:rsidR="00F823D2">
        <w:rPr>
          <w:color w:val="000000"/>
          <w:sz w:val="20"/>
          <w:szCs w:val="20"/>
          <w:lang w:val="en-GB"/>
        </w:rPr>
        <w:t>, and</w:t>
      </w:r>
      <w:proofErr w:type="gramEnd"/>
      <w:r w:rsidR="00F823D2">
        <w:rPr>
          <w:color w:val="000000"/>
          <w:sz w:val="20"/>
          <w:szCs w:val="20"/>
          <w:lang w:val="en-GB"/>
        </w:rPr>
        <w:t xml:space="preserve"> identified five ADOS-2 module 3 items that loaded onto our joint attention factor which included: facial expressions, shared enjoyment, offering information, reporting events, and gestures. The module 3 joint attention factor was significantly and strongly associated with </w:t>
      </w:r>
      <w:r w:rsidR="00963715">
        <w:rPr>
          <w:color w:val="000000"/>
          <w:sz w:val="20"/>
          <w:szCs w:val="20"/>
          <w:lang w:val="en-GB"/>
        </w:rPr>
        <w:t xml:space="preserve">the </w:t>
      </w:r>
      <w:r w:rsidR="00F823D2">
        <w:rPr>
          <w:color w:val="000000"/>
          <w:sz w:val="20"/>
          <w:szCs w:val="20"/>
          <w:lang w:val="en-GB"/>
        </w:rPr>
        <w:t>module 1 and 2 joint attention factor (</w:t>
      </w:r>
      <w:proofErr w:type="gramStart"/>
      <w:r w:rsidR="00F823D2">
        <w:rPr>
          <w:i/>
          <w:iCs/>
          <w:color w:val="000000"/>
          <w:sz w:val="20"/>
          <w:szCs w:val="20"/>
          <w:lang w:val="en-GB"/>
        </w:rPr>
        <w:t>r</w:t>
      </w:r>
      <w:r w:rsidR="00F823D2">
        <w:rPr>
          <w:color w:val="000000"/>
          <w:sz w:val="20"/>
          <w:szCs w:val="20"/>
          <w:lang w:val="en-GB"/>
        </w:rPr>
        <w:t>(</w:t>
      </w:r>
      <w:proofErr w:type="gramEnd"/>
      <w:r w:rsidR="00F823D2">
        <w:rPr>
          <w:color w:val="000000"/>
          <w:sz w:val="20"/>
          <w:szCs w:val="20"/>
          <w:lang w:val="en-GB"/>
        </w:rPr>
        <w:t xml:space="preserve">77) = .53, </w:t>
      </w:r>
      <w:r w:rsidR="00F823D2">
        <w:rPr>
          <w:i/>
          <w:iCs/>
          <w:color w:val="000000"/>
          <w:sz w:val="20"/>
          <w:szCs w:val="20"/>
          <w:lang w:val="en-GB"/>
        </w:rPr>
        <w:t>p</w:t>
      </w:r>
      <w:r w:rsidR="00F823D2">
        <w:rPr>
          <w:color w:val="000000"/>
          <w:sz w:val="20"/>
          <w:szCs w:val="20"/>
          <w:lang w:val="en-GB"/>
        </w:rPr>
        <w:t xml:space="preserve"> &lt; .001). The ADOS-2 </w:t>
      </w:r>
      <w:r w:rsidR="00426336">
        <w:rPr>
          <w:color w:val="000000"/>
          <w:sz w:val="20"/>
          <w:szCs w:val="20"/>
          <w:lang w:val="en-GB"/>
        </w:rPr>
        <w:t xml:space="preserve">combined </w:t>
      </w:r>
      <w:r w:rsidR="00F823D2">
        <w:rPr>
          <w:color w:val="000000"/>
          <w:sz w:val="20"/>
          <w:szCs w:val="20"/>
          <w:lang w:val="en-GB"/>
        </w:rPr>
        <w:t>Joint attention factor</w:t>
      </w:r>
      <w:r w:rsidR="00963715">
        <w:rPr>
          <w:color w:val="000000"/>
          <w:sz w:val="20"/>
          <w:szCs w:val="20"/>
          <w:lang w:val="en-GB"/>
        </w:rPr>
        <w:t xml:space="preserve"> (combined across modules 1, 2, and 3)</w:t>
      </w:r>
      <w:r w:rsidR="00426336">
        <w:rPr>
          <w:color w:val="000000"/>
          <w:sz w:val="20"/>
          <w:szCs w:val="20"/>
          <w:lang w:val="en-GB"/>
        </w:rPr>
        <w:t xml:space="preserve"> was strong</w:t>
      </w:r>
      <w:r w:rsidR="0026320E">
        <w:rPr>
          <w:color w:val="000000"/>
          <w:sz w:val="20"/>
          <w:szCs w:val="20"/>
          <w:lang w:val="en-GB"/>
        </w:rPr>
        <w:t>ly</w:t>
      </w:r>
      <w:r w:rsidR="00426336">
        <w:rPr>
          <w:color w:val="000000"/>
          <w:sz w:val="20"/>
          <w:szCs w:val="20"/>
          <w:lang w:val="en-GB"/>
        </w:rPr>
        <w:t xml:space="preserve"> associated with DQ at Visit 1 (</w:t>
      </w:r>
      <w:proofErr w:type="gramStart"/>
      <w:r w:rsidR="00426336">
        <w:rPr>
          <w:i/>
          <w:iCs/>
          <w:color w:val="000000"/>
          <w:sz w:val="20"/>
          <w:szCs w:val="20"/>
          <w:lang w:val="en-GB"/>
        </w:rPr>
        <w:t>r</w:t>
      </w:r>
      <w:r w:rsidR="00426336">
        <w:rPr>
          <w:color w:val="000000"/>
          <w:sz w:val="20"/>
          <w:szCs w:val="20"/>
          <w:lang w:val="en-GB"/>
        </w:rPr>
        <w:t>(</w:t>
      </w:r>
      <w:proofErr w:type="gramEnd"/>
      <w:r w:rsidR="00426336">
        <w:rPr>
          <w:color w:val="000000"/>
          <w:sz w:val="20"/>
          <w:szCs w:val="20"/>
          <w:lang w:val="en-GB"/>
        </w:rPr>
        <w:t xml:space="preserve">312) = .61, </w:t>
      </w:r>
      <w:r w:rsidR="00426336">
        <w:rPr>
          <w:i/>
          <w:iCs/>
          <w:color w:val="000000"/>
          <w:sz w:val="20"/>
          <w:szCs w:val="20"/>
          <w:lang w:val="en-GB"/>
        </w:rPr>
        <w:t>p</w:t>
      </w:r>
      <w:r w:rsidR="00426336">
        <w:rPr>
          <w:color w:val="000000"/>
          <w:sz w:val="20"/>
          <w:szCs w:val="20"/>
          <w:lang w:val="en-GB"/>
        </w:rPr>
        <w:t xml:space="preserve"> &lt; .001), Visit 2 (</w:t>
      </w:r>
      <w:r w:rsidR="00426336">
        <w:rPr>
          <w:i/>
          <w:iCs/>
          <w:color w:val="000000"/>
          <w:sz w:val="20"/>
          <w:szCs w:val="20"/>
          <w:lang w:val="en-GB"/>
        </w:rPr>
        <w:t>r</w:t>
      </w:r>
      <w:r w:rsidR="00426336">
        <w:rPr>
          <w:color w:val="000000"/>
          <w:sz w:val="20"/>
          <w:szCs w:val="20"/>
          <w:lang w:val="en-GB"/>
        </w:rPr>
        <w:t xml:space="preserve">(137) = .78, </w:t>
      </w:r>
      <w:r w:rsidR="00426336">
        <w:rPr>
          <w:i/>
          <w:iCs/>
          <w:color w:val="000000"/>
          <w:sz w:val="20"/>
          <w:szCs w:val="20"/>
          <w:lang w:val="en-GB"/>
        </w:rPr>
        <w:t>p</w:t>
      </w:r>
      <w:r w:rsidR="00426336">
        <w:rPr>
          <w:color w:val="000000"/>
          <w:sz w:val="20"/>
          <w:szCs w:val="20"/>
          <w:lang w:val="en-GB"/>
        </w:rPr>
        <w:t xml:space="preserve"> &lt; .001) and Visit 3 (</w:t>
      </w:r>
      <w:r w:rsidR="00426336">
        <w:rPr>
          <w:i/>
          <w:iCs/>
          <w:color w:val="000000"/>
          <w:sz w:val="20"/>
          <w:szCs w:val="20"/>
          <w:lang w:val="en-GB"/>
        </w:rPr>
        <w:t>r</w:t>
      </w:r>
      <w:r w:rsidR="00426336">
        <w:rPr>
          <w:color w:val="000000"/>
          <w:sz w:val="20"/>
          <w:szCs w:val="20"/>
          <w:lang w:val="en-GB"/>
        </w:rPr>
        <w:t xml:space="preserve">(118) = .65, </w:t>
      </w:r>
      <w:r w:rsidR="00426336">
        <w:rPr>
          <w:i/>
          <w:iCs/>
          <w:color w:val="000000"/>
          <w:sz w:val="20"/>
          <w:szCs w:val="20"/>
          <w:lang w:val="en-GB"/>
        </w:rPr>
        <w:t xml:space="preserve">p </w:t>
      </w:r>
      <w:r w:rsidR="00426336">
        <w:rPr>
          <w:color w:val="000000"/>
          <w:sz w:val="20"/>
          <w:szCs w:val="20"/>
          <w:lang w:val="en-GB"/>
        </w:rPr>
        <w:t xml:space="preserve">&lt;. 001). Importantly, utilizing Fisher’s </w:t>
      </w:r>
      <w:r w:rsidR="00426336" w:rsidRPr="00426336">
        <w:rPr>
          <w:color w:val="000000"/>
          <w:sz w:val="20"/>
          <w:szCs w:val="20"/>
          <w:lang w:val="en-GB"/>
        </w:rPr>
        <w:t>r</w:t>
      </w:r>
      <w:r w:rsidR="00426336">
        <w:rPr>
          <w:color w:val="000000"/>
          <w:sz w:val="20"/>
          <w:szCs w:val="20"/>
          <w:lang w:val="en-GB"/>
        </w:rPr>
        <w:t xml:space="preserve"> to </w:t>
      </w:r>
      <w:r w:rsidR="00426336" w:rsidRPr="00426336">
        <w:rPr>
          <w:color w:val="000000"/>
          <w:sz w:val="20"/>
          <w:szCs w:val="20"/>
          <w:lang w:val="en-GB"/>
        </w:rPr>
        <w:t>z</w:t>
      </w:r>
      <w:r w:rsidR="00426336">
        <w:rPr>
          <w:color w:val="000000"/>
          <w:sz w:val="20"/>
          <w:szCs w:val="20"/>
          <w:lang w:val="en-GB"/>
        </w:rPr>
        <w:t xml:space="preserve"> transformation, </w:t>
      </w:r>
      <w:r w:rsidR="00426336" w:rsidRPr="00426336">
        <w:rPr>
          <w:color w:val="000000"/>
          <w:sz w:val="20"/>
          <w:szCs w:val="20"/>
          <w:lang w:val="en-GB"/>
        </w:rPr>
        <w:t>the</w:t>
      </w:r>
      <w:r w:rsidR="00426336">
        <w:rPr>
          <w:color w:val="000000"/>
          <w:sz w:val="20"/>
          <w:szCs w:val="20"/>
          <w:lang w:val="en-GB"/>
        </w:rPr>
        <w:t xml:space="preserve"> ADOS-2-derived joint attention factor was superior in predicting concurrent </w:t>
      </w:r>
      <w:r w:rsidR="00426336" w:rsidRPr="00963715">
        <w:rPr>
          <w:i/>
          <w:iCs/>
          <w:color w:val="000000"/>
          <w:sz w:val="20"/>
          <w:szCs w:val="20"/>
          <w:lang w:val="en-GB"/>
        </w:rPr>
        <w:t>and</w:t>
      </w:r>
      <w:r w:rsidR="00426336">
        <w:rPr>
          <w:color w:val="000000"/>
          <w:sz w:val="20"/>
          <w:szCs w:val="20"/>
          <w:lang w:val="en-GB"/>
        </w:rPr>
        <w:t xml:space="preserve"> future DQ/IQ than ADOS-2 CSSs, the SA subscale, and the RRB subscale</w:t>
      </w:r>
      <w:r w:rsidR="00963715">
        <w:rPr>
          <w:color w:val="000000"/>
          <w:sz w:val="20"/>
          <w:szCs w:val="20"/>
          <w:lang w:val="en-GB"/>
        </w:rPr>
        <w:t xml:space="preserve"> (range </w:t>
      </w:r>
      <w:r w:rsidR="00963715" w:rsidRPr="00950DBB">
        <w:rPr>
          <w:i/>
          <w:iCs/>
          <w:color w:val="000000"/>
          <w:sz w:val="20"/>
          <w:szCs w:val="20"/>
          <w:lang w:val="en-GB"/>
        </w:rPr>
        <w:t>z</w:t>
      </w:r>
      <w:r w:rsidR="00963715">
        <w:rPr>
          <w:color w:val="000000"/>
          <w:sz w:val="20"/>
          <w:szCs w:val="20"/>
          <w:lang w:val="en-GB"/>
        </w:rPr>
        <w:t xml:space="preserve">-differences = 3.76 – 6.85, all </w:t>
      </w:r>
      <w:r w:rsidR="00963715" w:rsidRPr="00963715">
        <w:rPr>
          <w:color w:val="000000"/>
          <w:sz w:val="20"/>
          <w:szCs w:val="20"/>
          <w:lang w:val="en-GB"/>
        </w:rPr>
        <w:t>p’s</w:t>
      </w:r>
      <w:r w:rsidR="00963715">
        <w:rPr>
          <w:color w:val="000000"/>
          <w:sz w:val="20"/>
          <w:szCs w:val="20"/>
          <w:lang w:val="en-GB"/>
        </w:rPr>
        <w:t xml:space="preserve"> &lt; .001)</w:t>
      </w:r>
      <w:r w:rsidR="00426336">
        <w:rPr>
          <w:color w:val="000000"/>
          <w:sz w:val="20"/>
          <w:szCs w:val="20"/>
          <w:lang w:val="en-GB"/>
        </w:rPr>
        <w:t>.</w:t>
      </w:r>
    </w:p>
    <w:p w14:paraId="448C226B" w14:textId="0BA2511E" w:rsidR="007A6ED4" w:rsidRPr="00963715" w:rsidRDefault="003D6244" w:rsidP="003D6244">
      <w:pPr>
        <w:rPr>
          <w:bCs/>
          <w:color w:val="000000"/>
          <w:sz w:val="20"/>
          <w:szCs w:val="20"/>
          <w:lang w:val="en-GB"/>
        </w:rPr>
      </w:pPr>
      <w:r w:rsidRPr="00CD6F5F">
        <w:rPr>
          <w:b/>
          <w:iCs/>
          <w:color w:val="000000"/>
          <w:sz w:val="20"/>
          <w:szCs w:val="20"/>
          <w:lang w:val="en-GB"/>
        </w:rPr>
        <w:t>Discussion:</w:t>
      </w:r>
      <w:r w:rsidR="00426336">
        <w:rPr>
          <w:b/>
          <w:iCs/>
          <w:color w:val="000000"/>
          <w:sz w:val="20"/>
          <w:szCs w:val="20"/>
          <w:lang w:val="en-GB"/>
        </w:rPr>
        <w:t xml:space="preserve"> </w:t>
      </w:r>
      <w:r w:rsidR="00426336">
        <w:rPr>
          <w:bCs/>
          <w:iCs/>
          <w:color w:val="000000"/>
          <w:sz w:val="20"/>
          <w:szCs w:val="20"/>
          <w:lang w:val="en-GB"/>
        </w:rPr>
        <w:t xml:space="preserve">The present study offers a preliminary </w:t>
      </w:r>
      <w:r w:rsidR="0026320E">
        <w:rPr>
          <w:bCs/>
          <w:iCs/>
          <w:color w:val="000000"/>
          <w:sz w:val="20"/>
          <w:szCs w:val="20"/>
          <w:lang w:val="en-GB"/>
        </w:rPr>
        <w:t>investigation</w:t>
      </w:r>
      <w:r w:rsidR="00426336">
        <w:rPr>
          <w:bCs/>
          <w:iCs/>
          <w:color w:val="000000"/>
          <w:sz w:val="20"/>
          <w:szCs w:val="20"/>
          <w:lang w:val="en-GB"/>
        </w:rPr>
        <w:t xml:space="preserve"> to extend joint attention measurement derived from the ADOS-2 developmentally upward, incorporating scores and items from module 3 into already-existing </w:t>
      </w:r>
      <w:r w:rsidR="0026320E">
        <w:rPr>
          <w:bCs/>
          <w:iCs/>
          <w:color w:val="000000"/>
          <w:sz w:val="20"/>
          <w:szCs w:val="20"/>
          <w:lang w:val="en-GB"/>
        </w:rPr>
        <w:t xml:space="preserve">joint attention </w:t>
      </w:r>
      <w:r w:rsidR="00426336">
        <w:rPr>
          <w:bCs/>
          <w:iCs/>
          <w:color w:val="000000"/>
          <w:sz w:val="20"/>
          <w:szCs w:val="20"/>
          <w:lang w:val="en-GB"/>
        </w:rPr>
        <w:t>structures for modules 1 and 2. Results of this work indicate</w:t>
      </w:r>
      <w:r w:rsidR="0026320E">
        <w:rPr>
          <w:bCs/>
          <w:iCs/>
          <w:color w:val="000000"/>
          <w:sz w:val="20"/>
          <w:szCs w:val="20"/>
          <w:lang w:val="en-GB"/>
        </w:rPr>
        <w:t xml:space="preserve"> 1) consistency in the module-3 factor items given corroboration across multiple dimension reduction approaches; 2)</w:t>
      </w:r>
      <w:r w:rsidR="00426336">
        <w:rPr>
          <w:bCs/>
          <w:iCs/>
          <w:color w:val="000000"/>
          <w:sz w:val="20"/>
          <w:szCs w:val="20"/>
          <w:lang w:val="en-GB"/>
        </w:rPr>
        <w:t xml:space="preserve"> our module 3-derived joint attention factor is </w:t>
      </w:r>
      <w:r w:rsidR="0026320E">
        <w:rPr>
          <w:bCs/>
          <w:iCs/>
          <w:color w:val="000000"/>
          <w:sz w:val="20"/>
          <w:szCs w:val="20"/>
          <w:lang w:val="en-GB"/>
        </w:rPr>
        <w:t>conceptually</w:t>
      </w:r>
      <w:r w:rsidR="00426336">
        <w:rPr>
          <w:bCs/>
          <w:iCs/>
          <w:color w:val="000000"/>
          <w:sz w:val="20"/>
          <w:szCs w:val="20"/>
          <w:lang w:val="en-GB"/>
        </w:rPr>
        <w:t xml:space="preserve"> al</w:t>
      </w:r>
      <w:r w:rsidR="0026320E">
        <w:rPr>
          <w:bCs/>
          <w:iCs/>
          <w:color w:val="000000"/>
          <w:sz w:val="20"/>
          <w:szCs w:val="20"/>
          <w:lang w:val="en-GB"/>
        </w:rPr>
        <w:t xml:space="preserve">igned with that of modules 1 and 2; and 3) the ADOS-2 joint attention factor is capturing unique variability – particularly in relation to IQ/DQ across time – compared to CSSs, the SA subscales and the </w:t>
      </w:r>
      <w:r w:rsidR="00531341">
        <w:rPr>
          <w:bCs/>
          <w:iCs/>
          <w:color w:val="000000"/>
          <w:sz w:val="20"/>
          <w:szCs w:val="20"/>
          <w:lang w:val="en-GB"/>
        </w:rPr>
        <w:t xml:space="preserve">RRB subscale. Taken together, we present strong preliminary evidence of the utility of capturing joint attention-related behaviours from early to middle childhood longitudinally with ADOS-2-derived items.   </w:t>
      </w:r>
    </w:p>
    <w:p w14:paraId="7AC50376" w14:textId="4F113C1C" w:rsidR="003D6244" w:rsidRDefault="003D6244" w:rsidP="003D6244">
      <w:pPr>
        <w:rPr>
          <w:b/>
          <w:color w:val="000000"/>
          <w:sz w:val="20"/>
          <w:szCs w:val="20"/>
          <w:lang w:val="en-GB"/>
        </w:rPr>
      </w:pPr>
      <w:r w:rsidRPr="00CD6F5F">
        <w:rPr>
          <w:b/>
          <w:color w:val="000000"/>
          <w:sz w:val="20"/>
          <w:szCs w:val="20"/>
          <w:lang w:val="en-GB"/>
        </w:rPr>
        <w:lastRenderedPageBreak/>
        <w:t xml:space="preserve">References: </w:t>
      </w:r>
    </w:p>
    <w:p w14:paraId="05451454" w14:textId="77777777" w:rsidR="001C5B41" w:rsidRPr="001C5B41" w:rsidRDefault="001C5B41" w:rsidP="001C5B41">
      <w:pPr>
        <w:pStyle w:val="Bibliography"/>
        <w:rPr>
          <w:rFonts w:ascii="Calibri" w:cs="Calibri"/>
          <w:color w:val="000000"/>
          <w:sz w:val="20"/>
        </w:rPr>
      </w:pPr>
      <w:r>
        <w:rPr>
          <w:color w:val="000000"/>
          <w:sz w:val="20"/>
          <w:szCs w:val="20"/>
          <w:lang w:val="en-GB"/>
        </w:rPr>
        <w:fldChar w:fldCharType="begin"/>
      </w:r>
      <w:r>
        <w:rPr>
          <w:color w:val="000000"/>
          <w:sz w:val="20"/>
          <w:szCs w:val="20"/>
          <w:lang w:val="en-GB"/>
        </w:rPr>
        <w:instrText xml:space="preserve"> ADDIN ZOTERO_BIBL {"uncited":[],"omitted":[],"custom":[]} CSL_BIBLIOGRAPHY </w:instrText>
      </w:r>
      <w:r>
        <w:rPr>
          <w:color w:val="000000"/>
          <w:sz w:val="20"/>
          <w:szCs w:val="20"/>
          <w:lang w:val="en-GB"/>
        </w:rPr>
        <w:fldChar w:fldCharType="separate"/>
      </w:r>
      <w:r w:rsidRPr="001C5B41">
        <w:rPr>
          <w:rFonts w:ascii="Calibri" w:cs="Calibri"/>
          <w:color w:val="000000"/>
          <w:sz w:val="20"/>
        </w:rPr>
        <w:t xml:space="preserve">Dakopolos, A. J., &amp; Jahromi, L. B. (2019). Differences in sensory responses among children with autism spectrum disorder and typical development: Links to joint attention and social competence. </w:t>
      </w:r>
      <w:r w:rsidRPr="001C5B41">
        <w:rPr>
          <w:rFonts w:ascii="Calibri" w:cs="Calibri"/>
          <w:i/>
          <w:iCs/>
          <w:color w:val="000000"/>
          <w:sz w:val="20"/>
        </w:rPr>
        <w:t>Infant and Child Development</w:t>
      </w:r>
      <w:r w:rsidRPr="001C5B41">
        <w:rPr>
          <w:rFonts w:ascii="Calibri" w:cs="Calibri"/>
          <w:color w:val="000000"/>
          <w:sz w:val="20"/>
        </w:rPr>
        <w:t xml:space="preserve">, </w:t>
      </w:r>
      <w:r w:rsidRPr="001C5B41">
        <w:rPr>
          <w:rFonts w:ascii="Calibri" w:cs="Calibri"/>
          <w:i/>
          <w:iCs/>
          <w:color w:val="000000"/>
          <w:sz w:val="20"/>
        </w:rPr>
        <w:t>28</w:t>
      </w:r>
      <w:r w:rsidRPr="001C5B41">
        <w:rPr>
          <w:rFonts w:ascii="Calibri" w:cs="Calibri"/>
          <w:color w:val="000000"/>
          <w:sz w:val="20"/>
        </w:rPr>
        <w:t>(1), e2117. https://doi.org/10.1002/icd.2117</w:t>
      </w:r>
    </w:p>
    <w:p w14:paraId="46298CCB" w14:textId="77777777" w:rsidR="001C5B41" w:rsidRPr="001C5B41" w:rsidRDefault="001C5B41" w:rsidP="001C5B41">
      <w:pPr>
        <w:pStyle w:val="Bibliography"/>
        <w:rPr>
          <w:rFonts w:ascii="Calibri" w:cs="Calibri"/>
          <w:color w:val="000000"/>
          <w:sz w:val="20"/>
        </w:rPr>
      </w:pPr>
      <w:r w:rsidRPr="001C5B41">
        <w:rPr>
          <w:rFonts w:ascii="Calibri" w:cs="Calibri"/>
          <w:color w:val="000000"/>
          <w:sz w:val="20"/>
        </w:rPr>
        <w:t xml:space="preserve">Gotham, K., Risi, S., Dawson, G., Tager-Flusberg, H., Joseph, R., Carter, A., Hepburn, S., McMAHON, W., Rodier, P., Hyman, S. L., Sigman, M., Rogers, S., Landa, R., Spence, M. A., Osann, K., Flodman, P., Volkmar, F., Hollander, E., Buxbaum, J., … Lord, C. (2008). A replication of the Autism Diagnostic Observation Schedule (ADOS) revised algorithms. </w:t>
      </w:r>
      <w:r w:rsidRPr="001C5B41">
        <w:rPr>
          <w:rFonts w:ascii="Calibri" w:cs="Calibri"/>
          <w:i/>
          <w:iCs/>
          <w:color w:val="000000"/>
          <w:sz w:val="20"/>
        </w:rPr>
        <w:t>Journal of the American Academy of Child and Adolescent Psychiatry</w:t>
      </w:r>
      <w:r w:rsidRPr="001C5B41">
        <w:rPr>
          <w:rFonts w:ascii="Calibri" w:cs="Calibri"/>
          <w:color w:val="000000"/>
          <w:sz w:val="20"/>
        </w:rPr>
        <w:t xml:space="preserve">, </w:t>
      </w:r>
      <w:r w:rsidRPr="001C5B41">
        <w:rPr>
          <w:rFonts w:ascii="Calibri" w:cs="Calibri"/>
          <w:i/>
          <w:iCs/>
          <w:color w:val="000000"/>
          <w:sz w:val="20"/>
        </w:rPr>
        <w:t>47</w:t>
      </w:r>
      <w:r w:rsidRPr="001C5B41">
        <w:rPr>
          <w:rFonts w:ascii="Calibri" w:cs="Calibri"/>
          <w:color w:val="000000"/>
          <w:sz w:val="20"/>
        </w:rPr>
        <w:t>(6), 642–651. https://doi.org/10.1097/CHI.0b013e31816bffb7</w:t>
      </w:r>
    </w:p>
    <w:p w14:paraId="430B1D04" w14:textId="77777777" w:rsidR="001C5B41" w:rsidRPr="001C5B41" w:rsidRDefault="001C5B41" w:rsidP="001C5B41">
      <w:pPr>
        <w:pStyle w:val="Bibliography"/>
        <w:rPr>
          <w:rFonts w:ascii="Calibri" w:cs="Calibri"/>
          <w:color w:val="000000"/>
          <w:sz w:val="20"/>
        </w:rPr>
      </w:pPr>
      <w:r w:rsidRPr="001C5B41">
        <w:rPr>
          <w:rFonts w:ascii="Calibri" w:cs="Calibri"/>
          <w:color w:val="000000"/>
          <w:sz w:val="20"/>
        </w:rPr>
        <w:t xml:space="preserve">Gotham, K., Risi, S., Pickles, A., &amp; Lord, C. (2007). The autism diagnostic observation schedule: Revised algorithms for improved diagnostic validity. </w:t>
      </w:r>
      <w:r w:rsidRPr="001C5B41">
        <w:rPr>
          <w:rFonts w:ascii="Calibri" w:cs="Calibri"/>
          <w:i/>
          <w:iCs/>
          <w:color w:val="000000"/>
          <w:sz w:val="20"/>
        </w:rPr>
        <w:t>Journal of Autism and Developmental Disorders</w:t>
      </w:r>
      <w:r w:rsidRPr="001C5B41">
        <w:rPr>
          <w:rFonts w:ascii="Calibri" w:cs="Calibri"/>
          <w:color w:val="000000"/>
          <w:sz w:val="20"/>
        </w:rPr>
        <w:t xml:space="preserve">, </w:t>
      </w:r>
      <w:r w:rsidRPr="001C5B41">
        <w:rPr>
          <w:rFonts w:ascii="Calibri" w:cs="Calibri"/>
          <w:i/>
          <w:iCs/>
          <w:color w:val="000000"/>
          <w:sz w:val="20"/>
        </w:rPr>
        <w:t>37</w:t>
      </w:r>
      <w:r w:rsidRPr="001C5B41">
        <w:rPr>
          <w:rFonts w:ascii="Calibri" w:cs="Calibri"/>
          <w:color w:val="000000"/>
          <w:sz w:val="20"/>
        </w:rPr>
        <w:t>(4), 613–627. https://doi.org/10.1007/s10803-006-0280-1</w:t>
      </w:r>
    </w:p>
    <w:p w14:paraId="1C64F10E" w14:textId="77777777" w:rsidR="001C5B41" w:rsidRPr="001C5B41" w:rsidRDefault="001C5B41" w:rsidP="001C5B41">
      <w:pPr>
        <w:pStyle w:val="Bibliography"/>
        <w:rPr>
          <w:rFonts w:ascii="Calibri" w:cs="Calibri"/>
          <w:color w:val="000000"/>
          <w:sz w:val="20"/>
        </w:rPr>
      </w:pPr>
      <w:r w:rsidRPr="001C5B41">
        <w:rPr>
          <w:rFonts w:ascii="Calibri" w:cs="Calibri"/>
          <w:color w:val="000000"/>
          <w:sz w:val="20"/>
        </w:rPr>
        <w:t xml:space="preserve">Harrison, A. J., Lu, Z. (Laura), McLean, R. L., &amp; Sheinkopf, S. J. (2016). Cognitive and adaptive correlates of an ADOS-derived joint attention composite. </w:t>
      </w:r>
      <w:r w:rsidRPr="001C5B41">
        <w:rPr>
          <w:rFonts w:ascii="Calibri" w:cs="Calibri"/>
          <w:i/>
          <w:iCs/>
          <w:color w:val="000000"/>
          <w:sz w:val="20"/>
        </w:rPr>
        <w:t>Research in Autism Spectrum Disorders</w:t>
      </w:r>
      <w:r w:rsidRPr="001C5B41">
        <w:rPr>
          <w:rFonts w:ascii="Calibri" w:cs="Calibri"/>
          <w:color w:val="000000"/>
          <w:sz w:val="20"/>
        </w:rPr>
        <w:t xml:space="preserve">, </w:t>
      </w:r>
      <w:r w:rsidRPr="001C5B41">
        <w:rPr>
          <w:rFonts w:ascii="Calibri" w:cs="Calibri"/>
          <w:i/>
          <w:iCs/>
          <w:color w:val="000000"/>
          <w:sz w:val="20"/>
        </w:rPr>
        <w:t>29–30</w:t>
      </w:r>
      <w:r w:rsidRPr="001C5B41">
        <w:rPr>
          <w:rFonts w:ascii="Calibri" w:cs="Calibri"/>
          <w:color w:val="000000"/>
          <w:sz w:val="20"/>
        </w:rPr>
        <w:t>, 66–78. https://doi.org/10.1016/j.rasd.2016.07.001</w:t>
      </w:r>
    </w:p>
    <w:p w14:paraId="67806E51" w14:textId="77777777" w:rsidR="001C5B41" w:rsidRPr="001C5B41" w:rsidRDefault="001C5B41" w:rsidP="001C5B41">
      <w:pPr>
        <w:pStyle w:val="Bibliography"/>
        <w:rPr>
          <w:rFonts w:ascii="Calibri" w:cs="Calibri"/>
          <w:color w:val="000000"/>
          <w:sz w:val="20"/>
        </w:rPr>
      </w:pPr>
      <w:r w:rsidRPr="001C5B41">
        <w:rPr>
          <w:rFonts w:ascii="Calibri" w:cs="Calibri"/>
          <w:color w:val="000000"/>
          <w:sz w:val="20"/>
        </w:rPr>
        <w:t xml:space="preserve">Oosterling, I., Roos, S., de Bildt, A., Rommelse, N., de Jonge, M., Visser, J., Lappenschaar, M., Swinkels, S., van der Gaag, R. J., &amp; Buitelaar, J. (2010). Improved diagnostic validity of the ADOS revised algorithms: A replication study in an independent sample. </w:t>
      </w:r>
      <w:r w:rsidRPr="001C5B41">
        <w:rPr>
          <w:rFonts w:ascii="Calibri" w:cs="Calibri"/>
          <w:i/>
          <w:iCs/>
          <w:color w:val="000000"/>
          <w:sz w:val="20"/>
        </w:rPr>
        <w:t>Journal of Autism and Developmental Disorders</w:t>
      </w:r>
      <w:r w:rsidRPr="001C5B41">
        <w:rPr>
          <w:rFonts w:ascii="Calibri" w:cs="Calibri"/>
          <w:color w:val="000000"/>
          <w:sz w:val="20"/>
        </w:rPr>
        <w:t xml:space="preserve">, </w:t>
      </w:r>
      <w:r w:rsidRPr="001C5B41">
        <w:rPr>
          <w:rFonts w:ascii="Calibri" w:cs="Calibri"/>
          <w:i/>
          <w:iCs/>
          <w:color w:val="000000"/>
          <w:sz w:val="20"/>
        </w:rPr>
        <w:t>40</w:t>
      </w:r>
      <w:r w:rsidRPr="001C5B41">
        <w:rPr>
          <w:rFonts w:ascii="Calibri" w:cs="Calibri"/>
          <w:color w:val="000000"/>
          <w:sz w:val="20"/>
        </w:rPr>
        <w:t>(6), 689–703. https://doi.org/10.1007/s10803-009-0915-0</w:t>
      </w:r>
    </w:p>
    <w:p w14:paraId="4514F729" w14:textId="77777777" w:rsidR="001C5B41" w:rsidRPr="001C5B41" w:rsidRDefault="001C5B41" w:rsidP="001C5B41">
      <w:pPr>
        <w:pStyle w:val="Bibliography"/>
        <w:rPr>
          <w:rFonts w:ascii="Calibri" w:cs="Calibri"/>
          <w:color w:val="000000"/>
          <w:sz w:val="20"/>
        </w:rPr>
      </w:pPr>
      <w:r w:rsidRPr="001C5B41">
        <w:rPr>
          <w:rFonts w:ascii="Calibri" w:cs="Calibri"/>
          <w:color w:val="000000"/>
          <w:sz w:val="20"/>
        </w:rPr>
        <w:t xml:space="preserve">Sano, M., Yoshimura, Y., Hirosawa, T., Hasegawa, C., An, K. min, Tanaka, S., Naitou, N., &amp; Kikuchi, M. (2021). Joint attention and intelligence in children with autism spectrum disorder without severe intellectual disability. </w:t>
      </w:r>
      <w:r w:rsidRPr="001C5B41">
        <w:rPr>
          <w:rFonts w:ascii="Calibri" w:cs="Calibri"/>
          <w:i/>
          <w:iCs/>
          <w:color w:val="000000"/>
          <w:sz w:val="20"/>
        </w:rPr>
        <w:t>Autism Research</w:t>
      </w:r>
      <w:r w:rsidRPr="001C5B41">
        <w:rPr>
          <w:rFonts w:ascii="Calibri" w:cs="Calibri"/>
          <w:color w:val="000000"/>
          <w:sz w:val="20"/>
        </w:rPr>
        <w:t xml:space="preserve">, </w:t>
      </w:r>
      <w:r w:rsidRPr="001C5B41">
        <w:rPr>
          <w:rFonts w:ascii="Calibri" w:cs="Calibri"/>
          <w:i/>
          <w:iCs/>
          <w:color w:val="000000"/>
          <w:sz w:val="20"/>
        </w:rPr>
        <w:t>14</w:t>
      </w:r>
      <w:r w:rsidRPr="001C5B41">
        <w:rPr>
          <w:rFonts w:ascii="Calibri" w:cs="Calibri"/>
          <w:color w:val="000000"/>
          <w:sz w:val="20"/>
        </w:rPr>
        <w:t>(12), 2603–2612. https://doi.org/10.1002/aur.2600</w:t>
      </w:r>
    </w:p>
    <w:p w14:paraId="23DD872F" w14:textId="44EA4394" w:rsidR="001C5B41" w:rsidRPr="00CD6F5F" w:rsidRDefault="001C5B41" w:rsidP="003D6244">
      <w:pPr>
        <w:rPr>
          <w:color w:val="000000"/>
          <w:sz w:val="20"/>
          <w:szCs w:val="20"/>
          <w:lang w:val="en-GB"/>
        </w:rPr>
      </w:pPr>
      <w:r>
        <w:rPr>
          <w:color w:val="000000"/>
          <w:sz w:val="20"/>
          <w:szCs w:val="20"/>
          <w:lang w:val="en-GB"/>
        </w:rPr>
        <w:fldChar w:fldCharType="end"/>
      </w:r>
    </w:p>
    <w:p w14:paraId="7AC50377" w14:textId="0B757880" w:rsidR="003D6244" w:rsidRPr="00CD6F5F" w:rsidRDefault="003D6244" w:rsidP="003D6244">
      <w:pPr>
        <w:pStyle w:val="FootnoteText"/>
        <w:rPr>
          <w:lang w:val="en-CA"/>
        </w:rPr>
      </w:pPr>
      <w:r w:rsidRPr="00CD6F5F">
        <w:rPr>
          <w:rStyle w:val="FootnoteReference"/>
        </w:rPr>
        <w:footnoteRef/>
      </w:r>
      <w:r w:rsidRPr="00CD6F5F">
        <w:t xml:space="preserve"> </w:t>
      </w:r>
      <w:r w:rsidR="0026320E">
        <w:rPr>
          <w:lang w:val="en-CA"/>
        </w:rPr>
        <w:t>UC Davis MIND Institute</w:t>
      </w:r>
    </w:p>
    <w:p w14:paraId="7AC50378" w14:textId="10BD581C" w:rsidR="003D6244" w:rsidRPr="00CD6F5F" w:rsidRDefault="003D6244" w:rsidP="003D6244">
      <w:pPr>
        <w:pStyle w:val="FootnoteText"/>
        <w:rPr>
          <w:lang w:val="en-CA"/>
        </w:rPr>
      </w:pPr>
      <w:r w:rsidRPr="00CD6F5F">
        <w:rPr>
          <w:rStyle w:val="FootnoteReference"/>
        </w:rPr>
        <w:t>2</w:t>
      </w:r>
      <w:r w:rsidRPr="00CD6F5F">
        <w:t xml:space="preserve"> </w:t>
      </w:r>
      <w:r w:rsidR="0026320E">
        <w:rPr>
          <w:lang w:val="en-CA"/>
        </w:rPr>
        <w:t>UC Davis Heath, Department of Psychiatry and Behavioral Sciences</w:t>
      </w:r>
    </w:p>
    <w:p w14:paraId="7AC5037A" w14:textId="6AFECC00" w:rsidR="001C735E" w:rsidRPr="00CD6F5F" w:rsidRDefault="003D6244" w:rsidP="0026320E">
      <w:pPr>
        <w:pStyle w:val="Footer"/>
        <w:rPr>
          <w:sz w:val="20"/>
          <w:szCs w:val="20"/>
        </w:rPr>
      </w:pPr>
      <w:r w:rsidRPr="00CD6F5F">
        <w:rPr>
          <w:rStyle w:val="FootnoteReference"/>
          <w:sz w:val="20"/>
          <w:szCs w:val="20"/>
        </w:rPr>
        <w:t>3</w:t>
      </w:r>
      <w:r w:rsidRPr="00CD6F5F">
        <w:rPr>
          <w:sz w:val="20"/>
          <w:szCs w:val="20"/>
        </w:rPr>
        <w:t xml:space="preserve"> </w:t>
      </w:r>
      <w:r w:rsidR="0026320E">
        <w:rPr>
          <w:sz w:val="20"/>
          <w:szCs w:val="20"/>
          <w:lang w:val="en-CA"/>
        </w:rPr>
        <w:t>UC Davis School of Education</w:t>
      </w:r>
    </w:p>
    <w:sectPr w:rsidR="001C735E" w:rsidRPr="00CD6F5F" w:rsidSect="00394E2C">
      <w:headerReference w:type="default" r:id="rId10"/>
      <w:footerReference w:type="default" r:id="rId11"/>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BE080" w14:textId="77777777" w:rsidR="008A4281" w:rsidRDefault="008A4281" w:rsidP="00A16498">
      <w:pPr>
        <w:spacing w:after="0" w:line="240" w:lineRule="auto"/>
      </w:pPr>
      <w:r>
        <w:separator/>
      </w:r>
    </w:p>
  </w:endnote>
  <w:endnote w:type="continuationSeparator" w:id="0">
    <w:p w14:paraId="6649E389" w14:textId="77777777" w:rsidR="008A4281" w:rsidRDefault="008A4281"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altName w:val="Nyala"/>
    <w:panose1 w:val="02000506000000020004"/>
    <w:charset w:val="00"/>
    <w:family w:val="auto"/>
    <w:pitch w:val="variable"/>
    <w:sig w:usb0="800000AF" w:usb1="4000204B" w:usb2="000008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D793C" w14:textId="77777777" w:rsidR="008A4281" w:rsidRDefault="008A4281" w:rsidP="00A16498">
      <w:pPr>
        <w:spacing w:after="0" w:line="240" w:lineRule="auto"/>
      </w:pPr>
      <w:r>
        <w:separator/>
      </w:r>
    </w:p>
  </w:footnote>
  <w:footnote w:type="continuationSeparator" w:id="0">
    <w:p w14:paraId="02AE7AF7" w14:textId="77777777" w:rsidR="008A4281" w:rsidRDefault="008A4281"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5037F" w14:textId="4BAB28CA" w:rsidR="00A16498" w:rsidRDefault="008B5773">
    <w:pPr>
      <w:pStyle w:val="Header"/>
    </w:pPr>
    <w:r>
      <w:rPr>
        <w:noProof/>
      </w:rPr>
      <mc:AlternateContent>
        <mc:Choice Requires="wps">
          <w:drawing>
            <wp:anchor distT="0" distB="0" distL="114300" distR="114300" simplePos="0" relativeHeight="251659264" behindDoc="0" locked="0" layoutInCell="1" allowOverlap="1" wp14:anchorId="0048A6ED" wp14:editId="3C906EA2">
              <wp:simplePos x="0" y="0"/>
              <wp:positionH relativeFrom="column">
                <wp:posOffset>-15987</wp:posOffset>
              </wp:positionH>
              <wp:positionV relativeFrom="paragraph">
                <wp:posOffset>-229347</wp:posOffset>
              </wp:positionV>
              <wp:extent cx="5371689" cy="457200"/>
              <wp:effectExtent l="12700" t="12700" r="13335" b="12700"/>
              <wp:wrapNone/>
              <wp:docPr id="22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89" cy="45720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4EB61436"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950DBB">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a:graphicData>
              </a:graphic>
            </wp:anchor>
          </w:drawing>
        </mc:Choice>
        <mc:Fallback>
          <w:pict>
            <v:rect w14:anchorId="0048A6ED" id="Rectangle 197" o:spid="_x0000_s1026" style="position:absolute;margin-left:-1.25pt;margin-top:-18.05pt;width:422.9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&#13;&#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4EB61436"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950DBB">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D0162"/>
    <w:rsid w:val="001C5B41"/>
    <w:rsid w:val="001C735E"/>
    <w:rsid w:val="00226854"/>
    <w:rsid w:val="00244C29"/>
    <w:rsid w:val="0026320E"/>
    <w:rsid w:val="002872AA"/>
    <w:rsid w:val="00300310"/>
    <w:rsid w:val="00312417"/>
    <w:rsid w:val="00316B3B"/>
    <w:rsid w:val="0032171F"/>
    <w:rsid w:val="00324E6F"/>
    <w:rsid w:val="0033415B"/>
    <w:rsid w:val="00394E2C"/>
    <w:rsid w:val="003B0285"/>
    <w:rsid w:val="003C2A0A"/>
    <w:rsid w:val="003C4D59"/>
    <w:rsid w:val="003D6244"/>
    <w:rsid w:val="003E6289"/>
    <w:rsid w:val="003F558A"/>
    <w:rsid w:val="00412A17"/>
    <w:rsid w:val="00426336"/>
    <w:rsid w:val="004473AC"/>
    <w:rsid w:val="00452576"/>
    <w:rsid w:val="0045428A"/>
    <w:rsid w:val="00455A81"/>
    <w:rsid w:val="004D5670"/>
    <w:rsid w:val="00531341"/>
    <w:rsid w:val="00550360"/>
    <w:rsid w:val="00577DC4"/>
    <w:rsid w:val="005C3A4F"/>
    <w:rsid w:val="005F3158"/>
    <w:rsid w:val="00625543"/>
    <w:rsid w:val="00630111"/>
    <w:rsid w:val="006535AF"/>
    <w:rsid w:val="006637E7"/>
    <w:rsid w:val="006C05DD"/>
    <w:rsid w:val="00751FEE"/>
    <w:rsid w:val="007722E4"/>
    <w:rsid w:val="0077649B"/>
    <w:rsid w:val="00777D73"/>
    <w:rsid w:val="007801F4"/>
    <w:rsid w:val="007A6ED4"/>
    <w:rsid w:val="007B4CE7"/>
    <w:rsid w:val="00801D2A"/>
    <w:rsid w:val="00815537"/>
    <w:rsid w:val="00817FE3"/>
    <w:rsid w:val="0087492A"/>
    <w:rsid w:val="008938D8"/>
    <w:rsid w:val="008A158E"/>
    <w:rsid w:val="008A4281"/>
    <w:rsid w:val="008B5773"/>
    <w:rsid w:val="009462E3"/>
    <w:rsid w:val="00950DBB"/>
    <w:rsid w:val="00963715"/>
    <w:rsid w:val="009B1DAB"/>
    <w:rsid w:val="009C5C25"/>
    <w:rsid w:val="009D78C4"/>
    <w:rsid w:val="009E1B56"/>
    <w:rsid w:val="00A16498"/>
    <w:rsid w:val="00AB7B37"/>
    <w:rsid w:val="00AE4ADB"/>
    <w:rsid w:val="00B226B4"/>
    <w:rsid w:val="00B71AFF"/>
    <w:rsid w:val="00BA2D2D"/>
    <w:rsid w:val="00BF103A"/>
    <w:rsid w:val="00C35C2A"/>
    <w:rsid w:val="00C6243D"/>
    <w:rsid w:val="00C80718"/>
    <w:rsid w:val="00CD6F5F"/>
    <w:rsid w:val="00CF3CDF"/>
    <w:rsid w:val="00D46241"/>
    <w:rsid w:val="00D60D08"/>
    <w:rsid w:val="00DC15FA"/>
    <w:rsid w:val="00E15391"/>
    <w:rsid w:val="00E57298"/>
    <w:rsid w:val="00E9099E"/>
    <w:rsid w:val="00EC1345"/>
    <w:rsid w:val="00F023E6"/>
    <w:rsid w:val="00F2162A"/>
    <w:rsid w:val="00F823D2"/>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semiHidden/>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paragraph" w:styleId="Bibliography">
    <w:name w:val="Bibliography"/>
    <w:basedOn w:val="Normal"/>
    <w:next w:val="Normal"/>
    <w:uiPriority w:val="37"/>
    <w:unhideWhenUsed/>
    <w:rsid w:val="001C5B41"/>
    <w:pPr>
      <w:spacing w:after="0" w:line="480" w:lineRule="auto"/>
      <w:ind w:left="720" w:hanging="720"/>
    </w:pPr>
  </w:style>
  <w:style w:type="character" w:styleId="CommentReference">
    <w:name w:val="annotation reference"/>
    <w:basedOn w:val="DefaultParagraphFont"/>
    <w:uiPriority w:val="99"/>
    <w:semiHidden/>
    <w:unhideWhenUsed/>
    <w:rsid w:val="00E9099E"/>
    <w:rPr>
      <w:sz w:val="16"/>
      <w:szCs w:val="16"/>
    </w:rPr>
  </w:style>
  <w:style w:type="paragraph" w:styleId="CommentText">
    <w:name w:val="annotation text"/>
    <w:basedOn w:val="Normal"/>
    <w:link w:val="CommentTextChar"/>
    <w:uiPriority w:val="99"/>
    <w:semiHidden/>
    <w:unhideWhenUsed/>
    <w:rsid w:val="00E9099E"/>
    <w:pPr>
      <w:spacing w:line="240" w:lineRule="auto"/>
    </w:pPr>
    <w:rPr>
      <w:sz w:val="20"/>
      <w:szCs w:val="20"/>
    </w:rPr>
  </w:style>
  <w:style w:type="character" w:customStyle="1" w:styleId="CommentTextChar">
    <w:name w:val="Comment Text Char"/>
    <w:basedOn w:val="DefaultParagraphFont"/>
    <w:link w:val="CommentText"/>
    <w:uiPriority w:val="99"/>
    <w:semiHidden/>
    <w:rsid w:val="00E9099E"/>
    <w:rPr>
      <w:sz w:val="20"/>
      <w:szCs w:val="20"/>
    </w:rPr>
  </w:style>
  <w:style w:type="paragraph" w:styleId="CommentSubject">
    <w:name w:val="annotation subject"/>
    <w:basedOn w:val="CommentText"/>
    <w:next w:val="CommentText"/>
    <w:link w:val="CommentSubjectChar"/>
    <w:uiPriority w:val="99"/>
    <w:semiHidden/>
    <w:unhideWhenUsed/>
    <w:rsid w:val="00E9099E"/>
    <w:rPr>
      <w:b/>
      <w:bCs/>
    </w:rPr>
  </w:style>
  <w:style w:type="character" w:customStyle="1" w:styleId="CommentSubjectChar">
    <w:name w:val="Comment Subject Char"/>
    <w:basedOn w:val="CommentTextChar"/>
    <w:link w:val="CommentSubject"/>
    <w:uiPriority w:val="99"/>
    <w:semiHidden/>
    <w:rsid w:val="00E9099E"/>
    <w:rPr>
      <w:b/>
      <w:bCs/>
      <w:sz w:val="20"/>
      <w:szCs w:val="20"/>
    </w:rPr>
  </w:style>
  <w:style w:type="paragraph" w:styleId="Revision">
    <w:name w:val="Revision"/>
    <w:hidden/>
    <w:uiPriority w:val="99"/>
    <w:semiHidden/>
    <w:rsid w:val="00E909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2.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2987</Words>
  <Characters>17028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19976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Andrew Jacob Dakopolos</cp:lastModifiedBy>
  <cp:revision>11</cp:revision>
  <cp:lastPrinted>2024-11-04T06:30:00Z</cp:lastPrinted>
  <dcterms:created xsi:type="dcterms:W3CDTF">2024-11-04T06:37:00Z</dcterms:created>
  <dcterms:modified xsi:type="dcterms:W3CDTF">2024-11-04T23:22:00Z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y fmtid="{D5CDD505-2E9C-101B-9397-08002B2CF9AE}" pid="3" name="ZOTERO_PREF_1">
    <vt:lpwstr>&lt;data data-version="3" zotero-version="6.0.37"&gt;&lt;session id="0Mjg1HOa"/&gt;&lt;style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