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55B7F690" w:rsidR="003D6244" w:rsidRPr="009E00A7" w:rsidRDefault="003D6244" w:rsidP="003D6244">
      <w:pPr>
        <w:rPr>
          <w:sz w:val="20"/>
          <w:szCs w:val="20"/>
        </w:rPr>
      </w:pPr>
      <w:r w:rsidRPr="009E00A7">
        <w:rPr>
          <w:b/>
          <w:sz w:val="20"/>
          <w:szCs w:val="20"/>
        </w:rPr>
        <w:t>Title</w:t>
      </w:r>
      <w:r w:rsidRPr="009E00A7">
        <w:rPr>
          <w:sz w:val="20"/>
          <w:szCs w:val="20"/>
        </w:rPr>
        <w:t xml:space="preserve">: </w:t>
      </w:r>
      <w:r w:rsidR="001D0E7C" w:rsidRPr="001D0E7C">
        <w:rPr>
          <w:sz w:val="20"/>
          <w:szCs w:val="20"/>
        </w:rPr>
        <w:t>Understanding Autistic Adolescents' Willingness to Disclose their Diagnosis to Friends and their Feelings about their Diagnosis </w:t>
      </w:r>
    </w:p>
    <w:p w14:paraId="7AC50371" w14:textId="744B8C33"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1D0E7C" w:rsidRPr="001D0E7C">
        <w:rPr>
          <w:sz w:val="20"/>
          <w:szCs w:val="20"/>
        </w:rPr>
        <w:t>Chloe C. Neuman,</w:t>
      </w:r>
      <w:r w:rsidR="001D0E7C" w:rsidRPr="001D0E7C">
        <w:rPr>
          <w:sz w:val="20"/>
          <w:szCs w:val="20"/>
          <w:vertAlign w:val="superscript"/>
        </w:rPr>
        <w:t>1</w:t>
      </w:r>
      <w:r w:rsidR="001D0E7C" w:rsidRPr="001D0E7C">
        <w:rPr>
          <w:sz w:val="20"/>
          <w:szCs w:val="20"/>
        </w:rPr>
        <w:t xml:space="preserve"> K. Sharp,</w:t>
      </w:r>
      <w:r w:rsidR="001D0E7C" w:rsidRPr="001D0E7C">
        <w:rPr>
          <w:sz w:val="20"/>
          <w:szCs w:val="20"/>
          <w:vertAlign w:val="superscript"/>
        </w:rPr>
        <w:t>1</w:t>
      </w:r>
      <w:r w:rsidR="001D0E7C" w:rsidRPr="001D0E7C">
        <w:rPr>
          <w:sz w:val="20"/>
          <w:szCs w:val="20"/>
        </w:rPr>
        <w:t xml:space="preserve"> Alyssa Verbalis,</w:t>
      </w:r>
      <w:r w:rsidR="001D0E7C" w:rsidRPr="001D0E7C">
        <w:rPr>
          <w:sz w:val="20"/>
          <w:szCs w:val="20"/>
          <w:vertAlign w:val="superscript"/>
        </w:rPr>
        <w:t>1</w:t>
      </w:r>
      <w:r w:rsidR="001D0E7C" w:rsidRPr="001D0E7C">
        <w:rPr>
          <w:sz w:val="20"/>
          <w:szCs w:val="20"/>
        </w:rPr>
        <w:t xml:space="preserve"> Andrea Lopez,</w:t>
      </w:r>
      <w:r w:rsidR="001D0E7C" w:rsidRPr="001D0E7C">
        <w:rPr>
          <w:sz w:val="20"/>
          <w:szCs w:val="20"/>
          <w:vertAlign w:val="superscript"/>
        </w:rPr>
        <w:t xml:space="preserve"> 2</w:t>
      </w:r>
      <w:r w:rsidR="001D0E7C" w:rsidRPr="001D0E7C">
        <w:rPr>
          <w:sz w:val="20"/>
          <w:szCs w:val="20"/>
        </w:rPr>
        <w:t xml:space="preserve"> Jennifer R. </w:t>
      </w:r>
      <w:proofErr w:type="spellStart"/>
      <w:r w:rsidR="001D0E7C" w:rsidRPr="001D0E7C">
        <w:rPr>
          <w:sz w:val="20"/>
          <w:szCs w:val="20"/>
        </w:rPr>
        <w:t>Bertollo</w:t>
      </w:r>
      <w:proofErr w:type="spellEnd"/>
      <w:r w:rsidR="001D0E7C" w:rsidRPr="001D0E7C">
        <w:rPr>
          <w:sz w:val="20"/>
          <w:szCs w:val="20"/>
        </w:rPr>
        <w:t>,</w:t>
      </w:r>
      <w:r w:rsidR="001D0E7C" w:rsidRPr="001D0E7C">
        <w:rPr>
          <w:sz w:val="20"/>
          <w:szCs w:val="20"/>
          <w:vertAlign w:val="superscript"/>
        </w:rPr>
        <w:t xml:space="preserve"> 1 </w:t>
      </w:r>
      <w:r w:rsidR="001D0E7C" w:rsidRPr="001D0E7C">
        <w:rPr>
          <w:sz w:val="20"/>
          <w:szCs w:val="20"/>
        </w:rPr>
        <w:t>Lauren Kenworthy,</w:t>
      </w:r>
      <w:r w:rsidR="001D0E7C" w:rsidRPr="001D0E7C">
        <w:rPr>
          <w:sz w:val="20"/>
          <w:szCs w:val="20"/>
          <w:vertAlign w:val="superscript"/>
        </w:rPr>
        <w:t xml:space="preserve"> 1</w:t>
      </w:r>
      <w:r w:rsidR="001D0E7C" w:rsidRPr="001D0E7C">
        <w:rPr>
          <w:sz w:val="20"/>
          <w:szCs w:val="20"/>
        </w:rPr>
        <w:t xml:space="preserve"> and Lauren </w:t>
      </w:r>
      <w:proofErr w:type="spellStart"/>
      <w:r w:rsidR="001D0E7C" w:rsidRPr="001D0E7C">
        <w:rPr>
          <w:sz w:val="20"/>
          <w:szCs w:val="20"/>
        </w:rPr>
        <w:t>Baczewski</w:t>
      </w:r>
      <w:proofErr w:type="spellEnd"/>
      <w:r w:rsidR="001D0E7C" w:rsidRPr="001D0E7C">
        <w:rPr>
          <w:sz w:val="20"/>
          <w:szCs w:val="20"/>
          <w:vertAlign w:val="superscript"/>
        </w:rPr>
        <w:t xml:space="preserve"> 1</w:t>
      </w:r>
      <w:r w:rsidR="001D0E7C" w:rsidRPr="001D0E7C">
        <w:rPr>
          <w:sz w:val="20"/>
          <w:szCs w:val="20"/>
        </w:rPr>
        <w:t> </w:t>
      </w:r>
    </w:p>
    <w:p w14:paraId="2705C488" w14:textId="77777777" w:rsidR="001D0E7C" w:rsidRDefault="003D6244" w:rsidP="003D6244">
      <w:pPr>
        <w:rPr>
          <w:iCs/>
          <w:color w:val="000000"/>
          <w:sz w:val="20"/>
          <w:szCs w:val="20"/>
        </w:rPr>
      </w:pPr>
      <w:r w:rsidRPr="009E00A7">
        <w:rPr>
          <w:b/>
          <w:sz w:val="20"/>
          <w:szCs w:val="20"/>
        </w:rPr>
        <w:t>Introduction</w:t>
      </w:r>
      <w:r w:rsidRPr="009E00A7">
        <w:rPr>
          <w:sz w:val="20"/>
          <w:szCs w:val="20"/>
        </w:rPr>
        <w:t xml:space="preserve">: </w:t>
      </w:r>
      <w:r w:rsidR="001D0E7C" w:rsidRPr="001D0E7C">
        <w:rPr>
          <w:iCs/>
          <w:color w:val="000000"/>
          <w:sz w:val="20"/>
          <w:szCs w:val="20"/>
        </w:rPr>
        <w:t>The decision to disclose one’s autism or other disability is a complex process and can involve a significant amount of planning and stress (</w:t>
      </w:r>
      <w:proofErr w:type="spellStart"/>
      <w:r w:rsidR="001D0E7C" w:rsidRPr="001D0E7C">
        <w:rPr>
          <w:iCs/>
          <w:color w:val="000000"/>
          <w:sz w:val="20"/>
          <w:szCs w:val="20"/>
        </w:rPr>
        <w:t>Kaushansky</w:t>
      </w:r>
      <w:proofErr w:type="spellEnd"/>
      <w:r w:rsidR="001D0E7C" w:rsidRPr="001D0E7C">
        <w:rPr>
          <w:iCs/>
          <w:color w:val="000000"/>
          <w:sz w:val="20"/>
          <w:szCs w:val="20"/>
        </w:rPr>
        <w:t xml:space="preserve"> et al., 2017; Thompson-Hodgetts et al., 2020). Stigma often serves as a barrier to diagnosis disclosure among autistic adolescents and adults (Jones et al., 2015; Thompson-Hodgetts et al., 2020). When individuals with autism diagnoses choose to disclose, they are often most willing to share their diagnosis with people who can provide tangible support (e.g., family members who can assist them in accessing</w:t>
      </w:r>
      <w:r w:rsidR="001D0E7C" w:rsidRPr="001D0E7C">
        <w:rPr>
          <w:iCs/>
          <w:color w:val="000000"/>
          <w:sz w:val="20"/>
          <w:szCs w:val="20"/>
          <w:u w:val="single"/>
        </w:rPr>
        <w:t xml:space="preserve"> </w:t>
      </w:r>
      <w:r w:rsidR="001D0E7C" w:rsidRPr="001D0E7C">
        <w:rPr>
          <w:iCs/>
          <w:color w:val="000000"/>
          <w:sz w:val="20"/>
          <w:szCs w:val="20"/>
        </w:rPr>
        <w:t xml:space="preserve">medical/mental healthcare, professors who can provide accommodations), as opposed to friends or peers (Frost et al., 2019; </w:t>
      </w:r>
      <w:proofErr w:type="spellStart"/>
      <w:r w:rsidR="001D0E7C" w:rsidRPr="001D0E7C">
        <w:rPr>
          <w:iCs/>
          <w:color w:val="000000"/>
          <w:sz w:val="20"/>
          <w:szCs w:val="20"/>
        </w:rPr>
        <w:t>Kaushansky</w:t>
      </w:r>
      <w:proofErr w:type="spellEnd"/>
      <w:r w:rsidR="001D0E7C" w:rsidRPr="001D0E7C">
        <w:rPr>
          <w:iCs/>
          <w:color w:val="000000"/>
          <w:sz w:val="20"/>
          <w:szCs w:val="20"/>
        </w:rPr>
        <w:t xml:space="preserve"> et al., 2017). Most extant studies that examine diagnosis disclosure among autistic adolescents focus on disclosure experiences from parents’ perspectives (Riccio et al., 2021; Kiely et al., 2020), rather than the adolescent’s first-hand experience. Very few studies have examined adolescents’ willingness to disclose their autism diagnosis to peers or friends, and how willingness to disclose may relate to one’s feelings towards their diagnosis. </w:t>
      </w:r>
    </w:p>
    <w:p w14:paraId="7AB20E22" w14:textId="77777777" w:rsidR="001D0E7C" w:rsidRDefault="003D6244" w:rsidP="003D6244">
      <w:pPr>
        <w:rPr>
          <w:color w:val="000000"/>
          <w:sz w:val="20"/>
          <w:szCs w:val="20"/>
        </w:rPr>
      </w:pPr>
      <w:r>
        <w:rPr>
          <w:b/>
          <w:color w:val="000000"/>
          <w:sz w:val="20"/>
          <w:szCs w:val="20"/>
          <w:lang w:val="en-GB"/>
        </w:rPr>
        <w:t>Method</w:t>
      </w:r>
      <w:r>
        <w:rPr>
          <w:color w:val="000000"/>
          <w:sz w:val="20"/>
          <w:szCs w:val="20"/>
          <w:lang w:val="en-GB"/>
        </w:rPr>
        <w:t xml:space="preserve">: </w:t>
      </w:r>
      <w:r w:rsidR="001D0E7C" w:rsidRPr="001D0E7C">
        <w:rPr>
          <w:color w:val="000000"/>
          <w:sz w:val="20"/>
          <w:szCs w:val="20"/>
        </w:rPr>
        <w:t>Thirty-six autistic adolescents (</w:t>
      </w:r>
      <w:r w:rsidR="001D0E7C" w:rsidRPr="001D0E7C">
        <w:rPr>
          <w:i/>
          <w:iCs/>
          <w:color w:val="000000"/>
          <w:sz w:val="20"/>
          <w:szCs w:val="20"/>
        </w:rPr>
        <w:t>M</w:t>
      </w:r>
      <w:r w:rsidR="001D0E7C" w:rsidRPr="001D0E7C">
        <w:rPr>
          <w:color w:val="000000"/>
          <w:sz w:val="20"/>
          <w:szCs w:val="20"/>
          <w:vertAlign w:val="subscript"/>
        </w:rPr>
        <w:t>age</w:t>
      </w:r>
      <w:r w:rsidR="001D0E7C" w:rsidRPr="001D0E7C">
        <w:rPr>
          <w:color w:val="000000"/>
          <w:sz w:val="20"/>
          <w:szCs w:val="20"/>
        </w:rPr>
        <w:t xml:space="preserve"> = 16.5, </w:t>
      </w:r>
      <w:r w:rsidR="001D0E7C" w:rsidRPr="001D0E7C">
        <w:rPr>
          <w:i/>
          <w:iCs/>
          <w:color w:val="000000"/>
          <w:sz w:val="20"/>
          <w:szCs w:val="20"/>
        </w:rPr>
        <w:t>SD</w:t>
      </w:r>
      <w:r w:rsidR="001D0E7C" w:rsidRPr="001D0E7C">
        <w:rPr>
          <w:color w:val="000000"/>
          <w:sz w:val="20"/>
          <w:szCs w:val="20"/>
        </w:rPr>
        <w:t xml:space="preserve"> = 1.1, range = 14.9-18.6; IQ range: 89-141) living in the Washington D.C. metropolitan area participated in semi-structured interviews prior to their participation in an executive functioning intervention. Most participants identified as White (80.6%), Non-Hispanic/Latino/a/x (94.4%), and male (69.4%). All participants had a parent-reported autism diagnosis, confirmed by an expert clinician utilizing DSM-5 criteria (American Psychological Association, 2013), or an ADOS-2 (Lord et al., 2012). As part of the interview, participants were asked the following two questions about their diagnoses: “Do you tell your friends?”  and “what do you think about your diagnoses?” Participants’ responses to the disclosure interview question were coded as yes/no, and qualitative valence coding was used to assign a valence (i.e., positive, negative, or neutral) to each participant’s reported feelings towards their autism diagnosis. We conducted a Spearman’s rank-order correlation to assess for an initial relationship between diagnosis disclosure and feelings about diagnosis. A Chi-squared test was used to compare across levels of each variable of interest (disclosure to friends and feelings about diagnosis) and to examine descriptives within each group (e.g., frequency of positive feelings about diagnosis among those who chose to disclose to friends). To aid in the interpretation of quantitative findings, we conducted a preliminary thematic analysis of keywords in participants’ responses to the diagnosis disclosure interview question. </w:t>
      </w:r>
    </w:p>
    <w:p w14:paraId="5493CD1B" w14:textId="77777777" w:rsidR="001D0E7C" w:rsidRDefault="003D6244" w:rsidP="003D6244">
      <w:pPr>
        <w:rPr>
          <w:color w:val="000000"/>
          <w:sz w:val="20"/>
          <w:szCs w:val="20"/>
        </w:rPr>
      </w:pPr>
      <w:r>
        <w:rPr>
          <w:b/>
          <w:color w:val="000000"/>
          <w:sz w:val="20"/>
          <w:szCs w:val="20"/>
          <w:lang w:val="en-GB"/>
        </w:rPr>
        <w:t>Results</w:t>
      </w:r>
      <w:r>
        <w:rPr>
          <w:color w:val="000000"/>
          <w:sz w:val="20"/>
          <w:szCs w:val="20"/>
          <w:lang w:val="en-GB"/>
        </w:rPr>
        <w:t xml:space="preserve">: </w:t>
      </w:r>
      <w:r w:rsidR="001D0E7C" w:rsidRPr="001D0E7C">
        <w:rPr>
          <w:color w:val="000000"/>
          <w:sz w:val="20"/>
          <w:szCs w:val="20"/>
        </w:rPr>
        <w:t>There was a significant positive association between willingness to disclose one’s autism diagnosis and feelings about one’s diagnosis (</w:t>
      </w:r>
      <w:proofErr w:type="spellStart"/>
      <w:proofErr w:type="gramStart"/>
      <w:r w:rsidR="001D0E7C" w:rsidRPr="001D0E7C">
        <w:rPr>
          <w:color w:val="000000"/>
          <w:sz w:val="20"/>
          <w:szCs w:val="20"/>
        </w:rPr>
        <w:t>r</w:t>
      </w:r>
      <w:r w:rsidR="001D0E7C" w:rsidRPr="001D0E7C">
        <w:rPr>
          <w:color w:val="000000"/>
          <w:sz w:val="20"/>
          <w:szCs w:val="20"/>
          <w:vertAlign w:val="subscript"/>
        </w:rPr>
        <w:t>s</w:t>
      </w:r>
      <w:proofErr w:type="spellEnd"/>
      <w:r w:rsidR="001D0E7C" w:rsidRPr="001D0E7C">
        <w:rPr>
          <w:color w:val="000000"/>
          <w:sz w:val="20"/>
          <w:szCs w:val="20"/>
        </w:rPr>
        <w:t>(</w:t>
      </w:r>
      <w:proofErr w:type="gramEnd"/>
      <w:r w:rsidR="001D0E7C" w:rsidRPr="001D0E7C">
        <w:rPr>
          <w:color w:val="000000"/>
          <w:sz w:val="20"/>
          <w:szCs w:val="20"/>
        </w:rPr>
        <w:t xml:space="preserve">34) = .33, </w:t>
      </w:r>
      <w:r w:rsidR="001D0E7C" w:rsidRPr="001D0E7C">
        <w:rPr>
          <w:i/>
          <w:iCs/>
          <w:color w:val="000000"/>
          <w:sz w:val="20"/>
          <w:szCs w:val="20"/>
        </w:rPr>
        <w:t>p</w:t>
      </w:r>
      <w:r w:rsidR="001D0E7C" w:rsidRPr="001D0E7C">
        <w:rPr>
          <w:color w:val="000000"/>
          <w:sz w:val="20"/>
          <w:szCs w:val="20"/>
        </w:rPr>
        <w:t xml:space="preserve">=.047, N = 36). </w:t>
      </w:r>
      <w:proofErr w:type="gramStart"/>
      <w:r w:rsidR="001D0E7C" w:rsidRPr="001D0E7C">
        <w:rPr>
          <w:color w:val="000000"/>
          <w:sz w:val="20"/>
          <w:szCs w:val="20"/>
        </w:rPr>
        <w:t>The majority of</w:t>
      </w:r>
      <w:proofErr w:type="gramEnd"/>
      <w:r w:rsidR="001D0E7C" w:rsidRPr="001D0E7C">
        <w:rPr>
          <w:color w:val="000000"/>
          <w:sz w:val="20"/>
          <w:szCs w:val="20"/>
        </w:rPr>
        <w:t xml:space="preserve"> this sample of autistic adolescents reported a willingness to tell their friends about their diagnosis (64%, n=23). Participants’ feelings about their diagnosis were mixed, with most adolescents feeling neutral (42%, n=15), some feeling positive (31%, n=11), and the minority feeling negative (28%, n=10). Among those who are willing to tell their friends, people </w:t>
      </w:r>
      <w:proofErr w:type="gramStart"/>
      <w:r w:rsidR="001D0E7C" w:rsidRPr="001D0E7C">
        <w:rPr>
          <w:color w:val="000000"/>
          <w:sz w:val="20"/>
          <w:szCs w:val="20"/>
        </w:rPr>
        <w:t>most commonly felt</w:t>
      </w:r>
      <w:proofErr w:type="gramEnd"/>
      <w:r w:rsidR="001D0E7C" w:rsidRPr="001D0E7C">
        <w:rPr>
          <w:color w:val="000000"/>
          <w:sz w:val="20"/>
          <w:szCs w:val="20"/>
        </w:rPr>
        <w:t xml:space="preserve"> positive about their diagnosis (44%, n=10), while some had neutral feelings (35%, n=8) and negative feelings (22%, n=5). Among autistic adolescents who did not report willingness to tell their friends about their diagnosis, there were more neutral feelings (54%, n=7) and negative (38%, n=5) feelings, and less positive feelings (8%, n=1). The relationship between disclosure to friends and feelings about one’s diagnosis was not statistically significant </w:t>
      </w:r>
      <w:r w:rsidR="001D0E7C" w:rsidRPr="001D0E7C">
        <w:rPr>
          <w:i/>
          <w:iCs/>
          <w:color w:val="000000"/>
          <w:sz w:val="20"/>
          <w:szCs w:val="20"/>
        </w:rPr>
        <w:t>X</w:t>
      </w:r>
      <w:r w:rsidR="001D0E7C" w:rsidRPr="001D0E7C">
        <w:rPr>
          <w:color w:val="000000"/>
          <w:sz w:val="20"/>
          <w:szCs w:val="20"/>
          <w:vertAlign w:val="superscript"/>
        </w:rPr>
        <w:t>2</w:t>
      </w:r>
      <w:r w:rsidR="001D0E7C" w:rsidRPr="001D0E7C">
        <w:rPr>
          <w:color w:val="000000"/>
          <w:sz w:val="20"/>
          <w:szCs w:val="20"/>
        </w:rPr>
        <w:t xml:space="preserve"> (2, </w:t>
      </w:r>
      <w:r w:rsidR="001D0E7C" w:rsidRPr="001D0E7C">
        <w:rPr>
          <w:i/>
          <w:iCs/>
          <w:color w:val="000000"/>
          <w:sz w:val="20"/>
          <w:szCs w:val="20"/>
        </w:rPr>
        <w:t>N</w:t>
      </w:r>
      <w:r w:rsidR="001D0E7C" w:rsidRPr="001D0E7C">
        <w:rPr>
          <w:color w:val="000000"/>
          <w:sz w:val="20"/>
          <w:szCs w:val="20"/>
        </w:rPr>
        <w:t xml:space="preserve"> = 36) = 5.042, </w:t>
      </w:r>
      <w:r w:rsidR="001D0E7C" w:rsidRPr="001D0E7C">
        <w:rPr>
          <w:i/>
          <w:iCs/>
          <w:color w:val="000000"/>
          <w:sz w:val="20"/>
          <w:szCs w:val="20"/>
        </w:rPr>
        <w:t xml:space="preserve">p </w:t>
      </w:r>
      <w:r w:rsidR="001D0E7C" w:rsidRPr="001D0E7C">
        <w:rPr>
          <w:color w:val="000000"/>
          <w:sz w:val="20"/>
          <w:szCs w:val="20"/>
        </w:rPr>
        <w:t>= .08). In examining the open-ended interview question about whether participants disclose their autism diagnosis to friends, one preliminary theme emerged: presence of neurodivergent friends/community was common among those who chose to disclose. </w:t>
      </w:r>
    </w:p>
    <w:p w14:paraId="14AC838B" w14:textId="77777777" w:rsidR="001D0E7C" w:rsidRDefault="003D6244" w:rsidP="003D6244">
      <w:pPr>
        <w:rPr>
          <w:iCs/>
          <w:color w:val="000000"/>
          <w:sz w:val="20"/>
          <w:szCs w:val="20"/>
        </w:rPr>
      </w:pPr>
      <w:r>
        <w:rPr>
          <w:b/>
          <w:iCs/>
          <w:color w:val="000000"/>
          <w:sz w:val="20"/>
          <w:szCs w:val="20"/>
          <w:lang w:val="en-GB"/>
        </w:rPr>
        <w:t xml:space="preserve">Discussion: </w:t>
      </w:r>
      <w:r w:rsidR="001D0E7C" w:rsidRPr="001D0E7C">
        <w:rPr>
          <w:iCs/>
          <w:color w:val="000000"/>
          <w:sz w:val="20"/>
          <w:szCs w:val="20"/>
        </w:rPr>
        <w:t xml:space="preserve">Our findings highlight the nuances and complexities surrounding diagnosis disclosure decisions for autistic adolescents, particularly in relation to disclosing to friends or peers. Our results suggest that there is an association between willingness to disclose autistic identity and one’s feelings about their diagnosis (whether they feel positively, negatively, or neutral). In addition, a preliminary theme emerged from participants’ responses to open-ended questions that the presence of </w:t>
      </w:r>
      <w:r w:rsidR="001D0E7C" w:rsidRPr="001D0E7C">
        <w:rPr>
          <w:iCs/>
          <w:color w:val="000000"/>
          <w:sz w:val="20"/>
          <w:szCs w:val="20"/>
        </w:rPr>
        <w:lastRenderedPageBreak/>
        <w:t>neurodivergent friends/community was common among those who told their friends about their diagnosis. Given that few studies have examined autistic adolescents’ decisions to disclose to friends, these findings represent a preliminary step toward understanding the relationship between disclosure and feelings about diagnosis. Future studies should utilize larger sample sizes to gain deeper insights and conduct in-depth examinations of the multitude of factors impacting autistic adolescents’ decisions to disclose their autism diagnosis to friends. </w:t>
      </w:r>
    </w:p>
    <w:p w14:paraId="442418AF" w14:textId="77777777" w:rsidR="001D0E7C" w:rsidRDefault="003D6244" w:rsidP="003D6244">
      <w:pPr>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016CEFFB" w14:textId="77777777" w:rsidR="001D0E7C" w:rsidRDefault="001D0E7C" w:rsidP="001D0E7C">
      <w:pPr>
        <w:pStyle w:val="FootnoteText"/>
        <w:rPr>
          <w:color w:val="000000"/>
        </w:rPr>
      </w:pPr>
      <w:r w:rsidRPr="001D0E7C">
        <w:rPr>
          <w:color w:val="000000"/>
        </w:rPr>
        <w:t xml:space="preserve">American Psychiatric Association. (2013). Diagnostic and statistical manual of mental disorders (5th ed.). </w:t>
      </w:r>
      <w:hyperlink r:id="rId10" w:tgtFrame="_blank" w:history="1">
        <w:r w:rsidRPr="001D0E7C">
          <w:rPr>
            <w:rStyle w:val="Hyperlink"/>
          </w:rPr>
          <w:t>https://doi.org/10.1176/appi.books.9780890425596</w:t>
        </w:r>
      </w:hyperlink>
      <w:r w:rsidRPr="001D0E7C">
        <w:rPr>
          <w:color w:val="000000"/>
        </w:rPr>
        <w:t> </w:t>
      </w:r>
    </w:p>
    <w:p w14:paraId="5DD580BF" w14:textId="77777777" w:rsidR="0069774C" w:rsidRPr="001D0E7C" w:rsidRDefault="0069774C" w:rsidP="001D0E7C">
      <w:pPr>
        <w:pStyle w:val="FootnoteText"/>
        <w:rPr>
          <w:color w:val="000000"/>
        </w:rPr>
      </w:pPr>
    </w:p>
    <w:p w14:paraId="4B3F1546" w14:textId="7C8A559E" w:rsidR="001D0E7C" w:rsidRDefault="001D0E7C" w:rsidP="001D0E7C">
      <w:pPr>
        <w:pStyle w:val="FootnoteText"/>
        <w:rPr>
          <w:color w:val="000000"/>
        </w:rPr>
      </w:pPr>
      <w:r w:rsidRPr="001D0E7C">
        <w:rPr>
          <w:color w:val="000000"/>
        </w:rPr>
        <w:t xml:space="preserve">Frost, K.M., Bailey, K.M., &amp; Ingersoll, B.R. (2019). I just want them to see me as...me”: Identity, community, and disclosure practices among college students on the autism spectrum, </w:t>
      </w:r>
      <w:r w:rsidRPr="001D0E7C">
        <w:rPr>
          <w:i/>
          <w:iCs/>
          <w:color w:val="000000"/>
        </w:rPr>
        <w:t>1</w:t>
      </w:r>
      <w:r w:rsidRPr="001D0E7C">
        <w:rPr>
          <w:color w:val="000000"/>
        </w:rPr>
        <w:t xml:space="preserve">(4), 268-275. </w:t>
      </w:r>
      <w:hyperlink r:id="rId11" w:history="1">
        <w:r w:rsidR="0069774C" w:rsidRPr="001D0E7C">
          <w:rPr>
            <w:rStyle w:val="Hyperlink"/>
          </w:rPr>
          <w:t>https://doi.org/10.1089/aut.2018.0057</w:t>
        </w:r>
      </w:hyperlink>
      <w:r w:rsidRPr="001D0E7C">
        <w:rPr>
          <w:color w:val="000000"/>
        </w:rPr>
        <w:t> </w:t>
      </w:r>
    </w:p>
    <w:p w14:paraId="719F054D" w14:textId="77777777" w:rsidR="0069774C" w:rsidRPr="001D0E7C" w:rsidRDefault="0069774C" w:rsidP="001D0E7C">
      <w:pPr>
        <w:pStyle w:val="FootnoteText"/>
        <w:rPr>
          <w:color w:val="000000"/>
        </w:rPr>
      </w:pPr>
    </w:p>
    <w:p w14:paraId="4E1FF4E6" w14:textId="77777777" w:rsidR="001D0E7C" w:rsidRDefault="001D0E7C" w:rsidP="001D0E7C">
      <w:pPr>
        <w:pStyle w:val="FootnoteText"/>
        <w:rPr>
          <w:color w:val="000000"/>
        </w:rPr>
      </w:pPr>
      <w:r w:rsidRPr="001D0E7C">
        <w:rPr>
          <w:color w:val="000000"/>
        </w:rPr>
        <w:t xml:space="preserve">Jones, J.L, </w:t>
      </w:r>
      <w:proofErr w:type="spellStart"/>
      <w:r w:rsidRPr="001D0E7C">
        <w:rPr>
          <w:color w:val="000000"/>
        </w:rPr>
        <w:t>Schwerdtfeger</w:t>
      </w:r>
      <w:proofErr w:type="spellEnd"/>
      <w:r w:rsidRPr="001D0E7C">
        <w:rPr>
          <w:color w:val="000000"/>
        </w:rPr>
        <w:t xml:space="preserve"> Gallus, K.L, </w:t>
      </w:r>
      <w:proofErr w:type="spellStart"/>
      <w:r w:rsidRPr="001D0E7C">
        <w:rPr>
          <w:color w:val="000000"/>
        </w:rPr>
        <w:t>Viering</w:t>
      </w:r>
      <w:proofErr w:type="spellEnd"/>
      <w:r w:rsidRPr="001D0E7C">
        <w:rPr>
          <w:color w:val="000000"/>
        </w:rPr>
        <w:t xml:space="preserve">, K.L, &amp; Ruhlmann, </w:t>
      </w:r>
      <w:proofErr w:type="gramStart"/>
      <w:r w:rsidRPr="001D0E7C">
        <w:rPr>
          <w:color w:val="000000"/>
        </w:rPr>
        <w:t>L .</w:t>
      </w:r>
      <w:proofErr w:type="gramEnd"/>
      <w:r w:rsidRPr="001D0E7C">
        <w:rPr>
          <w:color w:val="000000"/>
        </w:rPr>
        <w:t xml:space="preserve">M. (2015). ‘Are you by chance on the spectrum?’ Adolescents with Autism Spectrum Disorder making sense of their diagnoses. </w:t>
      </w:r>
      <w:r w:rsidRPr="001D0E7C">
        <w:rPr>
          <w:i/>
          <w:iCs/>
          <w:color w:val="000000"/>
        </w:rPr>
        <w:t>Disability &amp; Society</w:t>
      </w:r>
      <w:r w:rsidRPr="001D0E7C">
        <w:rPr>
          <w:color w:val="000000"/>
        </w:rPr>
        <w:t>. 30. 1490-1504. 10.1080/09687599.2015.1108902. </w:t>
      </w:r>
    </w:p>
    <w:p w14:paraId="0D6E509C" w14:textId="77777777" w:rsidR="0069774C" w:rsidRPr="001D0E7C" w:rsidRDefault="0069774C" w:rsidP="001D0E7C">
      <w:pPr>
        <w:pStyle w:val="FootnoteText"/>
        <w:rPr>
          <w:color w:val="000000"/>
        </w:rPr>
      </w:pPr>
    </w:p>
    <w:p w14:paraId="3B02F206" w14:textId="77777777" w:rsidR="001D0E7C" w:rsidRDefault="001D0E7C" w:rsidP="001D0E7C">
      <w:pPr>
        <w:pStyle w:val="FootnoteText"/>
        <w:rPr>
          <w:color w:val="000000"/>
        </w:rPr>
      </w:pPr>
      <w:proofErr w:type="spellStart"/>
      <w:r w:rsidRPr="001D0E7C">
        <w:rPr>
          <w:color w:val="000000"/>
        </w:rPr>
        <w:t>Kaushansky</w:t>
      </w:r>
      <w:proofErr w:type="spellEnd"/>
      <w:r w:rsidRPr="001D0E7C">
        <w:rPr>
          <w:color w:val="000000"/>
        </w:rPr>
        <w:t xml:space="preserve"> D, Cox J, Dodson C, McNeeley M, Kumar S, &amp; Iverson E. (2017). Living a secret: Disclosure among adolescents and young adults with chronic illnesses. </w:t>
      </w:r>
      <w:r w:rsidRPr="001D0E7C">
        <w:rPr>
          <w:i/>
          <w:iCs/>
          <w:color w:val="000000"/>
        </w:rPr>
        <w:t>Chronic Illness, 13</w:t>
      </w:r>
      <w:r w:rsidRPr="001D0E7C">
        <w:rPr>
          <w:color w:val="000000"/>
        </w:rPr>
        <w:t>(1), 49-61. doi:10.1177/1742395316655855 </w:t>
      </w:r>
    </w:p>
    <w:p w14:paraId="01A6F6E4" w14:textId="77777777" w:rsidR="0069774C" w:rsidRPr="001D0E7C" w:rsidRDefault="0069774C" w:rsidP="001D0E7C">
      <w:pPr>
        <w:pStyle w:val="FootnoteText"/>
        <w:rPr>
          <w:color w:val="000000"/>
        </w:rPr>
      </w:pPr>
    </w:p>
    <w:p w14:paraId="7B0B9B2E" w14:textId="42C69AF2" w:rsidR="001D0E7C" w:rsidRDefault="001D0E7C" w:rsidP="001D0E7C">
      <w:pPr>
        <w:pStyle w:val="FootnoteText"/>
        <w:rPr>
          <w:color w:val="000000"/>
        </w:rPr>
      </w:pPr>
      <w:r w:rsidRPr="001D0E7C">
        <w:rPr>
          <w:color w:val="000000"/>
        </w:rPr>
        <w:t xml:space="preserve">Kiely, B., </w:t>
      </w:r>
      <w:proofErr w:type="spellStart"/>
      <w:r w:rsidRPr="001D0E7C">
        <w:rPr>
          <w:color w:val="000000"/>
        </w:rPr>
        <w:t>Adesman</w:t>
      </w:r>
      <w:proofErr w:type="spellEnd"/>
      <w:r w:rsidRPr="001D0E7C">
        <w:rPr>
          <w:color w:val="000000"/>
        </w:rPr>
        <w:t xml:space="preserve">, A., Rapoport, E., &amp; Gutman, A., MD. (2020). Patterns and outcomes of diagnosis disclosure to youth with autism spectrum disorder. </w:t>
      </w:r>
      <w:r w:rsidRPr="001D0E7C">
        <w:rPr>
          <w:i/>
          <w:iCs/>
          <w:color w:val="000000"/>
        </w:rPr>
        <w:t>Journal of Developmental &amp; Behavioral Pediatrics,</w:t>
      </w:r>
      <w:r w:rsidRPr="001D0E7C">
        <w:rPr>
          <w:color w:val="000000"/>
        </w:rPr>
        <w:t xml:space="preserve"> </w:t>
      </w:r>
      <w:r w:rsidRPr="001D0E7C">
        <w:rPr>
          <w:i/>
          <w:iCs/>
          <w:color w:val="000000"/>
        </w:rPr>
        <w:t>41</w:t>
      </w:r>
      <w:r w:rsidRPr="001D0E7C">
        <w:rPr>
          <w:color w:val="000000"/>
        </w:rPr>
        <w:t xml:space="preserve">(6), 443-451, </w:t>
      </w:r>
      <w:hyperlink r:id="rId12" w:history="1">
        <w:r w:rsidR="0069774C" w:rsidRPr="001D0E7C">
          <w:rPr>
            <w:rStyle w:val="Hyperlink"/>
          </w:rPr>
          <w:t>https://doi.org/10.1097/DBP.0000000000000802</w:t>
        </w:r>
      </w:hyperlink>
      <w:r w:rsidRPr="001D0E7C">
        <w:rPr>
          <w:color w:val="000000"/>
        </w:rPr>
        <w:t> </w:t>
      </w:r>
    </w:p>
    <w:p w14:paraId="094F9372" w14:textId="77777777" w:rsidR="0069774C" w:rsidRPr="001D0E7C" w:rsidRDefault="0069774C" w:rsidP="001D0E7C">
      <w:pPr>
        <w:pStyle w:val="FootnoteText"/>
        <w:rPr>
          <w:color w:val="000000"/>
        </w:rPr>
      </w:pPr>
    </w:p>
    <w:p w14:paraId="074D2D19" w14:textId="77777777" w:rsidR="001D0E7C" w:rsidRPr="001D0E7C" w:rsidRDefault="001D0E7C" w:rsidP="001D0E7C">
      <w:pPr>
        <w:pStyle w:val="FootnoteText"/>
        <w:rPr>
          <w:color w:val="000000"/>
        </w:rPr>
      </w:pPr>
      <w:r w:rsidRPr="001D0E7C">
        <w:rPr>
          <w:color w:val="000000"/>
        </w:rPr>
        <w:t xml:space="preserve">Lord, C., Rutter, M., </w:t>
      </w:r>
      <w:proofErr w:type="spellStart"/>
      <w:r w:rsidRPr="001D0E7C">
        <w:rPr>
          <w:color w:val="000000"/>
        </w:rPr>
        <w:t>DiLavore</w:t>
      </w:r>
      <w:proofErr w:type="spellEnd"/>
      <w:r w:rsidRPr="001D0E7C">
        <w:rPr>
          <w:color w:val="000000"/>
        </w:rPr>
        <w:t>, P.C., Risi, S., Gotham, K., &amp; Bishop, S.L. (2012). Autism </w:t>
      </w:r>
      <w:r w:rsidRPr="001D0E7C">
        <w:rPr>
          <w:color w:val="000000"/>
        </w:rPr>
        <w:br/>
        <w:t xml:space="preserve">Diagnostic Observation Schedule, Second Edition; Part I: Modules 1-4. </w:t>
      </w:r>
      <w:r w:rsidRPr="001D0E7C">
        <w:rPr>
          <w:i/>
          <w:iCs/>
          <w:color w:val="000000"/>
        </w:rPr>
        <w:t>Los Angeles, CA:</w:t>
      </w:r>
      <w:r w:rsidRPr="001D0E7C">
        <w:rPr>
          <w:color w:val="000000"/>
        </w:rPr>
        <w:t xml:space="preserve"> </w:t>
      </w:r>
      <w:r w:rsidRPr="001D0E7C">
        <w:rPr>
          <w:i/>
          <w:iCs/>
          <w:color w:val="000000"/>
        </w:rPr>
        <w:t>Western Psychological Services.</w:t>
      </w:r>
      <w:r w:rsidRPr="001D0E7C">
        <w:rPr>
          <w:color w:val="000000"/>
        </w:rPr>
        <w:t> </w:t>
      </w:r>
    </w:p>
    <w:p w14:paraId="5707514D" w14:textId="77777777" w:rsidR="0069774C" w:rsidRDefault="0069774C" w:rsidP="001D0E7C">
      <w:pPr>
        <w:pStyle w:val="FootnoteText"/>
        <w:rPr>
          <w:color w:val="000000"/>
        </w:rPr>
      </w:pPr>
    </w:p>
    <w:p w14:paraId="36C7D573" w14:textId="0D60D63B" w:rsidR="001D0E7C" w:rsidRPr="001D0E7C" w:rsidRDefault="001D0E7C" w:rsidP="001D0E7C">
      <w:pPr>
        <w:pStyle w:val="FootnoteText"/>
        <w:rPr>
          <w:color w:val="000000"/>
        </w:rPr>
      </w:pPr>
      <w:r w:rsidRPr="001D0E7C">
        <w:rPr>
          <w:color w:val="000000"/>
        </w:rPr>
        <w:t xml:space="preserve">Riccio, A., Kapp, S. K., Jordan, A., </w:t>
      </w:r>
      <w:proofErr w:type="spellStart"/>
      <w:r w:rsidRPr="001D0E7C">
        <w:rPr>
          <w:color w:val="000000"/>
        </w:rPr>
        <w:t>Dorelien</w:t>
      </w:r>
      <w:proofErr w:type="spellEnd"/>
      <w:r w:rsidRPr="001D0E7C">
        <w:rPr>
          <w:color w:val="000000"/>
        </w:rPr>
        <w:t xml:space="preserve">, A. M., &amp; Gillespie-Lynch, K. (2021). How is autistic identity in adolescence influenced by parental disclosure decisions and perceptions of autism? </w:t>
      </w:r>
      <w:r w:rsidRPr="001D0E7C">
        <w:rPr>
          <w:i/>
          <w:iCs/>
          <w:color w:val="000000"/>
        </w:rPr>
        <w:t>Autism</w:t>
      </w:r>
      <w:r w:rsidRPr="001D0E7C">
        <w:rPr>
          <w:color w:val="000000"/>
        </w:rPr>
        <w:t xml:space="preserve">, </w:t>
      </w:r>
      <w:r w:rsidRPr="001D0E7C">
        <w:rPr>
          <w:i/>
          <w:iCs/>
          <w:color w:val="000000"/>
        </w:rPr>
        <w:t>25</w:t>
      </w:r>
      <w:r w:rsidRPr="001D0E7C">
        <w:rPr>
          <w:color w:val="000000"/>
        </w:rPr>
        <w:t>(2), 374-388. https://doi.org/10.1177/1362361320958214 </w:t>
      </w:r>
    </w:p>
    <w:p w14:paraId="3D062492" w14:textId="77777777" w:rsidR="0069774C" w:rsidRDefault="0069774C" w:rsidP="001D0E7C">
      <w:pPr>
        <w:pStyle w:val="FootnoteText"/>
        <w:rPr>
          <w:color w:val="000000"/>
        </w:rPr>
      </w:pPr>
    </w:p>
    <w:p w14:paraId="2B546D8D" w14:textId="4EC6D5D5" w:rsidR="001D0E7C" w:rsidRPr="001D0E7C" w:rsidRDefault="001D0E7C" w:rsidP="001D0E7C">
      <w:pPr>
        <w:pStyle w:val="FootnoteText"/>
        <w:rPr>
          <w:color w:val="000000"/>
        </w:rPr>
      </w:pPr>
      <w:r w:rsidRPr="001D0E7C">
        <w:rPr>
          <w:color w:val="000000"/>
        </w:rPr>
        <w:t xml:space="preserve">Thompson-Hodgetts, S., Labonte, C., Mazumder, R., &amp; Phelan, S. (2020). Helpful or harmful? A scoping review of perceptions and outcomes of autism diagnostic disclosure to others, </w:t>
      </w:r>
      <w:r w:rsidRPr="001D0E7C">
        <w:rPr>
          <w:i/>
          <w:iCs/>
          <w:color w:val="000000"/>
        </w:rPr>
        <w:t>Research in Autism Spectrum Disorders</w:t>
      </w:r>
      <w:r w:rsidRPr="001D0E7C">
        <w:rPr>
          <w:color w:val="000000"/>
        </w:rPr>
        <w:t xml:space="preserve">, 77. </w:t>
      </w:r>
      <w:hyperlink r:id="rId13" w:tgtFrame="_blank" w:history="1">
        <w:r w:rsidRPr="001D0E7C">
          <w:rPr>
            <w:rStyle w:val="Hyperlink"/>
          </w:rPr>
          <w:t>https://doi.org/10.1016/j.rasd.2020.101598</w:t>
        </w:r>
      </w:hyperlink>
      <w:r w:rsidRPr="001D0E7C">
        <w:rPr>
          <w:color w:val="000000"/>
        </w:rPr>
        <w:t> </w:t>
      </w:r>
    </w:p>
    <w:p w14:paraId="26DBE673" w14:textId="77777777" w:rsidR="0069774C" w:rsidRDefault="0069774C" w:rsidP="003D6244">
      <w:pPr>
        <w:pStyle w:val="FootnoteText"/>
      </w:pPr>
    </w:p>
    <w:p w14:paraId="62B996D7" w14:textId="5E2A9E29" w:rsidR="001D0E7C" w:rsidRDefault="0069774C" w:rsidP="003D6244">
      <w:pPr>
        <w:pStyle w:val="FootnoteText"/>
      </w:pPr>
      <w:r w:rsidRPr="001D0E7C">
        <w:rPr>
          <w:vertAlign w:val="superscript"/>
        </w:rPr>
        <w:t>1</w:t>
      </w:r>
      <w:r w:rsidRPr="001D0E7C">
        <w:t xml:space="preserve"> </w:t>
      </w:r>
      <w:r>
        <w:t>Center for Autism Spectrum Disorders, Children’s National Hospital, Washington, DC</w:t>
      </w:r>
    </w:p>
    <w:p w14:paraId="314DF3C2" w14:textId="2C10F501" w:rsidR="0069774C" w:rsidRDefault="0069774C" w:rsidP="003D6244">
      <w:pPr>
        <w:pStyle w:val="FootnoteText"/>
      </w:pPr>
      <w:r>
        <w:rPr>
          <w:vertAlign w:val="superscript"/>
        </w:rPr>
        <w:t>2</w:t>
      </w:r>
      <w:r w:rsidRPr="001D0E7C">
        <w:t xml:space="preserve"> </w:t>
      </w:r>
      <w:r>
        <w:t>Indiana University Bloomington, School of Education, Bloomington, IN</w:t>
      </w:r>
    </w:p>
    <w:p w14:paraId="35AA9063" w14:textId="77777777" w:rsidR="0069774C" w:rsidRDefault="0069774C" w:rsidP="001D0E7C">
      <w:pPr>
        <w:rPr>
          <w:rFonts w:eastAsia="Calibri" w:cstheme="minorHAnsi"/>
          <w:sz w:val="20"/>
          <w:szCs w:val="20"/>
          <w:vertAlign w:val="superscript"/>
        </w:rPr>
      </w:pPr>
    </w:p>
    <w:p w14:paraId="7AC5037A" w14:textId="77777777" w:rsidR="001C735E" w:rsidRPr="003D6244" w:rsidRDefault="001C735E" w:rsidP="003D6244"/>
    <w:sectPr w:rsidR="001C735E" w:rsidRPr="003D6244" w:rsidSect="00394E2C">
      <w:headerReference w:type="default" r:id="rId14"/>
      <w:footerReference w:type="default" r:id="rId15"/>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00CA7" w14:textId="77777777" w:rsidR="007C124A" w:rsidRDefault="007C124A" w:rsidP="00A16498">
      <w:pPr>
        <w:spacing w:after="0" w:line="240" w:lineRule="auto"/>
      </w:pPr>
      <w:r>
        <w:separator/>
      </w:r>
    </w:p>
  </w:endnote>
  <w:endnote w:type="continuationSeparator" w:id="0">
    <w:p w14:paraId="2C51AB1E" w14:textId="77777777" w:rsidR="007C124A" w:rsidRDefault="007C124A"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68DAD" w14:textId="77777777" w:rsidR="007C124A" w:rsidRDefault="007C124A" w:rsidP="00A16498">
      <w:pPr>
        <w:spacing w:after="0" w:line="240" w:lineRule="auto"/>
      </w:pPr>
      <w:r>
        <w:separator/>
      </w:r>
    </w:p>
  </w:footnote>
  <w:footnote w:type="continuationSeparator" w:id="0">
    <w:p w14:paraId="64D11D25" w14:textId="77777777" w:rsidR="007C124A" w:rsidRDefault="007C124A"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0FFBA749" w:rsidR="00A16498" w:rsidRDefault="001D0E7C">
    <w:pPr>
      <w:pStyle w:val="Header"/>
    </w:pPr>
    <w:r>
      <w:rPr>
        <w:noProof/>
      </w:rPr>
      <mc:AlternateContent>
        <mc:Choice Requires="wps">
          <w:drawing>
            <wp:anchor distT="0" distB="0" distL="114300" distR="114300" simplePos="0" relativeHeight="251659264" behindDoc="0" locked="0" layoutInCell="1" allowOverlap="1" wp14:anchorId="444D464E" wp14:editId="241D8F05">
              <wp:simplePos x="0" y="0"/>
              <wp:positionH relativeFrom="column">
                <wp:posOffset>721360</wp:posOffset>
              </wp:positionH>
              <wp:positionV relativeFrom="paragraph">
                <wp:posOffset>-222250</wp:posOffset>
              </wp:positionV>
              <wp:extent cx="5371689" cy="457200"/>
              <wp:effectExtent l="12700" t="12700" r="13335" b="12700"/>
              <wp:wrapNone/>
              <wp:docPr id="172962113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444D464E" id="Rectangle 197" o:spid="_x0000_s1026" style="position:absolute;margin-left:56.8pt;margin-top:-17.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21F22"/>
    <w:rsid w:val="001C735E"/>
    <w:rsid w:val="001D0E7C"/>
    <w:rsid w:val="00226854"/>
    <w:rsid w:val="00244C29"/>
    <w:rsid w:val="002872AA"/>
    <w:rsid w:val="00300310"/>
    <w:rsid w:val="00300AD7"/>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9774C"/>
    <w:rsid w:val="006C05DD"/>
    <w:rsid w:val="00751FEE"/>
    <w:rsid w:val="007722E4"/>
    <w:rsid w:val="0077649B"/>
    <w:rsid w:val="00777D73"/>
    <w:rsid w:val="007B4CE7"/>
    <w:rsid w:val="007C124A"/>
    <w:rsid w:val="007F76F2"/>
    <w:rsid w:val="00801D2A"/>
    <w:rsid w:val="00817FE3"/>
    <w:rsid w:val="0087492A"/>
    <w:rsid w:val="008938D8"/>
    <w:rsid w:val="009462E3"/>
    <w:rsid w:val="009B1DAB"/>
    <w:rsid w:val="009E1B56"/>
    <w:rsid w:val="00A16498"/>
    <w:rsid w:val="00A44FEB"/>
    <w:rsid w:val="00A81503"/>
    <w:rsid w:val="00AB7B37"/>
    <w:rsid w:val="00AE4ADB"/>
    <w:rsid w:val="00B226B4"/>
    <w:rsid w:val="00B71AFF"/>
    <w:rsid w:val="00BA2D2D"/>
    <w:rsid w:val="00C6243D"/>
    <w:rsid w:val="00C80718"/>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1D0E7C"/>
    <w:rPr>
      <w:color w:val="0000FF" w:themeColor="hyperlink"/>
      <w:u w:val="single"/>
    </w:rPr>
  </w:style>
  <w:style w:type="character" w:styleId="UnresolvedMention">
    <w:name w:val="Unresolved Mention"/>
    <w:basedOn w:val="DefaultParagraphFont"/>
    <w:uiPriority w:val="99"/>
    <w:semiHidden/>
    <w:unhideWhenUsed/>
    <w:rsid w:val="001D0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4939">
      <w:bodyDiv w:val="1"/>
      <w:marLeft w:val="0"/>
      <w:marRight w:val="0"/>
      <w:marTop w:val="0"/>
      <w:marBottom w:val="0"/>
      <w:divBdr>
        <w:top w:val="none" w:sz="0" w:space="0" w:color="auto"/>
        <w:left w:val="none" w:sz="0" w:space="0" w:color="auto"/>
        <w:bottom w:val="none" w:sz="0" w:space="0" w:color="auto"/>
        <w:right w:val="none" w:sz="0" w:space="0" w:color="auto"/>
      </w:divBdr>
      <w:divsChild>
        <w:div w:id="572281157">
          <w:marLeft w:val="0"/>
          <w:marRight w:val="0"/>
          <w:marTop w:val="0"/>
          <w:marBottom w:val="0"/>
          <w:divBdr>
            <w:top w:val="none" w:sz="0" w:space="0" w:color="auto"/>
            <w:left w:val="none" w:sz="0" w:space="0" w:color="auto"/>
            <w:bottom w:val="none" w:sz="0" w:space="0" w:color="auto"/>
            <w:right w:val="none" w:sz="0" w:space="0" w:color="auto"/>
          </w:divBdr>
        </w:div>
        <w:div w:id="1787583094">
          <w:marLeft w:val="0"/>
          <w:marRight w:val="0"/>
          <w:marTop w:val="0"/>
          <w:marBottom w:val="0"/>
          <w:divBdr>
            <w:top w:val="none" w:sz="0" w:space="0" w:color="auto"/>
            <w:left w:val="none" w:sz="0" w:space="0" w:color="auto"/>
            <w:bottom w:val="none" w:sz="0" w:space="0" w:color="auto"/>
            <w:right w:val="none" w:sz="0" w:space="0" w:color="auto"/>
          </w:divBdr>
        </w:div>
        <w:div w:id="80415576">
          <w:marLeft w:val="0"/>
          <w:marRight w:val="0"/>
          <w:marTop w:val="0"/>
          <w:marBottom w:val="0"/>
          <w:divBdr>
            <w:top w:val="none" w:sz="0" w:space="0" w:color="auto"/>
            <w:left w:val="none" w:sz="0" w:space="0" w:color="auto"/>
            <w:bottom w:val="none" w:sz="0" w:space="0" w:color="auto"/>
            <w:right w:val="none" w:sz="0" w:space="0" w:color="auto"/>
          </w:divBdr>
        </w:div>
        <w:div w:id="1262448888">
          <w:marLeft w:val="0"/>
          <w:marRight w:val="0"/>
          <w:marTop w:val="0"/>
          <w:marBottom w:val="0"/>
          <w:divBdr>
            <w:top w:val="none" w:sz="0" w:space="0" w:color="auto"/>
            <w:left w:val="none" w:sz="0" w:space="0" w:color="auto"/>
            <w:bottom w:val="none" w:sz="0" w:space="0" w:color="auto"/>
            <w:right w:val="none" w:sz="0" w:space="0" w:color="auto"/>
          </w:divBdr>
        </w:div>
        <w:div w:id="20129619">
          <w:marLeft w:val="0"/>
          <w:marRight w:val="0"/>
          <w:marTop w:val="0"/>
          <w:marBottom w:val="0"/>
          <w:divBdr>
            <w:top w:val="none" w:sz="0" w:space="0" w:color="auto"/>
            <w:left w:val="none" w:sz="0" w:space="0" w:color="auto"/>
            <w:bottom w:val="none" w:sz="0" w:space="0" w:color="auto"/>
            <w:right w:val="none" w:sz="0" w:space="0" w:color="auto"/>
          </w:divBdr>
        </w:div>
        <w:div w:id="802190329">
          <w:marLeft w:val="0"/>
          <w:marRight w:val="0"/>
          <w:marTop w:val="0"/>
          <w:marBottom w:val="0"/>
          <w:divBdr>
            <w:top w:val="none" w:sz="0" w:space="0" w:color="auto"/>
            <w:left w:val="none" w:sz="0" w:space="0" w:color="auto"/>
            <w:bottom w:val="none" w:sz="0" w:space="0" w:color="auto"/>
            <w:right w:val="none" w:sz="0" w:space="0" w:color="auto"/>
          </w:divBdr>
        </w:div>
        <w:div w:id="1378358005">
          <w:marLeft w:val="0"/>
          <w:marRight w:val="0"/>
          <w:marTop w:val="0"/>
          <w:marBottom w:val="0"/>
          <w:divBdr>
            <w:top w:val="none" w:sz="0" w:space="0" w:color="auto"/>
            <w:left w:val="none" w:sz="0" w:space="0" w:color="auto"/>
            <w:bottom w:val="none" w:sz="0" w:space="0" w:color="auto"/>
            <w:right w:val="none" w:sz="0" w:space="0" w:color="auto"/>
          </w:divBdr>
        </w:div>
        <w:div w:id="1483237464">
          <w:marLeft w:val="0"/>
          <w:marRight w:val="0"/>
          <w:marTop w:val="0"/>
          <w:marBottom w:val="0"/>
          <w:divBdr>
            <w:top w:val="none" w:sz="0" w:space="0" w:color="auto"/>
            <w:left w:val="none" w:sz="0" w:space="0" w:color="auto"/>
            <w:bottom w:val="none" w:sz="0" w:space="0" w:color="auto"/>
            <w:right w:val="none" w:sz="0" w:space="0" w:color="auto"/>
          </w:divBdr>
        </w:div>
      </w:divsChild>
    </w:div>
    <w:div w:id="602303808">
      <w:bodyDiv w:val="1"/>
      <w:marLeft w:val="0"/>
      <w:marRight w:val="0"/>
      <w:marTop w:val="0"/>
      <w:marBottom w:val="0"/>
      <w:divBdr>
        <w:top w:val="none" w:sz="0" w:space="0" w:color="auto"/>
        <w:left w:val="none" w:sz="0" w:space="0" w:color="auto"/>
        <w:bottom w:val="none" w:sz="0" w:space="0" w:color="auto"/>
        <w:right w:val="none" w:sz="0" w:space="0" w:color="auto"/>
      </w:divBdr>
      <w:divsChild>
        <w:div w:id="1992249735">
          <w:marLeft w:val="0"/>
          <w:marRight w:val="0"/>
          <w:marTop w:val="0"/>
          <w:marBottom w:val="0"/>
          <w:divBdr>
            <w:top w:val="none" w:sz="0" w:space="0" w:color="auto"/>
            <w:left w:val="none" w:sz="0" w:space="0" w:color="auto"/>
            <w:bottom w:val="none" w:sz="0" w:space="0" w:color="auto"/>
            <w:right w:val="none" w:sz="0" w:space="0" w:color="auto"/>
          </w:divBdr>
        </w:div>
        <w:div w:id="893079028">
          <w:marLeft w:val="0"/>
          <w:marRight w:val="0"/>
          <w:marTop w:val="0"/>
          <w:marBottom w:val="0"/>
          <w:divBdr>
            <w:top w:val="none" w:sz="0" w:space="0" w:color="auto"/>
            <w:left w:val="none" w:sz="0" w:space="0" w:color="auto"/>
            <w:bottom w:val="none" w:sz="0" w:space="0" w:color="auto"/>
            <w:right w:val="none" w:sz="0" w:space="0" w:color="auto"/>
          </w:divBdr>
        </w:div>
      </w:divsChild>
    </w:div>
    <w:div w:id="1014771024">
      <w:bodyDiv w:val="1"/>
      <w:marLeft w:val="0"/>
      <w:marRight w:val="0"/>
      <w:marTop w:val="0"/>
      <w:marBottom w:val="0"/>
      <w:divBdr>
        <w:top w:val="none" w:sz="0" w:space="0" w:color="auto"/>
        <w:left w:val="none" w:sz="0" w:space="0" w:color="auto"/>
        <w:bottom w:val="none" w:sz="0" w:space="0" w:color="auto"/>
        <w:right w:val="none" w:sz="0" w:space="0" w:color="auto"/>
      </w:divBdr>
      <w:divsChild>
        <w:div w:id="322247886">
          <w:marLeft w:val="0"/>
          <w:marRight w:val="0"/>
          <w:marTop w:val="0"/>
          <w:marBottom w:val="0"/>
          <w:divBdr>
            <w:top w:val="none" w:sz="0" w:space="0" w:color="auto"/>
            <w:left w:val="none" w:sz="0" w:space="0" w:color="auto"/>
            <w:bottom w:val="none" w:sz="0" w:space="0" w:color="auto"/>
            <w:right w:val="none" w:sz="0" w:space="0" w:color="auto"/>
          </w:divBdr>
        </w:div>
        <w:div w:id="639846763">
          <w:marLeft w:val="0"/>
          <w:marRight w:val="0"/>
          <w:marTop w:val="0"/>
          <w:marBottom w:val="0"/>
          <w:divBdr>
            <w:top w:val="none" w:sz="0" w:space="0" w:color="auto"/>
            <w:left w:val="none" w:sz="0" w:space="0" w:color="auto"/>
            <w:bottom w:val="none" w:sz="0" w:space="0" w:color="auto"/>
            <w:right w:val="none" w:sz="0" w:space="0" w:color="auto"/>
          </w:divBdr>
        </w:div>
      </w:divsChild>
    </w:div>
    <w:div w:id="1132287479">
      <w:bodyDiv w:val="1"/>
      <w:marLeft w:val="0"/>
      <w:marRight w:val="0"/>
      <w:marTop w:val="0"/>
      <w:marBottom w:val="0"/>
      <w:divBdr>
        <w:top w:val="none" w:sz="0" w:space="0" w:color="auto"/>
        <w:left w:val="none" w:sz="0" w:space="0" w:color="auto"/>
        <w:bottom w:val="none" w:sz="0" w:space="0" w:color="auto"/>
        <w:right w:val="none" w:sz="0" w:space="0" w:color="auto"/>
      </w:divBdr>
      <w:divsChild>
        <w:div w:id="629557927">
          <w:marLeft w:val="0"/>
          <w:marRight w:val="0"/>
          <w:marTop w:val="0"/>
          <w:marBottom w:val="0"/>
          <w:divBdr>
            <w:top w:val="none" w:sz="0" w:space="0" w:color="auto"/>
            <w:left w:val="none" w:sz="0" w:space="0" w:color="auto"/>
            <w:bottom w:val="none" w:sz="0" w:space="0" w:color="auto"/>
            <w:right w:val="none" w:sz="0" w:space="0" w:color="auto"/>
          </w:divBdr>
        </w:div>
        <w:div w:id="86269014">
          <w:marLeft w:val="0"/>
          <w:marRight w:val="0"/>
          <w:marTop w:val="0"/>
          <w:marBottom w:val="0"/>
          <w:divBdr>
            <w:top w:val="none" w:sz="0" w:space="0" w:color="auto"/>
            <w:left w:val="none" w:sz="0" w:space="0" w:color="auto"/>
            <w:bottom w:val="none" w:sz="0" w:space="0" w:color="auto"/>
            <w:right w:val="none" w:sz="0" w:space="0" w:color="auto"/>
          </w:divBdr>
        </w:div>
        <w:div w:id="1845243617">
          <w:marLeft w:val="0"/>
          <w:marRight w:val="0"/>
          <w:marTop w:val="0"/>
          <w:marBottom w:val="0"/>
          <w:divBdr>
            <w:top w:val="none" w:sz="0" w:space="0" w:color="auto"/>
            <w:left w:val="none" w:sz="0" w:space="0" w:color="auto"/>
            <w:bottom w:val="none" w:sz="0" w:space="0" w:color="auto"/>
            <w:right w:val="none" w:sz="0" w:space="0" w:color="auto"/>
          </w:divBdr>
        </w:div>
        <w:div w:id="186143574">
          <w:marLeft w:val="0"/>
          <w:marRight w:val="0"/>
          <w:marTop w:val="0"/>
          <w:marBottom w:val="0"/>
          <w:divBdr>
            <w:top w:val="none" w:sz="0" w:space="0" w:color="auto"/>
            <w:left w:val="none" w:sz="0" w:space="0" w:color="auto"/>
            <w:bottom w:val="none" w:sz="0" w:space="0" w:color="auto"/>
            <w:right w:val="none" w:sz="0" w:space="0" w:color="auto"/>
          </w:divBdr>
        </w:div>
        <w:div w:id="825434828">
          <w:marLeft w:val="0"/>
          <w:marRight w:val="0"/>
          <w:marTop w:val="0"/>
          <w:marBottom w:val="0"/>
          <w:divBdr>
            <w:top w:val="none" w:sz="0" w:space="0" w:color="auto"/>
            <w:left w:val="none" w:sz="0" w:space="0" w:color="auto"/>
            <w:bottom w:val="none" w:sz="0" w:space="0" w:color="auto"/>
            <w:right w:val="none" w:sz="0" w:space="0" w:color="auto"/>
          </w:divBdr>
        </w:div>
        <w:div w:id="139083612">
          <w:marLeft w:val="0"/>
          <w:marRight w:val="0"/>
          <w:marTop w:val="0"/>
          <w:marBottom w:val="0"/>
          <w:divBdr>
            <w:top w:val="none" w:sz="0" w:space="0" w:color="auto"/>
            <w:left w:val="none" w:sz="0" w:space="0" w:color="auto"/>
            <w:bottom w:val="none" w:sz="0" w:space="0" w:color="auto"/>
            <w:right w:val="none" w:sz="0" w:space="0" w:color="auto"/>
          </w:divBdr>
        </w:div>
        <w:div w:id="1273977810">
          <w:marLeft w:val="0"/>
          <w:marRight w:val="0"/>
          <w:marTop w:val="0"/>
          <w:marBottom w:val="0"/>
          <w:divBdr>
            <w:top w:val="none" w:sz="0" w:space="0" w:color="auto"/>
            <w:left w:val="none" w:sz="0" w:space="0" w:color="auto"/>
            <w:bottom w:val="none" w:sz="0" w:space="0" w:color="auto"/>
            <w:right w:val="none" w:sz="0" w:space="0" w:color="auto"/>
          </w:divBdr>
        </w:div>
        <w:div w:id="623778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rasd.2020.10159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97/DBP.000000000000080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9/aut.2018.005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oi.org/10.1176/appi.books.978089042559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Neuman, Chloe Cheskis</cp:lastModifiedBy>
  <cp:revision>2</cp:revision>
  <dcterms:created xsi:type="dcterms:W3CDTF">2024-11-04T22:54:00Z</dcterms:created>
  <dcterms:modified xsi:type="dcterms:W3CDTF">2024-11-04T22:54:00Z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