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435D568D" w:rsidR="003D6244" w:rsidRPr="009E00A7" w:rsidRDefault="003D6244" w:rsidP="003D6244">
      <w:pPr>
        <w:rPr>
          <w:sz w:val="20"/>
          <w:szCs w:val="20"/>
        </w:rPr>
      </w:pPr>
      <w:r w:rsidRPr="009E00A7">
        <w:rPr>
          <w:b/>
          <w:sz w:val="20"/>
          <w:szCs w:val="20"/>
        </w:rPr>
        <w:t>Title</w:t>
      </w:r>
      <w:r w:rsidRPr="009E00A7">
        <w:rPr>
          <w:sz w:val="20"/>
          <w:szCs w:val="20"/>
        </w:rPr>
        <w:t xml:space="preserve">: </w:t>
      </w:r>
      <w:r w:rsidR="00305CA4" w:rsidRPr="00305CA4">
        <w:rPr>
          <w:sz w:val="20"/>
          <w:szCs w:val="20"/>
        </w:rPr>
        <w:t>Validation of the NIH Toolbox Version 3 in Individuals with Autism Spectrum Disorder and Learning Disabilities</w:t>
      </w:r>
    </w:p>
    <w:p w14:paraId="7287E9B9" w14:textId="2418632C" w:rsidR="00305CA4" w:rsidRDefault="003D6244" w:rsidP="003D6244">
      <w:pPr>
        <w:rPr>
          <w:sz w:val="20"/>
          <w:szCs w:val="20"/>
        </w:rPr>
      </w:pPr>
      <w:r w:rsidRPr="009E00A7">
        <w:rPr>
          <w:b/>
          <w:sz w:val="20"/>
          <w:szCs w:val="20"/>
        </w:rPr>
        <w:t>Authors</w:t>
      </w:r>
      <w:r w:rsidRPr="009E00A7">
        <w:rPr>
          <w:sz w:val="20"/>
          <w:szCs w:val="20"/>
        </w:rPr>
        <w:t xml:space="preserve">: </w:t>
      </w:r>
      <w:r w:rsidR="00305CA4" w:rsidRPr="00305CA4">
        <w:rPr>
          <w:sz w:val="20"/>
          <w:szCs w:val="20"/>
        </w:rPr>
        <w:t>Jiwon Kim</w:t>
      </w:r>
      <w:r w:rsidR="00305CA4">
        <w:rPr>
          <w:sz w:val="20"/>
          <w:szCs w:val="20"/>
          <w:vertAlign w:val="superscript"/>
        </w:rPr>
        <w:t>1</w:t>
      </w:r>
      <w:r w:rsidR="00305CA4" w:rsidRPr="00305CA4">
        <w:rPr>
          <w:sz w:val="20"/>
          <w:szCs w:val="20"/>
        </w:rPr>
        <w:t>, Y. Catherine Han</w:t>
      </w:r>
      <w:r w:rsidR="00305CA4">
        <w:rPr>
          <w:sz w:val="20"/>
          <w:szCs w:val="20"/>
          <w:vertAlign w:val="superscript"/>
        </w:rPr>
        <w:t>1</w:t>
      </w:r>
      <w:r w:rsidR="00305CA4" w:rsidRPr="00305CA4">
        <w:rPr>
          <w:sz w:val="20"/>
          <w:szCs w:val="20"/>
        </w:rPr>
        <w:t>, Stephanie R. Young</w:t>
      </w:r>
      <w:r w:rsidR="00305CA4">
        <w:rPr>
          <w:sz w:val="20"/>
          <w:szCs w:val="20"/>
          <w:vertAlign w:val="superscript"/>
        </w:rPr>
        <w:t>1</w:t>
      </w:r>
      <w:r w:rsidR="00305CA4" w:rsidRPr="00305CA4">
        <w:rPr>
          <w:sz w:val="20"/>
          <w:szCs w:val="20"/>
        </w:rPr>
        <w:t>, Elizabeth M. Dworak</w:t>
      </w:r>
      <w:r w:rsidR="00305CA4">
        <w:rPr>
          <w:sz w:val="20"/>
          <w:szCs w:val="20"/>
          <w:vertAlign w:val="superscript"/>
        </w:rPr>
        <w:t>1</w:t>
      </w:r>
      <w:r w:rsidR="00305CA4" w:rsidRPr="00305CA4">
        <w:rPr>
          <w:sz w:val="20"/>
          <w:szCs w:val="20"/>
        </w:rPr>
        <w:t>, Aaron J. Kaat</w:t>
      </w:r>
      <w:r w:rsidR="00305CA4">
        <w:rPr>
          <w:sz w:val="20"/>
          <w:szCs w:val="20"/>
          <w:vertAlign w:val="superscript"/>
        </w:rPr>
        <w:t>1</w:t>
      </w:r>
      <w:r w:rsidR="00305CA4" w:rsidRPr="00305CA4">
        <w:rPr>
          <w:sz w:val="20"/>
          <w:szCs w:val="20"/>
        </w:rPr>
        <w:t xml:space="preserve">, </w:t>
      </w:r>
      <w:r w:rsidR="00F07C24">
        <w:rPr>
          <w:sz w:val="20"/>
          <w:szCs w:val="20"/>
        </w:rPr>
        <w:t>Emily H. Ho</w:t>
      </w:r>
      <w:r w:rsidR="00F07C24">
        <w:rPr>
          <w:sz w:val="20"/>
          <w:szCs w:val="20"/>
          <w:vertAlign w:val="superscript"/>
        </w:rPr>
        <w:t>1</w:t>
      </w:r>
      <w:r w:rsidR="00F07C24">
        <w:rPr>
          <w:sz w:val="20"/>
          <w:szCs w:val="20"/>
        </w:rPr>
        <w:t>, Erica M. LaForte</w:t>
      </w:r>
      <w:r w:rsidR="00F07C24">
        <w:rPr>
          <w:sz w:val="20"/>
          <w:szCs w:val="20"/>
          <w:vertAlign w:val="superscript"/>
        </w:rPr>
        <w:t>1</w:t>
      </w:r>
      <w:r w:rsidR="00F07C24">
        <w:rPr>
          <w:sz w:val="20"/>
          <w:szCs w:val="20"/>
        </w:rPr>
        <w:t xml:space="preserve">, </w:t>
      </w:r>
      <w:r w:rsidR="00305CA4" w:rsidRPr="00305CA4">
        <w:rPr>
          <w:sz w:val="20"/>
          <w:szCs w:val="20"/>
        </w:rPr>
        <w:t>Richard C. Gershon</w:t>
      </w:r>
      <w:r w:rsidR="00305CA4">
        <w:rPr>
          <w:sz w:val="20"/>
          <w:szCs w:val="20"/>
          <w:vertAlign w:val="superscript"/>
        </w:rPr>
        <w:t>1</w:t>
      </w:r>
      <w:r w:rsidR="00305CA4" w:rsidRPr="00305CA4">
        <w:rPr>
          <w:sz w:val="20"/>
          <w:szCs w:val="20"/>
        </w:rPr>
        <w:t xml:space="preserve"> </w:t>
      </w:r>
    </w:p>
    <w:p w14:paraId="0E35B5FC" w14:textId="35E23F68" w:rsidR="00305CA4" w:rsidRDefault="003D6244" w:rsidP="7BFE472C">
      <w:pPr>
        <w:rPr>
          <w:color w:val="000000"/>
          <w:sz w:val="20"/>
          <w:szCs w:val="20"/>
        </w:rPr>
      </w:pPr>
      <w:r w:rsidRPr="2F494F72">
        <w:rPr>
          <w:b/>
          <w:bCs/>
          <w:sz w:val="20"/>
          <w:szCs w:val="20"/>
        </w:rPr>
        <w:t>Introduction</w:t>
      </w:r>
      <w:r w:rsidRPr="2F494F72">
        <w:rPr>
          <w:sz w:val="20"/>
          <w:szCs w:val="20"/>
        </w:rPr>
        <w:t xml:space="preserve">: </w:t>
      </w:r>
      <w:r w:rsidR="00305CA4" w:rsidRPr="2F494F72">
        <w:rPr>
          <w:color w:val="000000" w:themeColor="text1"/>
          <w:sz w:val="20"/>
          <w:szCs w:val="20"/>
        </w:rPr>
        <w:t>The NIH Toolbox Cognition Battery (NIHTB-CB) has been widely used in diverse clinical populations (Fox et al., 2022)</w:t>
      </w:r>
      <w:r w:rsidR="131F8DAA" w:rsidRPr="2F494F72">
        <w:rPr>
          <w:color w:val="000000" w:themeColor="text1"/>
          <w:sz w:val="20"/>
          <w:szCs w:val="20"/>
        </w:rPr>
        <w:t xml:space="preserve"> including among individuals with intellectual and developmental disabilities (Solomon et al.,</w:t>
      </w:r>
      <w:r w:rsidR="58F13B5F" w:rsidRPr="2F494F72">
        <w:rPr>
          <w:color w:val="000000" w:themeColor="text1"/>
          <w:sz w:val="20"/>
          <w:szCs w:val="20"/>
        </w:rPr>
        <w:t xml:space="preserve"> 2021; Shields et al.,</w:t>
      </w:r>
      <w:r w:rsidR="131F8DAA" w:rsidRPr="2F494F72">
        <w:rPr>
          <w:color w:val="000000" w:themeColor="text1"/>
          <w:sz w:val="20"/>
          <w:szCs w:val="20"/>
        </w:rPr>
        <w:t xml:space="preserve"> 2020</w:t>
      </w:r>
      <w:r w:rsidR="44D962E8" w:rsidRPr="2F494F72">
        <w:rPr>
          <w:color w:val="000000" w:themeColor="text1"/>
          <w:sz w:val="20"/>
          <w:szCs w:val="20"/>
        </w:rPr>
        <w:t>)</w:t>
      </w:r>
      <w:r w:rsidR="00305CA4" w:rsidRPr="2F494F72">
        <w:rPr>
          <w:color w:val="000000" w:themeColor="text1"/>
          <w:sz w:val="20"/>
          <w:szCs w:val="20"/>
        </w:rPr>
        <w:t xml:space="preserve">. </w:t>
      </w:r>
      <w:r w:rsidR="372AF28E" w:rsidRPr="2F494F72">
        <w:rPr>
          <w:color w:val="000000" w:themeColor="text1"/>
          <w:sz w:val="20"/>
          <w:szCs w:val="20"/>
        </w:rPr>
        <w:t>T</w:t>
      </w:r>
      <w:r w:rsidR="00305CA4" w:rsidRPr="2F494F72">
        <w:rPr>
          <w:color w:val="000000" w:themeColor="text1"/>
          <w:sz w:val="20"/>
          <w:szCs w:val="20"/>
        </w:rPr>
        <w:t xml:space="preserve">he </w:t>
      </w:r>
      <w:r w:rsidR="77E9235D" w:rsidRPr="2F494F72">
        <w:rPr>
          <w:color w:val="000000" w:themeColor="text1"/>
          <w:sz w:val="20"/>
          <w:szCs w:val="20"/>
        </w:rPr>
        <w:t xml:space="preserve">NIHTB-CB was recently updated, and the </w:t>
      </w:r>
      <w:r w:rsidR="00305CA4" w:rsidRPr="2F494F72">
        <w:rPr>
          <w:color w:val="000000" w:themeColor="text1"/>
          <w:sz w:val="20"/>
          <w:szCs w:val="20"/>
        </w:rPr>
        <w:t xml:space="preserve">application and validation of Version 3 in individuals with </w:t>
      </w:r>
      <w:proofErr w:type="gramStart"/>
      <w:r w:rsidR="00305CA4" w:rsidRPr="2F494F72">
        <w:rPr>
          <w:color w:val="000000" w:themeColor="text1"/>
          <w:sz w:val="20"/>
          <w:szCs w:val="20"/>
        </w:rPr>
        <w:t>Autism Spectrum Disorder</w:t>
      </w:r>
      <w:proofErr w:type="gramEnd"/>
      <w:r w:rsidR="00305CA4" w:rsidRPr="2F494F72">
        <w:rPr>
          <w:color w:val="000000" w:themeColor="text1"/>
          <w:sz w:val="20"/>
          <w:szCs w:val="20"/>
        </w:rPr>
        <w:t xml:space="preserve"> (ASD) and learning disabilities (LD) remains underexplored. </w:t>
      </w:r>
    </w:p>
    <w:p w14:paraId="48CD109F" w14:textId="046FD711" w:rsidR="00305CA4" w:rsidRDefault="003D6244" w:rsidP="003D6244">
      <w:pPr>
        <w:rPr>
          <w:color w:val="000000"/>
          <w:sz w:val="20"/>
          <w:szCs w:val="20"/>
        </w:rPr>
      </w:pPr>
      <w:r w:rsidRPr="2F494F72">
        <w:rPr>
          <w:b/>
          <w:bCs/>
          <w:color w:val="000000" w:themeColor="text1"/>
          <w:sz w:val="20"/>
          <w:szCs w:val="20"/>
          <w:lang w:val="en-GB"/>
        </w:rPr>
        <w:t>Method</w:t>
      </w:r>
      <w:r w:rsidRPr="2F494F72">
        <w:rPr>
          <w:color w:val="000000" w:themeColor="text1"/>
          <w:sz w:val="20"/>
          <w:szCs w:val="20"/>
          <w:lang w:val="en-GB"/>
        </w:rPr>
        <w:t xml:space="preserve">: </w:t>
      </w:r>
      <w:r w:rsidR="00305CA4" w:rsidRPr="2F494F72">
        <w:rPr>
          <w:color w:val="000000" w:themeColor="text1"/>
          <w:sz w:val="20"/>
          <w:szCs w:val="20"/>
        </w:rPr>
        <w:t>Here, individuals who were diagnosed with ASD (n=23; aged M=</w:t>
      </w:r>
      <w:r w:rsidR="0063608A" w:rsidRPr="2F494F72">
        <w:rPr>
          <w:color w:val="000000" w:themeColor="text1"/>
          <w:sz w:val="20"/>
          <w:szCs w:val="20"/>
        </w:rPr>
        <w:t>11.42 years</w:t>
      </w:r>
      <w:r w:rsidR="00305CA4" w:rsidRPr="2F494F72">
        <w:rPr>
          <w:color w:val="000000" w:themeColor="text1"/>
          <w:sz w:val="20"/>
          <w:szCs w:val="20"/>
        </w:rPr>
        <w:t>, SD=</w:t>
      </w:r>
      <w:r w:rsidR="0063608A" w:rsidRPr="2F494F72">
        <w:rPr>
          <w:color w:val="000000" w:themeColor="text1"/>
          <w:sz w:val="20"/>
          <w:szCs w:val="20"/>
        </w:rPr>
        <w:t>3.89 years</w:t>
      </w:r>
      <w:r w:rsidR="00305CA4" w:rsidRPr="2F494F72">
        <w:rPr>
          <w:color w:val="000000" w:themeColor="text1"/>
          <w:sz w:val="20"/>
          <w:szCs w:val="20"/>
        </w:rPr>
        <w:t>) or</w:t>
      </w:r>
      <w:r w:rsidR="006E57A9" w:rsidRPr="2F494F72">
        <w:rPr>
          <w:color w:val="000000" w:themeColor="text1"/>
          <w:sz w:val="20"/>
          <w:szCs w:val="20"/>
        </w:rPr>
        <w:t xml:space="preserve"> reading-based</w:t>
      </w:r>
      <w:r w:rsidR="00305CA4" w:rsidRPr="2F494F72">
        <w:rPr>
          <w:color w:val="000000" w:themeColor="text1"/>
          <w:sz w:val="20"/>
          <w:szCs w:val="20"/>
        </w:rPr>
        <w:t xml:space="preserve"> LD (n=43; aged M=</w:t>
      </w:r>
      <w:r w:rsidR="0063608A" w:rsidRPr="2F494F72">
        <w:rPr>
          <w:color w:val="000000" w:themeColor="text1"/>
          <w:sz w:val="20"/>
          <w:szCs w:val="20"/>
        </w:rPr>
        <w:t>12.04 years</w:t>
      </w:r>
      <w:r w:rsidR="00305CA4" w:rsidRPr="2F494F72">
        <w:rPr>
          <w:color w:val="000000" w:themeColor="text1"/>
          <w:sz w:val="20"/>
          <w:szCs w:val="20"/>
        </w:rPr>
        <w:t>, SD=</w:t>
      </w:r>
      <w:r w:rsidR="0063608A" w:rsidRPr="2F494F72">
        <w:rPr>
          <w:color w:val="000000" w:themeColor="text1"/>
          <w:sz w:val="20"/>
          <w:szCs w:val="20"/>
        </w:rPr>
        <w:t>2.61 years</w:t>
      </w:r>
      <w:r w:rsidR="00305CA4" w:rsidRPr="2F494F72">
        <w:rPr>
          <w:color w:val="000000" w:themeColor="text1"/>
          <w:sz w:val="20"/>
          <w:szCs w:val="20"/>
        </w:rPr>
        <w:t xml:space="preserve">) were recruited to complete measures from the NIHTB-CB V3. These measures included Dimensional Change Card Sorting (DCCS), Flanker Inhibitory Control Task (Flanker), List Sorting Working Memory (LSWM), Oral Reading Recognition (ORR), Pattern Comparison Processing Speed (PC), Picture Sequence Memory (PSM), Picture Vocabulary (PV), Speeded Matching (SM), and Visual Reasoning (VR). </w:t>
      </w:r>
      <w:r w:rsidR="7A563250" w:rsidRPr="2F494F72">
        <w:rPr>
          <w:color w:val="000000" w:themeColor="text1"/>
          <w:sz w:val="20"/>
          <w:szCs w:val="20"/>
        </w:rPr>
        <w:t>Our analyses focus on feasibility of the tests, and group-level performance compared to the age-based normative expectations.</w:t>
      </w:r>
    </w:p>
    <w:p w14:paraId="7AC50374" w14:textId="32AD3EE6" w:rsidR="003D6244" w:rsidRPr="00B111EB" w:rsidRDefault="003D6244" w:rsidP="7BFE472C">
      <w:pPr>
        <w:rPr>
          <w:rFonts w:cs="Calibri"/>
          <w:color w:val="000000"/>
          <w:sz w:val="20"/>
          <w:szCs w:val="20"/>
          <w:lang w:val="en-GB"/>
        </w:rPr>
      </w:pPr>
      <w:r w:rsidRPr="2F494F72">
        <w:rPr>
          <w:b/>
          <w:bCs/>
          <w:color w:val="000000" w:themeColor="text1"/>
          <w:sz w:val="20"/>
          <w:szCs w:val="20"/>
          <w:lang w:val="en-GB"/>
        </w:rPr>
        <w:t>Results</w:t>
      </w:r>
      <w:r w:rsidRPr="2F494F72">
        <w:rPr>
          <w:color w:val="000000" w:themeColor="text1"/>
          <w:sz w:val="20"/>
          <w:szCs w:val="20"/>
          <w:lang w:val="en-GB"/>
        </w:rPr>
        <w:t xml:space="preserve">: </w:t>
      </w:r>
      <w:r w:rsidR="00305CA4" w:rsidRPr="2F494F72">
        <w:rPr>
          <w:color w:val="000000" w:themeColor="text1"/>
          <w:sz w:val="20"/>
          <w:szCs w:val="20"/>
        </w:rPr>
        <w:t xml:space="preserve">Based on age-adjusted norm scores, individuals with ASD showed lower performance </w:t>
      </w:r>
      <w:r w:rsidR="0063608A" w:rsidRPr="2F494F72">
        <w:rPr>
          <w:color w:val="000000" w:themeColor="text1"/>
          <w:sz w:val="20"/>
          <w:szCs w:val="20"/>
        </w:rPr>
        <w:t xml:space="preserve">than the normed mean on most measures (DCCS, Flanker, LSWM, ORR, PC, PSM, PV, VR; M=72.96-94.75), </w:t>
      </w:r>
      <w:r w:rsidR="00305CA4" w:rsidRPr="2F494F72">
        <w:rPr>
          <w:color w:val="000000" w:themeColor="text1"/>
          <w:sz w:val="20"/>
          <w:szCs w:val="20"/>
        </w:rPr>
        <w:t xml:space="preserve">which </w:t>
      </w:r>
      <w:r w:rsidR="00A204C1" w:rsidRPr="2F494F72">
        <w:rPr>
          <w:color w:val="000000" w:themeColor="text1"/>
          <w:sz w:val="20"/>
          <w:szCs w:val="20"/>
        </w:rPr>
        <w:t>were</w:t>
      </w:r>
      <w:r w:rsidR="00305CA4" w:rsidRPr="2F494F72">
        <w:rPr>
          <w:color w:val="000000" w:themeColor="text1"/>
          <w:sz w:val="20"/>
          <w:szCs w:val="20"/>
        </w:rPr>
        <w:t xml:space="preserve"> approximately </w:t>
      </w:r>
      <w:r w:rsidR="0063608A" w:rsidRPr="2F494F72">
        <w:rPr>
          <w:color w:val="000000" w:themeColor="text1"/>
          <w:sz w:val="20"/>
          <w:szCs w:val="20"/>
        </w:rPr>
        <w:t>0.5-2.7</w:t>
      </w:r>
      <w:r w:rsidR="00305CA4" w:rsidRPr="2F494F72">
        <w:rPr>
          <w:color w:val="000000" w:themeColor="text1"/>
          <w:sz w:val="20"/>
          <w:szCs w:val="20"/>
        </w:rPr>
        <w:t xml:space="preserve"> SD below the normed mean for age-adjusted scores</w:t>
      </w:r>
      <w:r w:rsidR="0063608A" w:rsidRPr="2F494F72">
        <w:rPr>
          <w:color w:val="000000" w:themeColor="text1"/>
          <w:sz w:val="20"/>
          <w:szCs w:val="20"/>
        </w:rPr>
        <w:t>, with the exception of the Speeded Matching task, which was administered to individuals 3-8.5 years of age (n=8, M=1</w:t>
      </w:r>
      <w:r w:rsidR="008E4DFF">
        <w:rPr>
          <w:rFonts w:hint="eastAsia"/>
          <w:color w:val="000000" w:themeColor="text1"/>
          <w:sz w:val="20"/>
          <w:szCs w:val="20"/>
          <w:lang w:eastAsia="ko-KR"/>
        </w:rPr>
        <w:t>0</w:t>
      </w:r>
      <w:r w:rsidR="0063608A" w:rsidRPr="2F494F72">
        <w:rPr>
          <w:color w:val="000000" w:themeColor="text1"/>
          <w:sz w:val="20"/>
          <w:szCs w:val="20"/>
        </w:rPr>
        <w:t xml:space="preserve">0.93, SD=16.05). </w:t>
      </w:r>
      <w:r w:rsidR="13EC577D" w:rsidRPr="2F494F72">
        <w:rPr>
          <w:color w:val="000000" w:themeColor="text1"/>
          <w:sz w:val="20"/>
          <w:szCs w:val="20"/>
        </w:rPr>
        <w:t>Compared to the age-</w:t>
      </w:r>
      <w:r w:rsidR="7370A9ED" w:rsidRPr="2F494F72">
        <w:rPr>
          <w:color w:val="000000" w:themeColor="text1"/>
          <w:sz w:val="20"/>
          <w:szCs w:val="20"/>
        </w:rPr>
        <w:t xml:space="preserve">adjusted </w:t>
      </w:r>
      <w:r w:rsidR="13EC577D" w:rsidRPr="2F494F72">
        <w:rPr>
          <w:color w:val="000000" w:themeColor="text1"/>
          <w:sz w:val="20"/>
          <w:szCs w:val="20"/>
        </w:rPr>
        <w:t xml:space="preserve">normative score expectations, </w:t>
      </w:r>
      <w:r w:rsidR="01D11DBD" w:rsidRPr="2F494F72">
        <w:rPr>
          <w:color w:val="000000" w:themeColor="text1"/>
          <w:sz w:val="20"/>
          <w:szCs w:val="20"/>
        </w:rPr>
        <w:t xml:space="preserve">individuals with ASD </w:t>
      </w:r>
      <w:r w:rsidR="0063608A" w:rsidRPr="2F494F72">
        <w:rPr>
          <w:color w:val="000000" w:themeColor="text1"/>
          <w:sz w:val="20"/>
          <w:szCs w:val="20"/>
        </w:rPr>
        <w:t xml:space="preserve">also </w:t>
      </w:r>
      <w:r w:rsidR="2A5BE533" w:rsidRPr="2F494F72">
        <w:rPr>
          <w:color w:val="000000" w:themeColor="text1"/>
          <w:sz w:val="20"/>
          <w:szCs w:val="20"/>
        </w:rPr>
        <w:t xml:space="preserve">obtained </w:t>
      </w:r>
      <w:r w:rsidR="0063608A" w:rsidRPr="2F494F72">
        <w:rPr>
          <w:color w:val="000000" w:themeColor="text1"/>
          <w:sz w:val="20"/>
          <w:szCs w:val="20"/>
        </w:rPr>
        <w:t>lower Fluid (M=83.84, SD=16.75) and Crystallized (M=73.30, SD=30.21) composite scores. Individuals with LD showed lower but near-</w:t>
      </w:r>
      <w:r w:rsidR="1CB543BE" w:rsidRPr="2F494F72">
        <w:rPr>
          <w:color w:val="000000" w:themeColor="text1"/>
          <w:sz w:val="20"/>
          <w:szCs w:val="20"/>
        </w:rPr>
        <w:t>age-expectation</w:t>
      </w:r>
      <w:r w:rsidR="0063608A" w:rsidRPr="2F494F72">
        <w:rPr>
          <w:color w:val="000000" w:themeColor="text1"/>
          <w:sz w:val="20"/>
          <w:szCs w:val="20"/>
        </w:rPr>
        <w:t xml:space="preserve"> performance on most measures (DCCS, Flanker, LSWM, PC, PSM,</w:t>
      </w:r>
      <w:r w:rsidR="001556A8" w:rsidRPr="2F494F72">
        <w:rPr>
          <w:color w:val="000000" w:themeColor="text1"/>
          <w:sz w:val="20"/>
          <w:szCs w:val="20"/>
        </w:rPr>
        <w:t xml:space="preserve"> PV, SM, VR, Fluid composite; M=91.25-103.97)</w:t>
      </w:r>
      <w:r w:rsidR="00A625B2" w:rsidRPr="2F494F72">
        <w:rPr>
          <w:color w:val="000000" w:themeColor="text1"/>
          <w:sz w:val="20"/>
          <w:szCs w:val="20"/>
        </w:rPr>
        <w:t>.</w:t>
      </w:r>
      <w:r w:rsidR="00A204C1" w:rsidRPr="2F494F72">
        <w:rPr>
          <w:color w:val="000000" w:themeColor="text1"/>
          <w:sz w:val="20"/>
          <w:szCs w:val="20"/>
        </w:rPr>
        <w:t xml:space="preserve"> </w:t>
      </w:r>
      <w:r w:rsidR="001556A8" w:rsidRPr="2F494F72">
        <w:rPr>
          <w:color w:val="000000" w:themeColor="text1"/>
          <w:sz w:val="20"/>
          <w:szCs w:val="20"/>
        </w:rPr>
        <w:t>However, LD individuals showed particularly poor performance on the reading task (ORR; n=32, M=76.54, SD=21.80) and lower performance on the Crystallized (M=81.93, SD=21.02) age-adjusted composite score.</w:t>
      </w:r>
    </w:p>
    <w:p w14:paraId="58A0F2C6" w14:textId="4DA060E0" w:rsidR="009F720F" w:rsidRPr="009F720F" w:rsidRDefault="003D6244" w:rsidP="7BFE472C">
      <w:pPr>
        <w:rPr>
          <w:color w:val="000000"/>
          <w:sz w:val="20"/>
          <w:szCs w:val="20"/>
        </w:rPr>
      </w:pPr>
      <w:r w:rsidRPr="7BFE472C">
        <w:rPr>
          <w:b/>
          <w:bCs/>
          <w:color w:val="000000" w:themeColor="text1"/>
          <w:sz w:val="20"/>
          <w:szCs w:val="20"/>
          <w:lang w:val="en-GB"/>
        </w:rPr>
        <w:t xml:space="preserve">Discussion: </w:t>
      </w:r>
      <w:r w:rsidR="009F720F" w:rsidRPr="7BFE472C">
        <w:rPr>
          <w:color w:val="000000" w:themeColor="text1"/>
          <w:sz w:val="20"/>
          <w:szCs w:val="20"/>
        </w:rPr>
        <w:t>Consistent with previous studies using earlier NIHTB-CB versions (Solomon et al., 202</w:t>
      </w:r>
      <w:r w:rsidR="3354D0B2" w:rsidRPr="7BFE472C">
        <w:rPr>
          <w:color w:val="000000" w:themeColor="text1"/>
          <w:sz w:val="20"/>
          <w:szCs w:val="20"/>
        </w:rPr>
        <w:t>1</w:t>
      </w:r>
      <w:r w:rsidR="009F720F" w:rsidRPr="7BFE472C">
        <w:rPr>
          <w:color w:val="000000" w:themeColor="text1"/>
          <w:sz w:val="20"/>
          <w:szCs w:val="20"/>
        </w:rPr>
        <w:t>; Jones et al., 202</w:t>
      </w:r>
      <w:r w:rsidR="5EE5B848" w:rsidRPr="7BFE472C">
        <w:rPr>
          <w:color w:val="000000" w:themeColor="text1"/>
          <w:sz w:val="20"/>
          <w:szCs w:val="20"/>
        </w:rPr>
        <w:t>2</w:t>
      </w:r>
      <w:r w:rsidR="009F720F" w:rsidRPr="7BFE472C">
        <w:rPr>
          <w:color w:val="000000" w:themeColor="text1"/>
          <w:sz w:val="20"/>
          <w:szCs w:val="20"/>
        </w:rPr>
        <w:t xml:space="preserve">), we found that individuals with ASD in this sample showed poorer performance on measures of inhibitory control, cognitive flexibility, working memory, episodic memory, and processing speed, indicating impairments in Fluid Cognition. They also had lower scores on reading and vocabulary tasks, resulting in reduced Crystallized scores. </w:t>
      </w:r>
      <w:r w:rsidR="5B333B74" w:rsidRPr="7BFE472C">
        <w:rPr>
          <w:color w:val="000000" w:themeColor="text1"/>
          <w:sz w:val="20"/>
          <w:szCs w:val="20"/>
        </w:rPr>
        <w:t>Our ongoing analyses</w:t>
      </w:r>
      <w:r w:rsidR="009F720F" w:rsidRPr="7BFE472C">
        <w:rPr>
          <w:color w:val="000000" w:themeColor="text1"/>
          <w:sz w:val="20"/>
          <w:szCs w:val="20"/>
        </w:rPr>
        <w:t xml:space="preserve"> will explore the relationship between symptom severity (e.g., SRS-2 scores) and performance on specific tasks and composites to assess the impact of </w:t>
      </w:r>
      <w:r w:rsidR="6ECD6EA6" w:rsidRPr="7BFE472C">
        <w:rPr>
          <w:color w:val="000000" w:themeColor="text1"/>
          <w:sz w:val="20"/>
          <w:szCs w:val="20"/>
        </w:rPr>
        <w:t xml:space="preserve">reciprocal social impairments </w:t>
      </w:r>
      <w:r w:rsidR="009F720F" w:rsidRPr="7BFE472C">
        <w:rPr>
          <w:color w:val="000000" w:themeColor="text1"/>
          <w:sz w:val="20"/>
          <w:szCs w:val="20"/>
        </w:rPr>
        <w:t>on cognitive outcomes.</w:t>
      </w:r>
      <w:r w:rsidR="00F07C24">
        <w:rPr>
          <w:color w:val="000000"/>
          <w:sz w:val="20"/>
          <w:szCs w:val="20"/>
        </w:rPr>
        <w:t xml:space="preserve"> </w:t>
      </w:r>
      <w:r w:rsidR="009F720F" w:rsidRPr="7BFE472C">
        <w:rPr>
          <w:color w:val="000000" w:themeColor="text1"/>
          <w:sz w:val="20"/>
          <w:szCs w:val="20"/>
        </w:rPr>
        <w:t>Consistent with expectations for LD, individuals with reading-based LD showed lower performance on reading tasks (ORR) but performed near the age-adjusted norm on other measures, suggesting that reading difficulties may be isolated without impairments in other domains.</w:t>
      </w:r>
      <w:r w:rsidR="00F26B50" w:rsidRPr="7BFE472C">
        <w:rPr>
          <w:color w:val="000000" w:themeColor="text1"/>
          <w:sz w:val="20"/>
          <w:szCs w:val="20"/>
        </w:rPr>
        <w:t xml:space="preserve"> </w:t>
      </w:r>
      <w:r w:rsidR="7E21D30C" w:rsidRPr="7BFE472C">
        <w:rPr>
          <w:color w:val="000000" w:themeColor="text1"/>
          <w:sz w:val="20"/>
          <w:szCs w:val="20"/>
        </w:rPr>
        <w:t>Our ongoing analyses</w:t>
      </w:r>
      <w:r w:rsidR="009F720F" w:rsidRPr="7BFE472C">
        <w:rPr>
          <w:color w:val="000000" w:themeColor="text1"/>
          <w:sz w:val="20"/>
          <w:szCs w:val="20"/>
        </w:rPr>
        <w:t xml:space="preserve"> will </w:t>
      </w:r>
      <w:r w:rsidR="00305CA4" w:rsidRPr="7BFE472C">
        <w:rPr>
          <w:color w:val="000000" w:themeColor="text1"/>
          <w:sz w:val="20"/>
          <w:szCs w:val="20"/>
        </w:rPr>
        <w:t>conduct comparisons of NIHTB-CB performance</w:t>
      </w:r>
      <w:r w:rsidR="00A204C1" w:rsidRPr="7BFE472C">
        <w:rPr>
          <w:color w:val="000000" w:themeColor="text1"/>
          <w:sz w:val="20"/>
          <w:szCs w:val="20"/>
        </w:rPr>
        <w:t xml:space="preserve"> by clinical group</w:t>
      </w:r>
      <w:r w:rsidR="00305CA4" w:rsidRPr="7BFE472C">
        <w:rPr>
          <w:color w:val="000000" w:themeColor="text1"/>
          <w:sz w:val="20"/>
          <w:szCs w:val="20"/>
        </w:rPr>
        <w:t xml:space="preserve"> with performance on external battery measures, such as the WIAT-</w:t>
      </w:r>
      <w:r w:rsidR="009F720F" w:rsidRPr="7BFE472C">
        <w:rPr>
          <w:color w:val="000000" w:themeColor="text1"/>
          <w:sz w:val="20"/>
          <w:szCs w:val="20"/>
        </w:rPr>
        <w:t>IV</w:t>
      </w:r>
      <w:r w:rsidR="00305CA4" w:rsidRPr="7BFE472C">
        <w:rPr>
          <w:color w:val="000000" w:themeColor="text1"/>
          <w:sz w:val="20"/>
          <w:szCs w:val="20"/>
        </w:rPr>
        <w:t xml:space="preserve"> Word Reading test. </w:t>
      </w:r>
      <w:r w:rsidR="00A204C1" w:rsidRPr="7BFE472C">
        <w:rPr>
          <w:color w:val="000000" w:themeColor="text1"/>
          <w:sz w:val="20"/>
          <w:szCs w:val="20"/>
        </w:rPr>
        <w:t xml:space="preserve">Finally, future </w:t>
      </w:r>
      <w:r w:rsidR="009F720F" w:rsidRPr="7BFE472C">
        <w:rPr>
          <w:color w:val="000000" w:themeColor="text1"/>
          <w:sz w:val="20"/>
          <w:szCs w:val="20"/>
        </w:rPr>
        <w:t>work</w:t>
      </w:r>
      <w:r w:rsidR="00A204C1" w:rsidRPr="7BFE472C">
        <w:rPr>
          <w:color w:val="000000" w:themeColor="text1"/>
          <w:sz w:val="20"/>
          <w:szCs w:val="20"/>
        </w:rPr>
        <w:t xml:space="preserve"> will include matched samples using </w:t>
      </w:r>
      <w:r w:rsidR="001556A8" w:rsidRPr="7BFE472C">
        <w:rPr>
          <w:color w:val="000000" w:themeColor="text1"/>
          <w:sz w:val="20"/>
          <w:szCs w:val="20"/>
        </w:rPr>
        <w:t>typically developing</w:t>
      </w:r>
      <w:r w:rsidR="00A204C1" w:rsidRPr="7BFE472C">
        <w:rPr>
          <w:color w:val="000000" w:themeColor="text1"/>
          <w:sz w:val="20"/>
          <w:szCs w:val="20"/>
        </w:rPr>
        <w:t xml:space="preserve"> children matched on all demographics. </w:t>
      </w:r>
      <w:r w:rsidR="00F26B50" w:rsidRPr="7BFE472C">
        <w:rPr>
          <w:color w:val="000000" w:themeColor="text1"/>
          <w:sz w:val="20"/>
          <w:szCs w:val="20"/>
        </w:rPr>
        <w:t xml:space="preserve"> </w:t>
      </w:r>
    </w:p>
    <w:p w14:paraId="7FC30250" w14:textId="77777777" w:rsidR="00305CA4" w:rsidRDefault="003D6244" w:rsidP="003D6244">
      <w:pPr>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7AC50376" w14:textId="33BD0620" w:rsidR="003D6244" w:rsidRPr="00F26B50" w:rsidRDefault="00305CA4" w:rsidP="00305CA4">
      <w:pPr>
        <w:pStyle w:val="ListParagraph"/>
        <w:numPr>
          <w:ilvl w:val="0"/>
          <w:numId w:val="2"/>
        </w:numPr>
        <w:rPr>
          <w:color w:val="000000"/>
          <w:sz w:val="20"/>
          <w:szCs w:val="20"/>
          <w:lang w:val="en-GB"/>
        </w:rPr>
      </w:pPr>
      <w:r w:rsidRPr="00305CA4">
        <w:rPr>
          <w:color w:val="000000"/>
          <w:sz w:val="20"/>
          <w:szCs w:val="20"/>
        </w:rPr>
        <w:t xml:space="preserve">Fox, R. S., Zhang, M., </w:t>
      </w:r>
      <w:proofErr w:type="spellStart"/>
      <w:r w:rsidRPr="00305CA4">
        <w:rPr>
          <w:color w:val="000000"/>
          <w:sz w:val="20"/>
          <w:szCs w:val="20"/>
        </w:rPr>
        <w:t>Amagai</w:t>
      </w:r>
      <w:proofErr w:type="spellEnd"/>
      <w:r w:rsidRPr="00305CA4">
        <w:rPr>
          <w:color w:val="000000"/>
          <w:sz w:val="20"/>
          <w:szCs w:val="20"/>
        </w:rPr>
        <w:t xml:space="preserve">, S., </w:t>
      </w:r>
      <w:proofErr w:type="spellStart"/>
      <w:r w:rsidRPr="00305CA4">
        <w:rPr>
          <w:color w:val="000000"/>
          <w:sz w:val="20"/>
          <w:szCs w:val="20"/>
        </w:rPr>
        <w:t>Bassard</w:t>
      </w:r>
      <w:proofErr w:type="spellEnd"/>
      <w:r w:rsidRPr="00305CA4">
        <w:rPr>
          <w:color w:val="000000"/>
          <w:sz w:val="20"/>
          <w:szCs w:val="20"/>
        </w:rPr>
        <w:t xml:space="preserve">, A., </w:t>
      </w:r>
      <w:proofErr w:type="spellStart"/>
      <w:r w:rsidRPr="00305CA4">
        <w:rPr>
          <w:color w:val="000000"/>
          <w:sz w:val="20"/>
          <w:szCs w:val="20"/>
        </w:rPr>
        <w:t>Dworak</w:t>
      </w:r>
      <w:proofErr w:type="spellEnd"/>
      <w:r w:rsidRPr="00305CA4">
        <w:rPr>
          <w:color w:val="000000"/>
          <w:sz w:val="20"/>
          <w:szCs w:val="20"/>
        </w:rPr>
        <w:t>, E. M., Han, Y. C., ... &amp; Gershon, R. C. (2022). Uses of the NIH Toolbox® in clinical samples: A scoping review. Neurology: Clinical Practice, 12(4), 307-319.</w:t>
      </w:r>
    </w:p>
    <w:p w14:paraId="17D698FB" w14:textId="2D580E81" w:rsidR="00F26B50" w:rsidRDefault="001556A8" w:rsidP="00305CA4">
      <w:pPr>
        <w:pStyle w:val="ListParagraph"/>
        <w:numPr>
          <w:ilvl w:val="0"/>
          <w:numId w:val="2"/>
        </w:numPr>
        <w:rPr>
          <w:color w:val="000000"/>
          <w:sz w:val="20"/>
          <w:szCs w:val="20"/>
          <w:lang w:val="en-GB"/>
        </w:rPr>
      </w:pPr>
      <w:r w:rsidRPr="2F494F72">
        <w:rPr>
          <w:color w:val="000000" w:themeColor="text1"/>
          <w:sz w:val="20"/>
          <w:szCs w:val="20"/>
          <w:lang w:val="en-GB"/>
        </w:rPr>
        <w:t xml:space="preserve">Solomon, M., Gordon, A., </w:t>
      </w:r>
      <w:proofErr w:type="spellStart"/>
      <w:r w:rsidRPr="2F494F72">
        <w:rPr>
          <w:color w:val="000000" w:themeColor="text1"/>
          <w:sz w:val="20"/>
          <w:szCs w:val="20"/>
          <w:lang w:val="en-GB"/>
        </w:rPr>
        <w:t>Iosif</w:t>
      </w:r>
      <w:proofErr w:type="spellEnd"/>
      <w:r w:rsidRPr="2F494F72">
        <w:rPr>
          <w:color w:val="000000" w:themeColor="text1"/>
          <w:sz w:val="20"/>
          <w:szCs w:val="20"/>
          <w:lang w:val="en-GB"/>
        </w:rPr>
        <w:t xml:space="preserve">, A. M., </w:t>
      </w:r>
      <w:proofErr w:type="spellStart"/>
      <w:r w:rsidRPr="2F494F72">
        <w:rPr>
          <w:color w:val="000000" w:themeColor="text1"/>
          <w:sz w:val="20"/>
          <w:szCs w:val="20"/>
          <w:lang w:val="en-GB"/>
        </w:rPr>
        <w:t>Geddert</w:t>
      </w:r>
      <w:proofErr w:type="spellEnd"/>
      <w:r w:rsidRPr="2F494F72">
        <w:rPr>
          <w:color w:val="000000" w:themeColor="text1"/>
          <w:sz w:val="20"/>
          <w:szCs w:val="20"/>
          <w:lang w:val="en-GB"/>
        </w:rPr>
        <w:t xml:space="preserve">, R., Krug, M. K., Mundy, P., &amp; </w:t>
      </w:r>
      <w:proofErr w:type="spellStart"/>
      <w:r w:rsidRPr="2F494F72">
        <w:rPr>
          <w:color w:val="000000" w:themeColor="text1"/>
          <w:sz w:val="20"/>
          <w:szCs w:val="20"/>
          <w:lang w:val="en-GB"/>
        </w:rPr>
        <w:t>Hessl</w:t>
      </w:r>
      <w:proofErr w:type="spellEnd"/>
      <w:r w:rsidRPr="2F494F72">
        <w:rPr>
          <w:color w:val="000000" w:themeColor="text1"/>
          <w:sz w:val="20"/>
          <w:szCs w:val="20"/>
          <w:lang w:val="en-GB"/>
        </w:rPr>
        <w:t>, D. (2021). Using the NIH toolbox to assess cognition in adolescents and young adults with autism spectrum disorders. Autism Research, 14(3), 500-511.</w:t>
      </w:r>
    </w:p>
    <w:p w14:paraId="4AD1CE82" w14:textId="49526303" w:rsidR="03EDDE82" w:rsidRDefault="03EDDE82" w:rsidP="2F494F72">
      <w:pPr>
        <w:pStyle w:val="ListParagraph"/>
        <w:numPr>
          <w:ilvl w:val="0"/>
          <w:numId w:val="2"/>
        </w:numPr>
        <w:rPr>
          <w:color w:val="000000" w:themeColor="text1"/>
          <w:sz w:val="20"/>
          <w:szCs w:val="20"/>
          <w:lang w:val="en-GB"/>
        </w:rPr>
      </w:pPr>
      <w:r w:rsidRPr="2F494F72">
        <w:rPr>
          <w:color w:val="000000" w:themeColor="text1"/>
          <w:sz w:val="20"/>
          <w:szCs w:val="20"/>
          <w:lang w:val="en-GB"/>
        </w:rPr>
        <w:t xml:space="preserve">Shields, R. H., Kaat, A. J., McKenzie, F. J., Drayton, A., Sansone, S. M., Coleman, J., ... &amp; </w:t>
      </w:r>
      <w:proofErr w:type="spellStart"/>
      <w:r w:rsidRPr="2F494F72">
        <w:rPr>
          <w:color w:val="000000" w:themeColor="text1"/>
          <w:sz w:val="20"/>
          <w:szCs w:val="20"/>
          <w:lang w:val="en-GB"/>
        </w:rPr>
        <w:t>Hessl</w:t>
      </w:r>
      <w:proofErr w:type="spellEnd"/>
      <w:r w:rsidRPr="2F494F72">
        <w:rPr>
          <w:color w:val="000000" w:themeColor="text1"/>
          <w:sz w:val="20"/>
          <w:szCs w:val="20"/>
          <w:lang w:val="en-GB"/>
        </w:rPr>
        <w:t>, D. (2020). Validation of the NIH Toolbox Cognitive Battery in intellectual disability. Neurology, 94(12), e1229-e1240.</w:t>
      </w:r>
    </w:p>
    <w:p w14:paraId="4B229F31" w14:textId="47D410D2" w:rsidR="001556A8" w:rsidRPr="00305CA4" w:rsidRDefault="001556A8" w:rsidP="00305CA4">
      <w:pPr>
        <w:pStyle w:val="ListParagraph"/>
        <w:numPr>
          <w:ilvl w:val="0"/>
          <w:numId w:val="2"/>
        </w:numPr>
        <w:rPr>
          <w:color w:val="000000"/>
          <w:sz w:val="20"/>
          <w:szCs w:val="20"/>
          <w:lang w:val="en-GB"/>
        </w:rPr>
      </w:pPr>
      <w:r w:rsidRPr="001556A8">
        <w:rPr>
          <w:color w:val="000000"/>
          <w:sz w:val="20"/>
          <w:szCs w:val="20"/>
          <w:lang w:val="en-GB"/>
        </w:rPr>
        <w:t xml:space="preserve">Jones, D. R., Dallman, A., Harrop, C., Whitten, A., Pritchett, J., </w:t>
      </w:r>
      <w:proofErr w:type="spellStart"/>
      <w:r w:rsidRPr="001556A8">
        <w:rPr>
          <w:color w:val="000000"/>
          <w:sz w:val="20"/>
          <w:szCs w:val="20"/>
          <w:lang w:val="en-GB"/>
        </w:rPr>
        <w:t>Lecavalier</w:t>
      </w:r>
      <w:proofErr w:type="spellEnd"/>
      <w:r w:rsidRPr="001556A8">
        <w:rPr>
          <w:color w:val="000000"/>
          <w:sz w:val="20"/>
          <w:szCs w:val="20"/>
          <w:lang w:val="en-GB"/>
        </w:rPr>
        <w:t>, L., ... &amp; Boyd, B. A. (2022). Evaluating the feasibility of the NIH toolbox cognition battery for autistic children and adolescents. Journal of autism and developmental disorders, 1-11.</w:t>
      </w:r>
    </w:p>
    <w:p w14:paraId="7AC5037A" w14:textId="485B8C68" w:rsidR="001C735E" w:rsidRPr="003D6244" w:rsidRDefault="003D6244" w:rsidP="00305CA4">
      <w:pPr>
        <w:pStyle w:val="FootnoteText"/>
      </w:pPr>
      <w:r w:rsidRPr="008B1E03">
        <w:rPr>
          <w:rStyle w:val="FootnoteReference"/>
        </w:rPr>
        <w:lastRenderedPageBreak/>
        <w:footnoteRef/>
      </w:r>
      <w:r w:rsidRPr="008B1E03">
        <w:t xml:space="preserve"> </w:t>
      </w:r>
      <w:r w:rsidR="00305CA4">
        <w:rPr>
          <w:lang w:val="en-CA"/>
        </w:rPr>
        <w:t>Northwestern University</w:t>
      </w:r>
    </w:p>
    <w:sectPr w:rsidR="001C735E" w:rsidRPr="003D6244" w:rsidSect="00394E2C">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2EBEA" w14:textId="77777777" w:rsidR="002C6907" w:rsidRDefault="002C6907" w:rsidP="00A16498">
      <w:pPr>
        <w:spacing w:after="0" w:line="240" w:lineRule="auto"/>
      </w:pPr>
      <w:r>
        <w:separator/>
      </w:r>
    </w:p>
  </w:endnote>
  <w:endnote w:type="continuationSeparator" w:id="0">
    <w:p w14:paraId="11BC2B49" w14:textId="77777777" w:rsidR="002C6907" w:rsidRDefault="002C6907"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C4092" w14:textId="77777777" w:rsidR="002C6907" w:rsidRDefault="002C6907" w:rsidP="00A16498">
      <w:pPr>
        <w:spacing w:after="0" w:line="240" w:lineRule="auto"/>
      </w:pPr>
      <w:r>
        <w:separator/>
      </w:r>
    </w:p>
  </w:footnote>
  <w:footnote w:type="continuationSeparator" w:id="0">
    <w:p w14:paraId="64FDD281" w14:textId="77777777" w:rsidR="002C6907" w:rsidRDefault="002C6907"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76BB"/>
    <w:multiLevelType w:val="hybridMultilevel"/>
    <w:tmpl w:val="011E1D30"/>
    <w:lvl w:ilvl="0" w:tplc="30D82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1"/>
  </w:num>
  <w:num w:numId="2" w16cid:durableId="124926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556A8"/>
    <w:rsid w:val="001C735E"/>
    <w:rsid w:val="00226854"/>
    <w:rsid w:val="00244C29"/>
    <w:rsid w:val="00282A5F"/>
    <w:rsid w:val="002872AA"/>
    <w:rsid w:val="002C6907"/>
    <w:rsid w:val="00300310"/>
    <w:rsid w:val="00305CA4"/>
    <w:rsid w:val="00312417"/>
    <w:rsid w:val="00316B3B"/>
    <w:rsid w:val="0032171F"/>
    <w:rsid w:val="00324E6F"/>
    <w:rsid w:val="0033415B"/>
    <w:rsid w:val="00394E2C"/>
    <w:rsid w:val="003B0285"/>
    <w:rsid w:val="003C2A0A"/>
    <w:rsid w:val="003C4D59"/>
    <w:rsid w:val="003D6244"/>
    <w:rsid w:val="003F558A"/>
    <w:rsid w:val="00412A17"/>
    <w:rsid w:val="0044695F"/>
    <w:rsid w:val="004473AC"/>
    <w:rsid w:val="00452576"/>
    <w:rsid w:val="0045428A"/>
    <w:rsid w:val="0053510D"/>
    <w:rsid w:val="005446BA"/>
    <w:rsid w:val="00550360"/>
    <w:rsid w:val="00577DC4"/>
    <w:rsid w:val="005F3158"/>
    <w:rsid w:val="00625543"/>
    <w:rsid w:val="0063608A"/>
    <w:rsid w:val="006535AF"/>
    <w:rsid w:val="006637E7"/>
    <w:rsid w:val="006C05DD"/>
    <w:rsid w:val="006E57A9"/>
    <w:rsid w:val="00742197"/>
    <w:rsid w:val="00751FEE"/>
    <w:rsid w:val="007722E4"/>
    <w:rsid w:val="0077649B"/>
    <w:rsid w:val="00777D73"/>
    <w:rsid w:val="00792EFB"/>
    <w:rsid w:val="00793D1A"/>
    <w:rsid w:val="007B4CE7"/>
    <w:rsid w:val="00801D2A"/>
    <w:rsid w:val="00817FE3"/>
    <w:rsid w:val="0087492A"/>
    <w:rsid w:val="008938D8"/>
    <w:rsid w:val="008E4DFF"/>
    <w:rsid w:val="009462E3"/>
    <w:rsid w:val="009B1DAB"/>
    <w:rsid w:val="009E1B56"/>
    <w:rsid w:val="009F720F"/>
    <w:rsid w:val="00A16498"/>
    <w:rsid w:val="00A204C1"/>
    <w:rsid w:val="00A625B2"/>
    <w:rsid w:val="00AB7B37"/>
    <w:rsid w:val="00AE4ADB"/>
    <w:rsid w:val="00B226B4"/>
    <w:rsid w:val="00B71AFF"/>
    <w:rsid w:val="00B7659B"/>
    <w:rsid w:val="00BA2D2D"/>
    <w:rsid w:val="00BF4C92"/>
    <w:rsid w:val="00C6243D"/>
    <w:rsid w:val="00C80718"/>
    <w:rsid w:val="00CF3CDF"/>
    <w:rsid w:val="00D46241"/>
    <w:rsid w:val="00D60D08"/>
    <w:rsid w:val="00DC15FA"/>
    <w:rsid w:val="00E15391"/>
    <w:rsid w:val="00EC1345"/>
    <w:rsid w:val="00F023E6"/>
    <w:rsid w:val="00F07C24"/>
    <w:rsid w:val="00F2162A"/>
    <w:rsid w:val="00F26B50"/>
    <w:rsid w:val="00FF5F04"/>
    <w:rsid w:val="0132AD9E"/>
    <w:rsid w:val="0179A0C1"/>
    <w:rsid w:val="01D11DBD"/>
    <w:rsid w:val="03EDDE82"/>
    <w:rsid w:val="0A767AAD"/>
    <w:rsid w:val="1250B0E2"/>
    <w:rsid w:val="131F8DAA"/>
    <w:rsid w:val="13EC577D"/>
    <w:rsid w:val="1AD4634E"/>
    <w:rsid w:val="1AEB6273"/>
    <w:rsid w:val="1CB543BE"/>
    <w:rsid w:val="1CD6C212"/>
    <w:rsid w:val="24A7895E"/>
    <w:rsid w:val="251447AA"/>
    <w:rsid w:val="2A5BE533"/>
    <w:rsid w:val="2F494F72"/>
    <w:rsid w:val="306940EE"/>
    <w:rsid w:val="3354D0B2"/>
    <w:rsid w:val="372AF28E"/>
    <w:rsid w:val="38BBAE4C"/>
    <w:rsid w:val="432A2791"/>
    <w:rsid w:val="44D962E8"/>
    <w:rsid w:val="484A9981"/>
    <w:rsid w:val="4A9E8616"/>
    <w:rsid w:val="522E2F59"/>
    <w:rsid w:val="535A4768"/>
    <w:rsid w:val="58F13B5F"/>
    <w:rsid w:val="5B333B74"/>
    <w:rsid w:val="5EE5B848"/>
    <w:rsid w:val="6ECD6EA6"/>
    <w:rsid w:val="7370A9ED"/>
    <w:rsid w:val="7495AD7A"/>
    <w:rsid w:val="77E9235D"/>
    <w:rsid w:val="7A563250"/>
    <w:rsid w:val="7AAF1EF3"/>
    <w:rsid w:val="7B0BFD68"/>
    <w:rsid w:val="7BFE472C"/>
    <w:rsid w:val="7E21D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7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3866</Characters>
  <Application>Microsoft Office Word</Application>
  <DocSecurity>0</DocSecurity>
  <Lines>32</Lines>
  <Paragraphs>9</Paragraphs>
  <ScaleCrop>false</ScaleCrop>
  <Company>UCDHS</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Kim, Jiwon</cp:lastModifiedBy>
  <cp:revision>9</cp:revision>
  <dcterms:created xsi:type="dcterms:W3CDTF">2023-09-01T15:06:00Z</dcterms:created>
  <dcterms:modified xsi:type="dcterms:W3CDTF">2024-11-04T20:52:00Z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