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0370" w14:textId="4248E114" w:rsidR="003D6244" w:rsidRPr="0043422C" w:rsidRDefault="003D6244" w:rsidP="003D6244">
      <w:pPr>
        <w:rPr>
          <w:b/>
          <w:bCs/>
          <w:color w:val="000000" w:themeColor="text1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43422C" w:rsidRPr="00270AF8">
        <w:rPr>
          <w:color w:val="000000" w:themeColor="text1"/>
        </w:rPr>
        <w:t>The Impact of COVID-19 on Latine Caregivers’ Vaccination Attitudes for Children with and without Autism</w:t>
      </w:r>
    </w:p>
    <w:p w14:paraId="7AC50371" w14:textId="0EEC29BE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43422C" w:rsidRPr="00BE3B20">
        <w:rPr>
          <w:color w:val="000000" w:themeColor="text1"/>
        </w:rPr>
        <w:t xml:space="preserve">Catherine A. Patino-Celedon; </w:t>
      </w:r>
      <w:r w:rsidR="0043422C" w:rsidRPr="00BE3B20">
        <w:rPr>
          <w:color w:val="000000"/>
        </w:rPr>
        <w:t xml:space="preserve">Danica L. Limon-Mialkowski; Brooke </w:t>
      </w:r>
      <w:proofErr w:type="spellStart"/>
      <w:r w:rsidR="0043422C" w:rsidRPr="00BE3B20">
        <w:rPr>
          <w:color w:val="000000"/>
        </w:rPr>
        <w:t>Buranosky</w:t>
      </w:r>
      <w:proofErr w:type="spellEnd"/>
      <w:r w:rsidR="0043422C" w:rsidRPr="00BE3B20">
        <w:rPr>
          <w:color w:val="000000"/>
        </w:rPr>
        <w:t xml:space="preserve">; </w:t>
      </w:r>
      <w:proofErr w:type="spellStart"/>
      <w:r w:rsidR="0043422C" w:rsidRPr="00BE3B20">
        <w:rPr>
          <w:color w:val="000000"/>
        </w:rPr>
        <w:t>Mikle</w:t>
      </w:r>
      <w:proofErr w:type="spellEnd"/>
      <w:r w:rsidR="0043422C" w:rsidRPr="00BE3B20">
        <w:rPr>
          <w:color w:val="000000"/>
        </w:rPr>
        <w:t xml:space="preserve"> South; Rebecca </w:t>
      </w:r>
      <w:proofErr w:type="spellStart"/>
      <w:r w:rsidR="0043422C" w:rsidRPr="00BE3B20">
        <w:rPr>
          <w:color w:val="000000"/>
        </w:rPr>
        <w:t>Lundwall</w:t>
      </w:r>
      <w:proofErr w:type="spellEnd"/>
      <w:r w:rsidR="0043422C" w:rsidRPr="00BE3B20">
        <w:rPr>
          <w:color w:val="000000"/>
        </w:rPr>
        <w:t xml:space="preserve">; Robin </w:t>
      </w:r>
      <w:r w:rsidR="0043422C">
        <w:rPr>
          <w:color w:val="000000"/>
        </w:rPr>
        <w:t xml:space="preserve">P. </w:t>
      </w:r>
      <w:proofErr w:type="spellStart"/>
      <w:r w:rsidR="0043422C">
        <w:rPr>
          <w:color w:val="000000"/>
        </w:rPr>
        <w:t>Goin</w:t>
      </w:r>
      <w:proofErr w:type="spellEnd"/>
      <w:r w:rsidR="0043422C">
        <w:rPr>
          <w:color w:val="000000"/>
        </w:rPr>
        <w:t>-</w:t>
      </w:r>
      <w:r w:rsidR="0043422C" w:rsidRPr="00BE3B20">
        <w:rPr>
          <w:color w:val="000000"/>
        </w:rPr>
        <w:t>Kochel</w:t>
      </w:r>
    </w:p>
    <w:p w14:paraId="51AD954F" w14:textId="77777777" w:rsidR="0043422C" w:rsidRPr="00F65E3D" w:rsidRDefault="003D6244" w:rsidP="0043422C">
      <w:pPr>
        <w:rPr>
          <w:color w:val="000000" w:themeColor="text1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43422C" w:rsidRPr="00F65E3D">
        <w:rPr>
          <w:color w:val="000000" w:themeColor="text1"/>
        </w:rPr>
        <w:t>In 2021, Latine individuals were among the least vaccinated groups for COVID-19 in the United States</w:t>
      </w:r>
      <w:r w:rsidR="0043422C">
        <w:rPr>
          <w:color w:val="000000" w:themeColor="text1"/>
        </w:rPr>
        <w:t xml:space="preserve"> </w:t>
      </w:r>
      <w:r w:rsidR="0043422C" w:rsidRPr="00F65E3D">
        <w:rPr>
          <w:color w:val="000000" w:themeColor="text1"/>
        </w:rPr>
        <w:t>(Piedra et al., 2022).</w:t>
      </w:r>
      <w:r w:rsidR="0043422C">
        <w:rPr>
          <w:color w:val="000000" w:themeColor="text1"/>
        </w:rPr>
        <w:t xml:space="preserve"> </w:t>
      </w:r>
      <w:proofErr w:type="gramStart"/>
      <w:r w:rsidR="0043422C">
        <w:rPr>
          <w:color w:val="000000" w:themeColor="text1"/>
        </w:rPr>
        <w:t xml:space="preserve">In particular, </w:t>
      </w:r>
      <w:r w:rsidR="0043422C" w:rsidRPr="00F65E3D">
        <w:rPr>
          <w:color w:val="000000" w:themeColor="text1"/>
        </w:rPr>
        <w:t>Latine</w:t>
      </w:r>
      <w:proofErr w:type="gramEnd"/>
      <w:r w:rsidR="0043422C" w:rsidRPr="00F65E3D">
        <w:rPr>
          <w:color w:val="000000" w:themeColor="text1"/>
        </w:rPr>
        <w:t xml:space="preserve"> children age</w:t>
      </w:r>
      <w:r w:rsidR="0043422C">
        <w:rPr>
          <w:color w:val="000000" w:themeColor="text1"/>
        </w:rPr>
        <w:t>d</w:t>
      </w:r>
      <w:r w:rsidR="0043422C" w:rsidRPr="00F65E3D">
        <w:rPr>
          <w:color w:val="000000" w:themeColor="text1"/>
        </w:rPr>
        <w:t xml:space="preserve"> 5-11 had among the lowest rates for vaccination</w:t>
      </w:r>
      <w:r w:rsidR="0043422C" w:rsidRPr="00030651">
        <w:rPr>
          <w:color w:val="000000" w:themeColor="text1"/>
        </w:rPr>
        <w:t xml:space="preserve"> </w:t>
      </w:r>
      <w:r w:rsidR="0043422C">
        <w:rPr>
          <w:color w:val="000000" w:themeColor="text1"/>
        </w:rPr>
        <w:t xml:space="preserve">at 28.8%, compared to their Black (33.6%) and Asian (63.4%) counterparts </w:t>
      </w:r>
      <w:r w:rsidR="0043422C" w:rsidRPr="007B4F0D">
        <w:rPr>
          <w:color w:val="000000" w:themeColor="text1"/>
        </w:rPr>
        <w:t>(Valier, 2023)</w:t>
      </w:r>
      <w:r w:rsidR="0043422C" w:rsidRPr="00F65E3D">
        <w:rPr>
          <w:color w:val="000000" w:themeColor="text1"/>
        </w:rPr>
        <w:t xml:space="preserve">. </w:t>
      </w:r>
      <w:r w:rsidR="0043422C">
        <w:rPr>
          <w:color w:val="000000" w:themeColor="text1"/>
        </w:rPr>
        <w:t xml:space="preserve">Simultaneously, Latine individuals were exposed to COVID at </w:t>
      </w:r>
      <w:r w:rsidR="0043422C" w:rsidRPr="00F65E3D">
        <w:rPr>
          <w:color w:val="000000" w:themeColor="text1"/>
        </w:rPr>
        <w:t xml:space="preserve">disproportionate </w:t>
      </w:r>
      <w:r w:rsidR="0043422C">
        <w:rPr>
          <w:color w:val="000000" w:themeColor="text1"/>
        </w:rPr>
        <w:t>rates (46%) compared to Asian (36%) and white individuals (33%)</w:t>
      </w:r>
      <w:r w:rsidR="0043422C" w:rsidRPr="007B4F0D">
        <w:t xml:space="preserve"> </w:t>
      </w:r>
      <w:r w:rsidR="0043422C" w:rsidRPr="007B4F0D">
        <w:rPr>
          <w:color w:val="000000" w:themeColor="text1"/>
        </w:rPr>
        <w:t xml:space="preserve">(Robertson et al., </w:t>
      </w:r>
      <w:r w:rsidR="0043422C">
        <w:rPr>
          <w:color w:val="000000" w:themeColor="text1"/>
        </w:rPr>
        <w:t>2022</w:t>
      </w:r>
      <w:r w:rsidR="0043422C" w:rsidRPr="007B4F0D">
        <w:rPr>
          <w:color w:val="000000" w:themeColor="text1"/>
        </w:rPr>
        <w:t>)</w:t>
      </w:r>
      <w:r w:rsidR="0043422C">
        <w:rPr>
          <w:color w:val="000000" w:themeColor="text1"/>
        </w:rPr>
        <w:t>.</w:t>
      </w:r>
      <w:r w:rsidR="0043422C" w:rsidRPr="00F65E3D">
        <w:rPr>
          <w:color w:val="000000" w:themeColor="text1"/>
        </w:rPr>
        <w:t xml:space="preserve"> Our previous research </w:t>
      </w:r>
      <w:r w:rsidR="0043422C">
        <w:rPr>
          <w:color w:val="000000" w:themeColor="text1"/>
        </w:rPr>
        <w:t xml:space="preserve">(Limon-Mialkowski et al., 2024) </w:t>
      </w:r>
      <w:r w:rsidR="0043422C" w:rsidRPr="00F65E3D">
        <w:rPr>
          <w:color w:val="000000" w:themeColor="text1"/>
        </w:rPr>
        <w:t xml:space="preserve">indicated that Latine caregivers with </w:t>
      </w:r>
      <w:r w:rsidR="0043422C">
        <w:rPr>
          <w:color w:val="000000" w:themeColor="text1"/>
        </w:rPr>
        <w:t xml:space="preserve">an </w:t>
      </w:r>
      <w:r w:rsidR="0043422C" w:rsidRPr="00F65E3D">
        <w:rPr>
          <w:color w:val="000000" w:themeColor="text1"/>
        </w:rPr>
        <w:t>autistic child (ASD</w:t>
      </w:r>
      <w:r w:rsidR="0043422C">
        <w:rPr>
          <w:color w:val="000000" w:themeColor="text1"/>
        </w:rPr>
        <w:t xml:space="preserve"> group</w:t>
      </w:r>
      <w:r w:rsidR="0043422C" w:rsidRPr="00F65E3D">
        <w:rPr>
          <w:color w:val="000000" w:themeColor="text1"/>
        </w:rPr>
        <w:t xml:space="preserve">) </w:t>
      </w:r>
      <w:r w:rsidR="0043422C">
        <w:rPr>
          <w:color w:val="000000" w:themeColor="text1"/>
        </w:rPr>
        <w:t>were more likely to be</w:t>
      </w:r>
      <w:r w:rsidR="0043422C" w:rsidRPr="00F65E3D">
        <w:rPr>
          <w:color w:val="000000" w:themeColor="text1"/>
        </w:rPr>
        <w:t xml:space="preserve"> vaccine hesitan</w:t>
      </w:r>
      <w:r w:rsidR="0043422C">
        <w:rPr>
          <w:color w:val="000000" w:themeColor="text1"/>
        </w:rPr>
        <w:t>t</w:t>
      </w:r>
      <w:r w:rsidR="0043422C" w:rsidRPr="00F65E3D">
        <w:rPr>
          <w:color w:val="000000" w:themeColor="text1"/>
        </w:rPr>
        <w:t xml:space="preserve"> </w:t>
      </w:r>
      <w:r w:rsidR="0043422C">
        <w:rPr>
          <w:color w:val="000000" w:themeColor="text1"/>
        </w:rPr>
        <w:t>(VH) toward</w:t>
      </w:r>
      <w:r w:rsidR="0043422C" w:rsidRPr="00F65E3D">
        <w:rPr>
          <w:color w:val="000000" w:themeColor="text1"/>
        </w:rPr>
        <w:t xml:space="preserve"> </w:t>
      </w:r>
      <w:r w:rsidR="0043422C">
        <w:rPr>
          <w:color w:val="000000" w:themeColor="text1"/>
        </w:rPr>
        <w:t>early-</w:t>
      </w:r>
      <w:r w:rsidR="0043422C" w:rsidRPr="00F65E3D">
        <w:rPr>
          <w:color w:val="000000" w:themeColor="text1"/>
        </w:rPr>
        <w:t xml:space="preserve">childhood vaccines compared to caregivers </w:t>
      </w:r>
      <w:r w:rsidR="0043422C">
        <w:rPr>
          <w:color w:val="000000" w:themeColor="text1"/>
        </w:rPr>
        <w:t>with a non-autistic</w:t>
      </w:r>
      <w:r w:rsidR="0043422C" w:rsidRPr="00F65E3D">
        <w:rPr>
          <w:color w:val="000000" w:themeColor="text1"/>
        </w:rPr>
        <w:t xml:space="preserve"> child</w:t>
      </w:r>
      <w:r w:rsidR="0043422C">
        <w:rPr>
          <w:color w:val="000000" w:themeColor="text1"/>
        </w:rPr>
        <w:t xml:space="preserve"> </w:t>
      </w:r>
      <w:r w:rsidR="0043422C" w:rsidRPr="00F65E3D">
        <w:rPr>
          <w:color w:val="000000" w:themeColor="text1"/>
        </w:rPr>
        <w:t>(N</w:t>
      </w:r>
      <w:r w:rsidR="0043422C">
        <w:rPr>
          <w:color w:val="000000" w:themeColor="text1"/>
        </w:rPr>
        <w:t>A group</w:t>
      </w:r>
      <w:r w:rsidR="0043422C" w:rsidRPr="00F65E3D">
        <w:rPr>
          <w:color w:val="000000" w:themeColor="text1"/>
        </w:rPr>
        <w:t xml:space="preserve">). </w:t>
      </w:r>
      <w:r w:rsidR="0043422C">
        <w:rPr>
          <w:color w:val="000000" w:themeColor="text1"/>
        </w:rPr>
        <w:t>However, there is limited information about Latine caregivers’ perceptions about COVID-19 vaccines for their children, particularly those with ASD. Considering the significant morbidity and mortality associated with COVID-19 and the increased risk for exposure among Latine communities, it is important to determine whether Latine children with ASD are at further risk for COVID-19 under vaccination.  The objective of this poster is to (1) Compare</w:t>
      </w:r>
      <w:r w:rsidR="0043422C" w:rsidRPr="00F65E3D">
        <w:rPr>
          <w:color w:val="000000" w:themeColor="text1"/>
        </w:rPr>
        <w:t xml:space="preserve"> Latine </w:t>
      </w:r>
      <w:r w:rsidR="0043422C">
        <w:rPr>
          <w:color w:val="000000" w:themeColor="text1"/>
        </w:rPr>
        <w:t xml:space="preserve">caregivers’ hesitancy toward COVID-19 vaccines between ASD and NA groups; (2) Assess congruence in their hesitancy toward both childhood vaccines and COVID-19 vaccines. </w:t>
      </w:r>
    </w:p>
    <w:p w14:paraId="758BFA43" w14:textId="77777777" w:rsidR="0043422C" w:rsidRPr="000F77DA" w:rsidRDefault="003D6244" w:rsidP="0043422C">
      <w:pPr>
        <w:rPr>
          <w:color w:val="000000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43422C">
        <w:rPr>
          <w:color w:val="000000"/>
        </w:rPr>
        <w:t>P</w:t>
      </w:r>
      <w:r w:rsidR="0043422C" w:rsidRPr="00F65E3D">
        <w:rPr>
          <w:color w:val="000000"/>
        </w:rPr>
        <w:t xml:space="preserve">articipants </w:t>
      </w:r>
      <w:r w:rsidR="0043422C">
        <w:rPr>
          <w:color w:val="000000"/>
        </w:rPr>
        <w:t>were</w:t>
      </w:r>
      <w:r w:rsidR="0043422C" w:rsidRPr="00F65E3D">
        <w:rPr>
          <w:color w:val="000000"/>
        </w:rPr>
        <w:t xml:space="preserve"> </w:t>
      </w:r>
      <w:r w:rsidR="0043422C">
        <w:rPr>
          <w:color w:val="000000"/>
        </w:rPr>
        <w:t xml:space="preserve">201 </w:t>
      </w:r>
      <w:r w:rsidR="0043422C" w:rsidRPr="00F65E3D">
        <w:rPr>
          <w:color w:val="000000"/>
        </w:rPr>
        <w:t>Spanish-speaking Latine caregivers</w:t>
      </w:r>
      <w:r w:rsidR="0043422C">
        <w:rPr>
          <w:color w:val="000000"/>
        </w:rPr>
        <w:t xml:space="preserve"> living in the U.S</w:t>
      </w:r>
      <w:r w:rsidR="0043422C" w:rsidRPr="00F65E3D">
        <w:rPr>
          <w:color w:val="000000"/>
        </w:rPr>
        <w:t xml:space="preserve">. </w:t>
      </w:r>
      <w:r w:rsidR="0043422C">
        <w:rPr>
          <w:color w:val="000000"/>
        </w:rPr>
        <w:t xml:space="preserve">who completed a survey on their attitudes toward childhood vaccines between March 2022 - June 2024. VH was measured with </w:t>
      </w:r>
      <w:r w:rsidR="0043422C" w:rsidRPr="00F65E3D">
        <w:rPr>
          <w:color w:val="000000"/>
        </w:rPr>
        <w:t xml:space="preserve">the </w:t>
      </w:r>
      <w:r w:rsidR="0043422C">
        <w:rPr>
          <w:color w:val="000000"/>
        </w:rPr>
        <w:t xml:space="preserve">Spanish version of the </w:t>
      </w:r>
      <w:r w:rsidR="0043422C" w:rsidRPr="006E237F">
        <w:rPr>
          <w:i/>
          <w:iCs/>
          <w:color w:val="000000"/>
        </w:rPr>
        <w:t>Parent Attitudes about Childhood Vaccines</w:t>
      </w:r>
      <w:r w:rsidR="0043422C" w:rsidRPr="00F65E3D">
        <w:rPr>
          <w:color w:val="000000"/>
        </w:rPr>
        <w:t xml:space="preserve"> (PACV</w:t>
      </w:r>
      <w:r w:rsidR="0043422C">
        <w:rPr>
          <w:color w:val="000000"/>
        </w:rPr>
        <w:t xml:space="preserve">). The PACV specifically instructs caregivers </w:t>
      </w:r>
      <w:r w:rsidR="0043422C" w:rsidRPr="00407828">
        <w:rPr>
          <w:i/>
          <w:iCs/>
          <w:color w:val="000000"/>
        </w:rPr>
        <w:t>not</w:t>
      </w:r>
      <w:r w:rsidR="0043422C">
        <w:rPr>
          <w:color w:val="000000"/>
        </w:rPr>
        <w:t xml:space="preserve"> to consider seasonal vaccines (e.g., influenza) when completing the form. For this reason, and because the COVID-19 vaccine became </w:t>
      </w:r>
      <w:r w:rsidR="0043422C" w:rsidRPr="000F77DA">
        <w:rPr>
          <w:color w:val="000000"/>
        </w:rPr>
        <w:t xml:space="preserve">available for children younger than 5 in June 2022 (3 months after our survey went live), we included items querying child receipt of a COVID-19 vaccine (for those aged 5 and older) or caregiver intent to obtain a COVID-19 vaccine for their child when it became available (for those younger than 5). </w:t>
      </w:r>
      <w:r w:rsidR="0043422C">
        <w:rPr>
          <w:color w:val="000000" w:themeColor="text1"/>
        </w:rPr>
        <w:t xml:space="preserve">Chi-square analysis was used to assess potential discrepancies in parents’ willingness to vaccinate their children against COVID-19 across different age groups (0-4, 5-11, 12-17) </w:t>
      </w:r>
      <w:r w:rsidR="0043422C" w:rsidRPr="000F77DA">
        <w:rPr>
          <w:color w:val="000000" w:themeColor="text1"/>
        </w:rPr>
        <w:t>between ASD and NA groups</w:t>
      </w:r>
      <w:r w:rsidR="0043422C">
        <w:rPr>
          <w:color w:val="000000" w:themeColor="text1"/>
        </w:rPr>
        <w:t xml:space="preserve">. </w:t>
      </w:r>
      <w:r w:rsidR="0043422C" w:rsidRPr="000F77DA">
        <w:rPr>
          <w:color w:val="000000"/>
        </w:rPr>
        <w:t xml:space="preserve">We also used chi-square analysis to examine whether VH caregivers (per the PACV) were less likely to vaccinate or intend to vaccinate their children for COVID-19 compared to non-VH caregivers, regardless of diagnostic status.   </w:t>
      </w:r>
    </w:p>
    <w:p w14:paraId="31DFD3EF" w14:textId="77777777" w:rsidR="0043422C" w:rsidRPr="00F65E3D" w:rsidRDefault="003D6244" w:rsidP="0043422C">
      <w:pPr>
        <w:rPr>
          <w:color w:val="000000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43422C" w:rsidRPr="000F77DA">
        <w:rPr>
          <w:color w:val="000000"/>
        </w:rPr>
        <w:t xml:space="preserve">There were no significant differences between ASD and NA groups for </w:t>
      </w:r>
      <w:r w:rsidR="0043422C">
        <w:rPr>
          <w:color w:val="000000"/>
        </w:rPr>
        <w:t xml:space="preserve">COVID-19 vaccination/intent to vaccinate </w:t>
      </w:r>
      <w:r w:rsidR="0043422C" w:rsidRPr="00F65E3D">
        <w:rPr>
          <w:color w:val="000000"/>
        </w:rPr>
        <w:t>in any age category (0-4 years</w:t>
      </w:r>
      <w:r w:rsidR="0043422C">
        <w:rPr>
          <w:color w:val="000000"/>
        </w:rPr>
        <w:t xml:space="preserve">, </w:t>
      </w:r>
      <w:r w:rsidR="0043422C" w:rsidRPr="00F65E3D">
        <w:rPr>
          <w:color w:val="000000"/>
        </w:rPr>
        <w:t xml:space="preserve">5-11 years, 12-17 years). However, </w:t>
      </w:r>
      <w:r w:rsidR="0043422C">
        <w:rPr>
          <w:color w:val="000000"/>
        </w:rPr>
        <w:t xml:space="preserve">VH caregivers </w:t>
      </w:r>
      <w:r w:rsidR="0043422C" w:rsidRPr="00F65E3D">
        <w:rPr>
          <w:color w:val="000000"/>
        </w:rPr>
        <w:t>were less likely to vaccinate their child with the COVID</w:t>
      </w:r>
      <w:r w:rsidR="0043422C">
        <w:rPr>
          <w:color w:val="000000"/>
        </w:rPr>
        <w:t>-19</w:t>
      </w:r>
      <w:r w:rsidR="0043422C" w:rsidRPr="00F65E3D">
        <w:rPr>
          <w:color w:val="000000"/>
        </w:rPr>
        <w:t xml:space="preserve"> vaccine</w:t>
      </w:r>
      <w:r w:rsidR="0043422C">
        <w:rPr>
          <w:color w:val="000000"/>
        </w:rPr>
        <w:t xml:space="preserve"> for the 0-4 (</w:t>
      </w:r>
      <w:r w:rsidR="0043422C" w:rsidRPr="00A1072C">
        <w:rPr>
          <w:i/>
          <w:iCs/>
          <w:color w:val="000000"/>
        </w:rPr>
        <w:t>p</w:t>
      </w:r>
      <w:r w:rsidR="0043422C">
        <w:rPr>
          <w:color w:val="000000"/>
        </w:rPr>
        <w:t>=0.004), and 5-11 (</w:t>
      </w:r>
      <w:r w:rsidR="0043422C" w:rsidRPr="00A1072C">
        <w:rPr>
          <w:i/>
          <w:iCs/>
          <w:color w:val="000000"/>
        </w:rPr>
        <w:t>p</w:t>
      </w:r>
      <w:r w:rsidR="0043422C">
        <w:rPr>
          <w:color w:val="000000"/>
        </w:rPr>
        <w:t xml:space="preserve">=0.030) age groups but not the </w:t>
      </w:r>
      <w:r w:rsidR="0043422C" w:rsidRPr="00F65E3D">
        <w:rPr>
          <w:color w:val="000000"/>
        </w:rPr>
        <w:t>12-17 age</w:t>
      </w:r>
      <w:r w:rsidR="0043422C">
        <w:rPr>
          <w:color w:val="000000"/>
        </w:rPr>
        <w:t xml:space="preserve"> group (</w:t>
      </w:r>
      <w:r w:rsidR="0043422C" w:rsidRPr="00A1072C">
        <w:rPr>
          <w:i/>
          <w:iCs/>
          <w:color w:val="000000"/>
        </w:rPr>
        <w:t>p</w:t>
      </w:r>
      <w:r w:rsidR="0043422C">
        <w:rPr>
          <w:color w:val="000000"/>
        </w:rPr>
        <w:t>=0.509)</w:t>
      </w:r>
      <w:r w:rsidR="0043422C" w:rsidRPr="00F65E3D">
        <w:rPr>
          <w:color w:val="000000"/>
        </w:rPr>
        <w:t xml:space="preserve">. </w:t>
      </w:r>
      <w:r w:rsidR="0043422C">
        <w:rPr>
          <w:color w:val="000000"/>
        </w:rPr>
        <w:t>VH caregivers</w:t>
      </w:r>
      <w:r w:rsidR="0043422C" w:rsidRPr="00F65E3D">
        <w:rPr>
          <w:color w:val="000000"/>
        </w:rPr>
        <w:t xml:space="preserve"> were also less likely to vaccinate</w:t>
      </w:r>
      <w:r w:rsidR="0043422C">
        <w:rPr>
          <w:color w:val="000000"/>
        </w:rPr>
        <w:t xml:space="preserve"> themselves</w:t>
      </w:r>
      <w:r w:rsidR="0043422C" w:rsidRPr="00F65E3D">
        <w:rPr>
          <w:color w:val="000000"/>
        </w:rPr>
        <w:t xml:space="preserve"> against COVID-19 </w:t>
      </w:r>
      <w:r w:rsidR="0043422C">
        <w:rPr>
          <w:color w:val="000000"/>
        </w:rPr>
        <w:t>(</w:t>
      </w:r>
      <w:r w:rsidR="0043422C" w:rsidRPr="00A1072C">
        <w:rPr>
          <w:i/>
          <w:iCs/>
          <w:color w:val="000000"/>
        </w:rPr>
        <w:t>p</w:t>
      </w:r>
      <w:r w:rsidR="0043422C">
        <w:rPr>
          <w:color w:val="000000"/>
        </w:rPr>
        <w:t>=0.005)</w:t>
      </w:r>
      <w:r w:rsidR="0043422C" w:rsidRPr="00F65E3D">
        <w:rPr>
          <w:color w:val="000000"/>
        </w:rPr>
        <w:t>.</w:t>
      </w:r>
    </w:p>
    <w:p w14:paraId="0E45C9EB" w14:textId="77777777" w:rsidR="0043422C" w:rsidRDefault="003D6244" w:rsidP="003D6244">
      <w:pPr>
        <w:rPr>
          <w:color w:val="000000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43422C" w:rsidRPr="00F65E3D">
        <w:rPr>
          <w:color w:val="000000"/>
        </w:rPr>
        <w:t xml:space="preserve">Our results </w:t>
      </w:r>
      <w:r w:rsidR="0043422C">
        <w:rPr>
          <w:color w:val="000000"/>
        </w:rPr>
        <w:t>suggest</w:t>
      </w:r>
      <w:r w:rsidR="0043422C" w:rsidRPr="00F65E3D">
        <w:rPr>
          <w:color w:val="000000"/>
        </w:rPr>
        <w:t xml:space="preserve"> that </w:t>
      </w:r>
      <w:r w:rsidR="0043422C">
        <w:rPr>
          <w:color w:val="000000"/>
        </w:rPr>
        <w:t xml:space="preserve">Latine </w:t>
      </w:r>
      <w:r w:rsidR="0043422C" w:rsidRPr="00F65E3D">
        <w:rPr>
          <w:color w:val="000000"/>
        </w:rPr>
        <w:t>caregivers were more reluctant to vaccinate their child</w:t>
      </w:r>
      <w:r w:rsidR="0043422C">
        <w:rPr>
          <w:color w:val="000000"/>
        </w:rPr>
        <w:t xml:space="preserve"> against COVID-19</w:t>
      </w:r>
      <w:r w:rsidR="0043422C" w:rsidRPr="00F65E3D">
        <w:rPr>
          <w:color w:val="000000"/>
        </w:rPr>
        <w:t xml:space="preserve"> if they were </w:t>
      </w:r>
      <w:r w:rsidR="0043422C">
        <w:rPr>
          <w:color w:val="000000"/>
        </w:rPr>
        <w:t>VH</w:t>
      </w:r>
      <w:r w:rsidR="0043422C" w:rsidRPr="00F65E3D">
        <w:rPr>
          <w:color w:val="000000"/>
        </w:rPr>
        <w:t xml:space="preserve"> </w:t>
      </w:r>
      <w:r w:rsidR="0043422C">
        <w:rPr>
          <w:color w:val="000000"/>
        </w:rPr>
        <w:t xml:space="preserve">toward early childhood vaccines </w:t>
      </w:r>
      <w:r w:rsidR="0043422C" w:rsidRPr="006E237F">
        <w:rPr>
          <w:i/>
          <w:iCs/>
          <w:color w:val="000000"/>
        </w:rPr>
        <w:t>and</w:t>
      </w:r>
      <w:r w:rsidR="0043422C" w:rsidRPr="00F65E3D">
        <w:rPr>
          <w:color w:val="000000"/>
        </w:rPr>
        <w:t xml:space="preserve"> their child was </w:t>
      </w:r>
      <w:r w:rsidR="0043422C">
        <w:rPr>
          <w:color w:val="000000"/>
        </w:rPr>
        <w:t>in early or middle childhood</w:t>
      </w:r>
      <w:r w:rsidR="0043422C" w:rsidRPr="00F65E3D">
        <w:rPr>
          <w:color w:val="000000"/>
        </w:rPr>
        <w:t xml:space="preserve">. However, </w:t>
      </w:r>
      <w:r w:rsidR="0043422C">
        <w:rPr>
          <w:color w:val="000000"/>
        </w:rPr>
        <w:t>there were no</w:t>
      </w:r>
      <w:r w:rsidR="0043422C" w:rsidRPr="00F65E3D">
        <w:rPr>
          <w:color w:val="000000"/>
        </w:rPr>
        <w:t xml:space="preserve"> differences in </w:t>
      </w:r>
      <w:r w:rsidR="0043422C">
        <w:rPr>
          <w:color w:val="000000"/>
        </w:rPr>
        <w:t xml:space="preserve">COVID-19 vaccination rate </w:t>
      </w:r>
      <w:r w:rsidR="0043422C" w:rsidRPr="00F65E3D">
        <w:rPr>
          <w:color w:val="000000"/>
        </w:rPr>
        <w:t>between the ASD and N</w:t>
      </w:r>
      <w:r w:rsidR="0043422C">
        <w:rPr>
          <w:color w:val="000000"/>
        </w:rPr>
        <w:t>A</w:t>
      </w:r>
      <w:r w:rsidR="0043422C" w:rsidRPr="00F65E3D">
        <w:rPr>
          <w:color w:val="000000"/>
        </w:rPr>
        <w:t xml:space="preserve"> groups. This is noteworthy</w:t>
      </w:r>
      <w:r w:rsidR="0043422C">
        <w:rPr>
          <w:color w:val="000000"/>
        </w:rPr>
        <w:t xml:space="preserve"> considering that our previous investigation observed higher rates of VH</w:t>
      </w:r>
      <w:r w:rsidR="0043422C" w:rsidRPr="00F65E3D">
        <w:rPr>
          <w:color w:val="000000"/>
        </w:rPr>
        <w:t xml:space="preserve"> toward early childhood vaccines </w:t>
      </w:r>
      <w:r w:rsidR="0043422C">
        <w:rPr>
          <w:color w:val="000000"/>
        </w:rPr>
        <w:t>in the ASD versus NA group</w:t>
      </w:r>
      <w:r w:rsidR="0043422C" w:rsidRPr="00F65E3D">
        <w:rPr>
          <w:color w:val="000000"/>
        </w:rPr>
        <w:t xml:space="preserve">. </w:t>
      </w:r>
      <w:r w:rsidR="0043422C">
        <w:rPr>
          <w:color w:val="000000"/>
        </w:rPr>
        <w:t>Latine caregivers may value (a) the safety and/or efficacy of vaccines differently for younger versus older children and/or (b) COVID-19 vaccines differently from routine childhood vaccines, some of which have been erroneously implicated as the cause of ASD.</w:t>
      </w:r>
      <w:r w:rsidR="0043422C" w:rsidRPr="00F65E3D">
        <w:rPr>
          <w:b/>
          <w:bCs/>
          <w:color w:val="000000"/>
        </w:rPr>
        <w:t> </w:t>
      </w:r>
      <w:r w:rsidR="0043422C">
        <w:rPr>
          <w:color w:val="000000"/>
        </w:rPr>
        <w:t xml:space="preserve">Findings suggest that healthcare professionals should be attuned to VH among Latine </w:t>
      </w:r>
      <w:r w:rsidR="0043422C">
        <w:rPr>
          <w:color w:val="000000"/>
        </w:rPr>
        <w:lastRenderedPageBreak/>
        <w:t xml:space="preserve">caregivers of young children and be prepared to address concerns/encourage vaccine uptake for all recommended vaccines. </w:t>
      </w:r>
    </w:p>
    <w:p w14:paraId="11A16B39" w14:textId="789B2486" w:rsidR="0043422C" w:rsidRDefault="0043422C" w:rsidP="003D6244">
      <w:pPr>
        <w:rPr>
          <w:color w:val="000000"/>
        </w:rPr>
      </w:pPr>
      <w:r w:rsidRPr="007E2F2E">
        <w:rPr>
          <w:b/>
          <w:bCs/>
          <w:noProof/>
          <w:color w:val="000000" w:themeColor="text1"/>
        </w:rPr>
        <w:drawing>
          <wp:inline distT="0" distB="0" distL="0" distR="0" wp14:anchorId="72D51912" wp14:editId="742FB30F">
            <wp:extent cx="5943600" cy="1260475"/>
            <wp:effectExtent l="0" t="0" r="0" b="0"/>
            <wp:docPr id="1895865494" name="Picture 1" descr="A table with number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65494" name="Picture 1" descr="A table with numbers and word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783C" w14:textId="77777777" w:rsidR="0043422C" w:rsidRDefault="003D6244" w:rsidP="0043422C">
      <w:pPr>
        <w:spacing w:line="480" w:lineRule="auto"/>
        <w:ind w:hanging="480"/>
        <w:rPr>
          <w:b/>
          <w:color w:val="000000"/>
          <w:sz w:val="20"/>
          <w:szCs w:val="20"/>
          <w:lang w:val="en-GB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2B886267" w14:textId="310E17D1" w:rsidR="0043422C" w:rsidRDefault="0043422C" w:rsidP="0043422C">
      <w:pPr>
        <w:spacing w:line="480" w:lineRule="auto"/>
        <w:ind w:hanging="480"/>
      </w:pPr>
      <w:r w:rsidRPr="00FB707C">
        <w:t>Limon</w:t>
      </w:r>
      <w:r>
        <w:t>-Mialkowski</w:t>
      </w:r>
      <w:r w:rsidRPr="00FB707C">
        <w:t xml:space="preserve">, </w:t>
      </w:r>
      <w:r>
        <w:t>D</w:t>
      </w:r>
      <w:r w:rsidRPr="00FB707C">
        <w:t xml:space="preserve">. </w:t>
      </w:r>
      <w:r>
        <w:t>L</w:t>
      </w:r>
      <w:r w:rsidRPr="00FB707C">
        <w:t xml:space="preserve">., Patino-Celedon, C. A., </w:t>
      </w:r>
      <w:proofErr w:type="spellStart"/>
      <w:r w:rsidRPr="00FB707C">
        <w:t>Normansell-Mossa</w:t>
      </w:r>
      <w:proofErr w:type="spellEnd"/>
      <w:r w:rsidRPr="00FB707C">
        <w:t xml:space="preserve">, K., Montiel-Nava, C., South, M., </w:t>
      </w:r>
      <w:proofErr w:type="spellStart"/>
      <w:r w:rsidRPr="00FB707C">
        <w:t>Lundwall</w:t>
      </w:r>
      <w:proofErr w:type="spellEnd"/>
      <w:r w:rsidRPr="00FB707C">
        <w:t xml:space="preserve">, R., </w:t>
      </w:r>
      <w:proofErr w:type="spellStart"/>
      <w:r w:rsidRPr="00FB707C">
        <w:t>Goin</w:t>
      </w:r>
      <w:proofErr w:type="spellEnd"/>
      <w:r w:rsidRPr="00FB707C">
        <w:t>-Kochel, R. P. (2024</w:t>
      </w:r>
      <w:r>
        <w:t>, May 15 - May 18</w:t>
      </w:r>
      <w:r w:rsidRPr="00FB707C">
        <w:t xml:space="preserve">). </w:t>
      </w:r>
      <w:r w:rsidRPr="00687F4F">
        <w:rPr>
          <w:i/>
          <w:iCs/>
        </w:rPr>
        <w:t>A Look into Vaccine Perceptions in U.S. Spanish-Speaking Families with and without an Autistic Child</w:t>
      </w:r>
      <w:r>
        <w:t xml:space="preserve"> [Poster presentation]</w:t>
      </w:r>
      <w:r w:rsidRPr="00FB707C">
        <w:t>. Annual Meeting of the International Society for Autism Research, Melbourne, Australia.</w:t>
      </w:r>
      <w:r>
        <w:t xml:space="preserve"> </w:t>
      </w:r>
      <w:r w:rsidRPr="00687F4F">
        <w:t>https://cdn.ymaws.com/www.autisminsar.org/resource/resmgr/docs/annualmeeting/abstract_book_2024.pdf</w:t>
      </w:r>
    </w:p>
    <w:p w14:paraId="2A33DC4A" w14:textId="77777777" w:rsidR="0043422C" w:rsidRDefault="0043422C" w:rsidP="0043422C">
      <w:pPr>
        <w:spacing w:line="480" w:lineRule="auto"/>
        <w:ind w:hanging="480"/>
      </w:pPr>
      <w:r>
        <w:t xml:space="preserve">Piedra, L. M., Howe, M. J. K., Francis, J., Montoya, Y., &amp; </w:t>
      </w:r>
      <w:proofErr w:type="spellStart"/>
      <w:r>
        <w:t>Gutwein</w:t>
      </w:r>
      <w:proofErr w:type="spellEnd"/>
      <w:r>
        <w:t xml:space="preserve">, M. (2022). Latinos and the Pandemic: Results from the National Social Life, Health, and Aging Project—COVID-19 Study. </w:t>
      </w:r>
      <w:r>
        <w:rPr>
          <w:i/>
          <w:iCs/>
        </w:rPr>
        <w:t>Journal of Applied Gerontology</w:t>
      </w:r>
      <w:r>
        <w:t xml:space="preserve">, </w:t>
      </w:r>
      <w:r>
        <w:rPr>
          <w:i/>
          <w:iCs/>
        </w:rPr>
        <w:t>41</w:t>
      </w:r>
      <w:r>
        <w:t xml:space="preserve">(5), 1465–1472. </w:t>
      </w:r>
      <w:hyperlink r:id="rId11" w:history="1">
        <w:r>
          <w:rPr>
            <w:rStyle w:val="Hyperlink"/>
            <w:rFonts w:eastAsiaTheme="majorEastAsia"/>
          </w:rPr>
          <w:t>https://doi.org/10.1177/07334648211066920</w:t>
        </w:r>
      </w:hyperlink>
    </w:p>
    <w:p w14:paraId="2296D8AE" w14:textId="77777777" w:rsidR="0043422C" w:rsidRDefault="0043422C" w:rsidP="0043422C">
      <w:pPr>
        <w:spacing w:line="480" w:lineRule="auto"/>
        <w:ind w:hanging="480"/>
      </w:pPr>
      <w:r>
        <w:t xml:space="preserve">Robertson, M. M., </w:t>
      </w:r>
      <w:proofErr w:type="spellStart"/>
      <w:r>
        <w:t>Shamsunder</w:t>
      </w:r>
      <w:proofErr w:type="spellEnd"/>
      <w:r>
        <w:t xml:space="preserve">, M. G., Brazier, E., </w:t>
      </w:r>
      <w:proofErr w:type="spellStart"/>
      <w:r>
        <w:t>Mantravadi</w:t>
      </w:r>
      <w:proofErr w:type="spellEnd"/>
      <w:r>
        <w:t xml:space="preserve">, M., Zimba, R., Rane, M. S., Westmoreland, D. A., </w:t>
      </w:r>
      <w:proofErr w:type="spellStart"/>
      <w:r>
        <w:t>Parcesepe</w:t>
      </w:r>
      <w:proofErr w:type="spellEnd"/>
      <w:r>
        <w:t xml:space="preserve">, A. M., </w:t>
      </w:r>
      <w:proofErr w:type="spellStart"/>
      <w:r>
        <w:t>Maroko</w:t>
      </w:r>
      <w:proofErr w:type="spellEnd"/>
      <w:r>
        <w:t xml:space="preserve">, A. R., Kulkarni, S. G., </w:t>
      </w:r>
      <w:proofErr w:type="spellStart"/>
      <w:r>
        <w:t>Grov</w:t>
      </w:r>
      <w:proofErr w:type="spellEnd"/>
      <w:r>
        <w:t xml:space="preserve">, C., &amp; Nash, D. (2022). </w:t>
      </w:r>
      <w:r>
        <w:rPr>
          <w:i/>
          <w:iCs/>
        </w:rPr>
        <w:t>Racial/Ethnic Disparities in Exposure, Disease Susceptibility, and Clinical Outcomes during COVID-19 Pandemic in National Cohort of Adults, United States—Volume 28, Number 11—November 2022—Emerging Infectious Diseases journal—CDC</w:t>
      </w:r>
      <w:r>
        <w:t xml:space="preserve">. </w:t>
      </w:r>
      <w:hyperlink r:id="rId12" w:history="1">
        <w:r>
          <w:rPr>
            <w:rStyle w:val="Hyperlink"/>
            <w:rFonts w:eastAsiaTheme="majorEastAsia"/>
          </w:rPr>
          <w:t>https://doi.org/10.3201/eid2811.220072</w:t>
        </w:r>
      </w:hyperlink>
    </w:p>
    <w:p w14:paraId="10033DDE" w14:textId="77777777" w:rsidR="0043422C" w:rsidRDefault="0043422C" w:rsidP="0043422C">
      <w:pPr>
        <w:spacing w:line="480" w:lineRule="auto"/>
        <w:ind w:hanging="480"/>
      </w:pPr>
      <w:r>
        <w:t xml:space="preserve">Valier, M. R. (2023). Racial and Ethnic Differences in COVID-19 Vaccination Coverage Among Children and Adolescents Aged 5–17 Years and Parental Intent to Vaccinate Their Children—National Immunization Survey–Child COVID </w:t>
      </w:r>
      <w:r>
        <w:lastRenderedPageBreak/>
        <w:t xml:space="preserve">Module, United States, December 2020–September 2022. </w:t>
      </w:r>
      <w:r>
        <w:rPr>
          <w:i/>
          <w:iCs/>
        </w:rPr>
        <w:t>MMWR. Morbidity and Mortality Weekly Report</w:t>
      </w:r>
      <w:r>
        <w:t xml:space="preserve">, </w:t>
      </w:r>
      <w:r>
        <w:rPr>
          <w:i/>
          <w:iCs/>
        </w:rPr>
        <w:t>72</w:t>
      </w:r>
      <w:r>
        <w:t xml:space="preserve">. </w:t>
      </w:r>
      <w:hyperlink r:id="rId13" w:history="1">
        <w:r>
          <w:rPr>
            <w:rStyle w:val="Hyperlink"/>
            <w:rFonts w:eastAsiaTheme="majorEastAsia"/>
          </w:rPr>
          <w:t>https://doi.org/10.15585/mmwr.mm7201a1</w:t>
        </w:r>
      </w:hyperlink>
    </w:p>
    <w:p w14:paraId="7AC5037A" w14:textId="67691908" w:rsidR="001C735E" w:rsidRPr="003D6244" w:rsidRDefault="001C735E" w:rsidP="0043422C"/>
    <w:sectPr w:rsidR="001C735E" w:rsidRPr="003D6244" w:rsidSect="00394E2C">
      <w:headerReference w:type="default" r:id="rId14"/>
      <w:footerReference w:type="default" r:id="rId15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F902" w14:textId="77777777" w:rsidR="004E69F8" w:rsidRDefault="004E69F8" w:rsidP="00A16498">
      <w:pPr>
        <w:spacing w:after="0" w:line="240" w:lineRule="auto"/>
      </w:pPr>
      <w:r>
        <w:separator/>
      </w:r>
    </w:p>
  </w:endnote>
  <w:endnote w:type="continuationSeparator" w:id="0">
    <w:p w14:paraId="3C456C6B" w14:textId="77777777" w:rsidR="004E69F8" w:rsidRDefault="004E69F8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E291" w14:textId="77777777" w:rsidR="004E69F8" w:rsidRDefault="004E69F8" w:rsidP="00A16498">
      <w:pPr>
        <w:spacing w:after="0" w:line="240" w:lineRule="auto"/>
      </w:pPr>
      <w:r>
        <w:separator/>
      </w:r>
    </w:p>
  </w:footnote>
  <w:footnote w:type="continuationSeparator" w:id="0">
    <w:p w14:paraId="10BF29B2" w14:textId="77777777" w:rsidR="004E69F8" w:rsidRDefault="004E69F8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6D111994" w:rsidR="00A16498" w:rsidRDefault="004342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F29DE" wp14:editId="01EC5E63">
              <wp:simplePos x="0" y="0"/>
              <wp:positionH relativeFrom="column">
                <wp:posOffset>643232</wp:posOffset>
              </wp:positionH>
              <wp:positionV relativeFrom="paragraph">
                <wp:posOffset>-224155</wp:posOffset>
              </wp:positionV>
              <wp:extent cx="5371689" cy="457200"/>
              <wp:effectExtent l="12700" t="12700" r="13335" b="1270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7E815E7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601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F29DE" id="Rectangle 197" o:spid="_x0000_s1026" style="position:absolute;margin-left:50.65pt;margin-top:-17.65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7E815E7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59601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D0162"/>
    <w:rsid w:val="001C735E"/>
    <w:rsid w:val="001E73B8"/>
    <w:rsid w:val="00226854"/>
    <w:rsid w:val="00244C29"/>
    <w:rsid w:val="002872AA"/>
    <w:rsid w:val="00300310"/>
    <w:rsid w:val="00312417"/>
    <w:rsid w:val="00316B3B"/>
    <w:rsid w:val="0032171F"/>
    <w:rsid w:val="00324E6F"/>
    <w:rsid w:val="0033415B"/>
    <w:rsid w:val="00394E2C"/>
    <w:rsid w:val="003B0285"/>
    <w:rsid w:val="003C2A0A"/>
    <w:rsid w:val="003C4D59"/>
    <w:rsid w:val="003D6244"/>
    <w:rsid w:val="003F558A"/>
    <w:rsid w:val="00412A17"/>
    <w:rsid w:val="0043422C"/>
    <w:rsid w:val="00444D82"/>
    <w:rsid w:val="004473AC"/>
    <w:rsid w:val="00452576"/>
    <w:rsid w:val="0045428A"/>
    <w:rsid w:val="004E69F8"/>
    <w:rsid w:val="00550360"/>
    <w:rsid w:val="00577DC4"/>
    <w:rsid w:val="0059601C"/>
    <w:rsid w:val="005F3158"/>
    <w:rsid w:val="00625543"/>
    <w:rsid w:val="006535AF"/>
    <w:rsid w:val="006637E7"/>
    <w:rsid w:val="0069448E"/>
    <w:rsid w:val="006C05DD"/>
    <w:rsid w:val="00751FEE"/>
    <w:rsid w:val="007722E4"/>
    <w:rsid w:val="0077649B"/>
    <w:rsid w:val="00777D73"/>
    <w:rsid w:val="007B4CE7"/>
    <w:rsid w:val="00801D2A"/>
    <w:rsid w:val="00817FE3"/>
    <w:rsid w:val="0087492A"/>
    <w:rsid w:val="008938D8"/>
    <w:rsid w:val="009462E3"/>
    <w:rsid w:val="009B1DAB"/>
    <w:rsid w:val="009E1B56"/>
    <w:rsid w:val="00A16498"/>
    <w:rsid w:val="00AB7B37"/>
    <w:rsid w:val="00AE4ADB"/>
    <w:rsid w:val="00B226B4"/>
    <w:rsid w:val="00B71AFF"/>
    <w:rsid w:val="00BA2D2D"/>
    <w:rsid w:val="00C6243D"/>
    <w:rsid w:val="00C80718"/>
    <w:rsid w:val="00CF3CDF"/>
    <w:rsid w:val="00D46241"/>
    <w:rsid w:val="00D60D08"/>
    <w:rsid w:val="00DC15FA"/>
    <w:rsid w:val="00E15391"/>
    <w:rsid w:val="00E34365"/>
    <w:rsid w:val="00EC1345"/>
    <w:rsid w:val="00F023E6"/>
    <w:rsid w:val="00F2162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4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5585/mmwr.mm7201a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201/eid2811.2200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77/073346482110669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Catherine Patino-Celedon</cp:lastModifiedBy>
  <cp:revision>2</cp:revision>
  <dcterms:created xsi:type="dcterms:W3CDTF">2024-11-04T21:24:00Z</dcterms:created>
  <dcterms:modified xsi:type="dcterms:W3CDTF">2024-11-04T21:24:00Z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