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01E84DD4" w:rsidR="003D6244" w:rsidRPr="009E00A7" w:rsidRDefault="003D6244" w:rsidP="001919B5">
      <w:pPr>
        <w:rPr>
          <w:sz w:val="20"/>
          <w:szCs w:val="20"/>
        </w:rPr>
      </w:pPr>
      <w:r w:rsidRPr="19B266A6">
        <w:rPr>
          <w:b/>
          <w:bCs/>
          <w:sz w:val="20"/>
          <w:szCs w:val="20"/>
        </w:rPr>
        <w:t>Title</w:t>
      </w:r>
      <w:r w:rsidR="001919B5" w:rsidRPr="19B266A6">
        <w:rPr>
          <w:b/>
          <w:bCs/>
          <w:sz w:val="20"/>
          <w:szCs w:val="20"/>
        </w:rPr>
        <w:t>:</w:t>
      </w:r>
      <w:r w:rsidR="001919B5" w:rsidRPr="00924190">
        <w:rPr>
          <w:b/>
          <w:bCs/>
          <w:sz w:val="16"/>
          <w:szCs w:val="16"/>
        </w:rPr>
        <w:t xml:space="preserve"> </w:t>
      </w:r>
      <w:r w:rsidR="00BA0672" w:rsidRPr="19B266A6">
        <w:rPr>
          <w:b/>
          <w:bCs/>
          <w:sz w:val="20"/>
          <w:szCs w:val="20"/>
        </w:rPr>
        <w:t>Links</w:t>
      </w:r>
      <w:r w:rsidR="00BA0672" w:rsidRPr="00924190">
        <w:rPr>
          <w:b/>
          <w:bCs/>
          <w:sz w:val="16"/>
          <w:szCs w:val="16"/>
        </w:rPr>
        <w:t xml:space="preserve"> </w:t>
      </w:r>
      <w:r w:rsidR="00BA0672" w:rsidRPr="19B266A6">
        <w:rPr>
          <w:b/>
          <w:bCs/>
          <w:sz w:val="20"/>
          <w:szCs w:val="20"/>
        </w:rPr>
        <w:t>between</w:t>
      </w:r>
      <w:r w:rsidR="00BA0672" w:rsidRPr="00924190">
        <w:rPr>
          <w:b/>
          <w:bCs/>
          <w:sz w:val="16"/>
          <w:szCs w:val="16"/>
        </w:rPr>
        <w:t xml:space="preserve"> </w:t>
      </w:r>
      <w:r w:rsidR="00BA0672" w:rsidRPr="19B266A6">
        <w:rPr>
          <w:b/>
          <w:bCs/>
          <w:sz w:val="20"/>
          <w:szCs w:val="20"/>
        </w:rPr>
        <w:t>Sensory</w:t>
      </w:r>
      <w:r w:rsidR="00BA0672" w:rsidRPr="00924190">
        <w:rPr>
          <w:b/>
          <w:bCs/>
          <w:sz w:val="16"/>
          <w:szCs w:val="16"/>
        </w:rPr>
        <w:t xml:space="preserve"> </w:t>
      </w:r>
      <w:r w:rsidR="00BA0672" w:rsidRPr="19B266A6">
        <w:rPr>
          <w:b/>
          <w:bCs/>
          <w:sz w:val="20"/>
          <w:szCs w:val="20"/>
        </w:rPr>
        <w:t>Responsiveness and Caregiver</w:t>
      </w:r>
      <w:r w:rsidR="0051400A">
        <w:rPr>
          <w:b/>
          <w:bCs/>
          <w:sz w:val="20"/>
          <w:szCs w:val="20"/>
        </w:rPr>
        <w:t>-</w:t>
      </w:r>
      <w:r w:rsidR="00BA0672" w:rsidRPr="19B266A6">
        <w:rPr>
          <w:b/>
          <w:bCs/>
          <w:sz w:val="20"/>
          <w:szCs w:val="20"/>
        </w:rPr>
        <w:t>Child Engagement in Infants with Autistic and Non-</w:t>
      </w:r>
      <w:r w:rsidR="006B3B99" w:rsidRPr="19B266A6">
        <w:rPr>
          <w:b/>
          <w:bCs/>
          <w:sz w:val="20"/>
          <w:szCs w:val="20"/>
        </w:rPr>
        <w:t>a</w:t>
      </w:r>
      <w:r w:rsidR="00BA0672" w:rsidRPr="19B266A6">
        <w:rPr>
          <w:b/>
          <w:bCs/>
          <w:sz w:val="20"/>
          <w:szCs w:val="20"/>
        </w:rPr>
        <w:t>utistic Siblings</w:t>
      </w:r>
    </w:p>
    <w:p w14:paraId="7AC50371" w14:textId="2756F4D1" w:rsidR="003D6244" w:rsidRPr="006D67F3" w:rsidRDefault="003D6244" w:rsidP="003D6244">
      <w:pPr>
        <w:rPr>
          <w:sz w:val="20"/>
          <w:szCs w:val="20"/>
          <w:vertAlign w:val="superscript"/>
        </w:rPr>
      </w:pPr>
      <w:r w:rsidRPr="7CB7382F">
        <w:rPr>
          <w:b/>
          <w:bCs/>
          <w:sz w:val="20"/>
          <w:szCs w:val="20"/>
        </w:rPr>
        <w:t>Authors</w:t>
      </w:r>
      <w:r w:rsidR="001919B5" w:rsidRPr="7CB7382F">
        <w:rPr>
          <w:b/>
          <w:bCs/>
          <w:sz w:val="20"/>
          <w:szCs w:val="20"/>
        </w:rPr>
        <w:t>:</w:t>
      </w:r>
      <w:r w:rsidR="0065364E" w:rsidRPr="7CB7382F">
        <w:rPr>
          <w:b/>
          <w:bCs/>
          <w:sz w:val="20"/>
          <w:szCs w:val="20"/>
        </w:rPr>
        <w:t xml:space="preserve"> </w:t>
      </w:r>
      <w:r w:rsidR="0065364E" w:rsidRPr="7CB7382F">
        <w:rPr>
          <w:sz w:val="20"/>
          <w:szCs w:val="20"/>
        </w:rPr>
        <w:t>S. Madison Clark</w:t>
      </w:r>
      <w:r w:rsidR="00711179" w:rsidRPr="7CB7382F">
        <w:rPr>
          <w:sz w:val="20"/>
          <w:szCs w:val="20"/>
          <w:vertAlign w:val="superscript"/>
        </w:rPr>
        <w:t>1</w:t>
      </w:r>
      <w:r w:rsidR="0065364E" w:rsidRPr="7CB7382F">
        <w:rPr>
          <w:sz w:val="20"/>
          <w:szCs w:val="20"/>
        </w:rPr>
        <w:t xml:space="preserve">, </w:t>
      </w:r>
      <w:r w:rsidR="003170CB" w:rsidRPr="7CB7382F">
        <w:rPr>
          <w:sz w:val="20"/>
          <w:szCs w:val="20"/>
        </w:rPr>
        <w:t>Jacob I. Feldman</w:t>
      </w:r>
      <w:r w:rsidR="003170CB" w:rsidRPr="7CB7382F">
        <w:rPr>
          <w:sz w:val="20"/>
          <w:szCs w:val="20"/>
          <w:vertAlign w:val="superscript"/>
        </w:rPr>
        <w:t>1</w:t>
      </w:r>
      <w:r w:rsidR="2B90C0EF" w:rsidRPr="7CB7382F">
        <w:rPr>
          <w:sz w:val="20"/>
          <w:szCs w:val="20"/>
          <w:vertAlign w:val="superscript"/>
        </w:rPr>
        <w:t>,2</w:t>
      </w:r>
      <w:r w:rsidR="003170CB" w:rsidRPr="7CB7382F">
        <w:rPr>
          <w:sz w:val="20"/>
          <w:szCs w:val="20"/>
        </w:rPr>
        <w:t xml:space="preserve">, </w:t>
      </w:r>
      <w:r w:rsidR="0065364E" w:rsidRPr="7CB7382F">
        <w:rPr>
          <w:sz w:val="20"/>
          <w:szCs w:val="20"/>
        </w:rPr>
        <w:t>Jennifer E. Markfeld</w:t>
      </w:r>
      <w:r w:rsidR="158A9178" w:rsidRPr="7CB7382F">
        <w:rPr>
          <w:sz w:val="20"/>
          <w:szCs w:val="20"/>
          <w:vertAlign w:val="superscript"/>
        </w:rPr>
        <w:t>3</w:t>
      </w:r>
      <w:r w:rsidR="0065364E" w:rsidRPr="7CB7382F">
        <w:rPr>
          <w:sz w:val="20"/>
          <w:szCs w:val="20"/>
        </w:rPr>
        <w:t xml:space="preserve">, Shannon </w:t>
      </w:r>
      <w:r w:rsidR="0099254A" w:rsidRPr="7CB7382F">
        <w:rPr>
          <w:sz w:val="20"/>
          <w:szCs w:val="20"/>
        </w:rPr>
        <w:t>C. LaPoint</w:t>
      </w:r>
      <w:r w:rsidR="2B7AA99B" w:rsidRPr="7CB7382F">
        <w:rPr>
          <w:sz w:val="20"/>
          <w:szCs w:val="20"/>
          <w:vertAlign w:val="superscript"/>
        </w:rPr>
        <w:t>4</w:t>
      </w:r>
      <w:r w:rsidR="0065364E" w:rsidRPr="7CB7382F">
        <w:rPr>
          <w:sz w:val="20"/>
          <w:szCs w:val="20"/>
        </w:rPr>
        <w:t>, So Yoon Kim</w:t>
      </w:r>
      <w:r w:rsidR="707EE439" w:rsidRPr="7CB7382F">
        <w:rPr>
          <w:sz w:val="20"/>
          <w:szCs w:val="20"/>
          <w:vertAlign w:val="superscript"/>
        </w:rPr>
        <w:t>5</w:t>
      </w:r>
      <w:r w:rsidR="0065364E" w:rsidRPr="7CB7382F">
        <w:rPr>
          <w:sz w:val="20"/>
          <w:szCs w:val="20"/>
        </w:rPr>
        <w:t>, Kristen Bottema-Beutel</w:t>
      </w:r>
      <w:r w:rsidR="6C10F710" w:rsidRPr="7CB7382F">
        <w:rPr>
          <w:sz w:val="20"/>
          <w:szCs w:val="20"/>
          <w:vertAlign w:val="superscript"/>
        </w:rPr>
        <w:t>6</w:t>
      </w:r>
      <w:r w:rsidR="0065364E" w:rsidRPr="7CB7382F">
        <w:rPr>
          <w:sz w:val="20"/>
          <w:szCs w:val="20"/>
        </w:rPr>
        <w:t>, Drina Agojci</w:t>
      </w:r>
      <w:r w:rsidR="7340D55E" w:rsidRPr="7CB7382F">
        <w:rPr>
          <w:sz w:val="20"/>
          <w:szCs w:val="20"/>
          <w:vertAlign w:val="superscript"/>
        </w:rPr>
        <w:t>3</w:t>
      </w:r>
      <w:r w:rsidR="0065364E" w:rsidRPr="7CB7382F">
        <w:rPr>
          <w:sz w:val="20"/>
          <w:szCs w:val="20"/>
        </w:rPr>
        <w:t>, Bahar Keceli-Kaysili</w:t>
      </w:r>
      <w:r w:rsidR="006D67F3" w:rsidRPr="7CB7382F">
        <w:rPr>
          <w:sz w:val="20"/>
          <w:szCs w:val="20"/>
          <w:vertAlign w:val="superscript"/>
        </w:rPr>
        <w:t>1</w:t>
      </w:r>
      <w:r w:rsidR="0065364E" w:rsidRPr="7CB7382F">
        <w:rPr>
          <w:sz w:val="20"/>
          <w:szCs w:val="20"/>
        </w:rPr>
        <w:t xml:space="preserve">, &amp; </w:t>
      </w:r>
      <w:commentRangeStart w:id="0"/>
      <w:r w:rsidR="0065364E" w:rsidRPr="7CB7382F">
        <w:rPr>
          <w:sz w:val="20"/>
          <w:szCs w:val="20"/>
        </w:rPr>
        <w:t>Tiffany G. Woynaroski</w:t>
      </w:r>
      <w:r w:rsidR="006D67F3" w:rsidRPr="7CB7382F">
        <w:rPr>
          <w:sz w:val="20"/>
          <w:szCs w:val="20"/>
          <w:vertAlign w:val="superscript"/>
        </w:rPr>
        <w:t>1,</w:t>
      </w:r>
      <w:r w:rsidR="63343D7C" w:rsidRPr="7CB7382F">
        <w:rPr>
          <w:sz w:val="20"/>
          <w:szCs w:val="20"/>
          <w:vertAlign w:val="superscript"/>
        </w:rPr>
        <w:t>2,7,8,9</w:t>
      </w:r>
      <w:commentRangeEnd w:id="0"/>
      <w:r>
        <w:rPr>
          <w:rStyle w:val="CommentReference"/>
        </w:rPr>
        <w:commentReference w:id="0"/>
      </w:r>
    </w:p>
    <w:p w14:paraId="77FE6733" w14:textId="1754E7A4" w:rsidR="00452576" w:rsidRPr="00B73384" w:rsidRDefault="003D6244" w:rsidP="1035C322">
      <w:pPr>
        <w:rPr>
          <w:sz w:val="20"/>
          <w:szCs w:val="20"/>
        </w:rPr>
      </w:pPr>
      <w:r w:rsidRPr="1035C322">
        <w:rPr>
          <w:b/>
          <w:bCs/>
          <w:sz w:val="20"/>
          <w:szCs w:val="20"/>
        </w:rPr>
        <w:t>Introduction</w:t>
      </w:r>
      <w:r w:rsidRPr="002E79CD">
        <w:rPr>
          <w:sz w:val="20"/>
          <w:szCs w:val="20"/>
        </w:rPr>
        <w:t>:</w:t>
      </w:r>
      <w:r w:rsidR="001919B5">
        <w:rPr>
          <w:sz w:val="20"/>
          <w:szCs w:val="20"/>
        </w:rPr>
        <w:t xml:space="preserve"> </w:t>
      </w:r>
      <w:r w:rsidR="00BA0672">
        <w:rPr>
          <w:sz w:val="20"/>
          <w:szCs w:val="20"/>
        </w:rPr>
        <w:t>S</w:t>
      </w:r>
      <w:r w:rsidR="00BA0672" w:rsidRPr="00BA0672">
        <w:rPr>
          <w:sz w:val="20"/>
          <w:szCs w:val="20"/>
        </w:rPr>
        <w:t xml:space="preserve">ensory differences are highly prevalent in </w:t>
      </w:r>
      <w:r w:rsidR="00D8118B">
        <w:rPr>
          <w:sz w:val="20"/>
          <w:szCs w:val="20"/>
        </w:rPr>
        <w:t xml:space="preserve">autism, and include </w:t>
      </w:r>
      <w:r w:rsidR="00BA0672">
        <w:rPr>
          <w:sz w:val="20"/>
          <w:szCs w:val="20"/>
        </w:rPr>
        <w:t>hyporesponsiveness (</w:t>
      </w:r>
      <w:r w:rsidR="00BA0672" w:rsidRPr="00BA0672">
        <w:rPr>
          <w:sz w:val="20"/>
          <w:szCs w:val="20"/>
        </w:rPr>
        <w:t>i.e., reduced or absent responses to sensory stimuli)</w:t>
      </w:r>
      <w:r w:rsidR="00BA0672">
        <w:rPr>
          <w:sz w:val="20"/>
          <w:szCs w:val="20"/>
        </w:rPr>
        <w:t>, hyperresponsiveness</w:t>
      </w:r>
      <w:r w:rsidR="00BA0672" w:rsidRPr="00BA0672">
        <w:rPr>
          <w:rFonts w:ascii="Calibri" w:hAnsi="Calibri" w:cs="Calibri"/>
          <w:color w:val="000000"/>
          <w:shd w:val="clear" w:color="auto" w:fill="FFFFFF"/>
        </w:rPr>
        <w:t xml:space="preserve"> </w:t>
      </w:r>
      <w:r w:rsidR="00BA0672" w:rsidRPr="00BA0672">
        <w:rPr>
          <w:sz w:val="20"/>
          <w:szCs w:val="20"/>
        </w:rPr>
        <w:t>(i.e., exaggerated or defensive responses to sensory stimuli)</w:t>
      </w:r>
      <w:r w:rsidR="00BA0672">
        <w:rPr>
          <w:sz w:val="20"/>
          <w:szCs w:val="20"/>
        </w:rPr>
        <w:t xml:space="preserve">, and sensory seeking </w:t>
      </w:r>
      <w:r w:rsidR="00BA0672" w:rsidRPr="00BA0672">
        <w:rPr>
          <w:sz w:val="20"/>
          <w:szCs w:val="20"/>
        </w:rPr>
        <w:t>(i.e., behaviors that intensify or extend sensory experiences)</w:t>
      </w:r>
      <w:r w:rsidR="00BA0672">
        <w:rPr>
          <w:sz w:val="20"/>
          <w:szCs w:val="20"/>
        </w:rPr>
        <w:t xml:space="preserve">. </w:t>
      </w:r>
      <w:r w:rsidR="001919B5" w:rsidRPr="001919B5">
        <w:rPr>
          <w:sz w:val="20"/>
          <w:szCs w:val="20"/>
        </w:rPr>
        <w:t xml:space="preserve">Theory suggests that sensory responsiveness may influence language acquisition by impacting children’s ability to engage with others in their environment early in life. </w:t>
      </w:r>
      <w:r w:rsidR="00D8118B">
        <w:rPr>
          <w:sz w:val="20"/>
          <w:szCs w:val="20"/>
        </w:rPr>
        <w:t xml:space="preserve">The </w:t>
      </w:r>
      <w:r w:rsidR="00DC2879">
        <w:rPr>
          <w:sz w:val="20"/>
          <w:szCs w:val="20"/>
        </w:rPr>
        <w:t xml:space="preserve">present </w:t>
      </w:r>
      <w:r w:rsidR="001919B5" w:rsidRPr="001919B5">
        <w:rPr>
          <w:sz w:val="20"/>
          <w:szCs w:val="20"/>
        </w:rPr>
        <w:t>study represents a preliminary test of this theorized mechanism in</w:t>
      </w:r>
      <w:r w:rsidR="00B73384">
        <w:rPr>
          <w:sz w:val="20"/>
          <w:szCs w:val="20"/>
        </w:rPr>
        <w:t xml:space="preserve"> infants at increased familial likelihood for autism</w:t>
      </w:r>
      <w:r w:rsidR="001919B5" w:rsidRPr="001919B5">
        <w:rPr>
          <w:sz w:val="20"/>
          <w:szCs w:val="20"/>
        </w:rPr>
        <w:t xml:space="preserve"> </w:t>
      </w:r>
      <w:r w:rsidR="00B73384">
        <w:rPr>
          <w:sz w:val="20"/>
          <w:szCs w:val="20"/>
        </w:rPr>
        <w:t xml:space="preserve">(i.e., </w:t>
      </w:r>
      <w:r w:rsidR="001919B5" w:rsidRPr="001919B5">
        <w:rPr>
          <w:sz w:val="20"/>
          <w:szCs w:val="20"/>
        </w:rPr>
        <w:t>Sibs-autism</w:t>
      </w:r>
      <w:r w:rsidR="00B73384">
        <w:rPr>
          <w:sz w:val="20"/>
          <w:szCs w:val="20"/>
        </w:rPr>
        <w:t>; infants with an older autistic sibling)</w:t>
      </w:r>
      <w:r w:rsidR="001919B5" w:rsidRPr="001919B5">
        <w:rPr>
          <w:sz w:val="20"/>
          <w:szCs w:val="20"/>
        </w:rPr>
        <w:t xml:space="preserve"> and infants at relatively lower, general-population level likelihood for autism (i.e., Sibs-NA; infant</w:t>
      </w:r>
      <w:r w:rsidR="00AD1C04">
        <w:rPr>
          <w:sz w:val="20"/>
          <w:szCs w:val="20"/>
        </w:rPr>
        <w:t>s</w:t>
      </w:r>
      <w:r w:rsidR="001919B5" w:rsidRPr="001919B5">
        <w:rPr>
          <w:sz w:val="20"/>
          <w:szCs w:val="20"/>
        </w:rPr>
        <w:t xml:space="preserve"> </w:t>
      </w:r>
      <w:r w:rsidR="0065364E">
        <w:rPr>
          <w:sz w:val="20"/>
          <w:szCs w:val="20"/>
        </w:rPr>
        <w:t>with only non-autistic older siblings</w:t>
      </w:r>
      <w:r w:rsidR="001919B5" w:rsidRPr="001919B5">
        <w:rPr>
          <w:sz w:val="20"/>
          <w:szCs w:val="20"/>
        </w:rPr>
        <w:t>)</w:t>
      </w:r>
      <w:r w:rsidR="003170CB">
        <w:rPr>
          <w:sz w:val="20"/>
          <w:szCs w:val="20"/>
        </w:rPr>
        <w:t>.</w:t>
      </w:r>
      <w:r w:rsidR="001919B5" w:rsidRPr="001919B5">
        <w:rPr>
          <w:sz w:val="20"/>
          <w:szCs w:val="20"/>
        </w:rPr>
        <w:t xml:space="preserve"> </w:t>
      </w:r>
      <w:r w:rsidR="003170CB">
        <w:rPr>
          <w:sz w:val="20"/>
          <w:szCs w:val="20"/>
        </w:rPr>
        <w:t xml:space="preserve">We specifically focused on two types of </w:t>
      </w:r>
      <w:r w:rsidR="001919B5" w:rsidRPr="001919B5">
        <w:rPr>
          <w:sz w:val="20"/>
          <w:szCs w:val="20"/>
        </w:rPr>
        <w:t>supported joint engagement</w:t>
      </w:r>
      <w:r w:rsidR="00B73384" w:rsidRPr="1035C322">
        <w:rPr>
          <w:color w:val="000000" w:themeColor="text1"/>
          <w:sz w:val="20"/>
          <w:szCs w:val="20"/>
        </w:rPr>
        <w:t xml:space="preserve">, </w:t>
      </w:r>
      <w:r w:rsidR="00A9571D">
        <w:rPr>
          <w:color w:val="000000" w:themeColor="text1"/>
          <w:sz w:val="20"/>
          <w:szCs w:val="20"/>
        </w:rPr>
        <w:t>which occur when</w:t>
      </w:r>
      <w:r w:rsidR="003170CB">
        <w:rPr>
          <w:color w:val="000000" w:themeColor="text1"/>
          <w:sz w:val="20"/>
          <w:szCs w:val="20"/>
        </w:rPr>
        <w:t xml:space="preserve"> </w:t>
      </w:r>
      <w:r w:rsidR="00B73384" w:rsidRPr="1035C322">
        <w:rPr>
          <w:color w:val="000000" w:themeColor="text1"/>
          <w:sz w:val="20"/>
          <w:szCs w:val="20"/>
        </w:rPr>
        <w:t>caregiver</w:t>
      </w:r>
      <w:r w:rsidR="003170CB">
        <w:rPr>
          <w:color w:val="000000" w:themeColor="text1"/>
          <w:sz w:val="20"/>
          <w:szCs w:val="20"/>
        </w:rPr>
        <w:t>s</w:t>
      </w:r>
      <w:r w:rsidR="00B73384" w:rsidRPr="1035C322">
        <w:rPr>
          <w:color w:val="000000" w:themeColor="text1"/>
          <w:sz w:val="20"/>
          <w:szCs w:val="20"/>
        </w:rPr>
        <w:t xml:space="preserve"> influence the</w:t>
      </w:r>
      <w:r w:rsidR="003170CB">
        <w:rPr>
          <w:color w:val="000000" w:themeColor="text1"/>
          <w:sz w:val="20"/>
          <w:szCs w:val="20"/>
        </w:rPr>
        <w:t>ir</w:t>
      </w:r>
      <w:r w:rsidR="00B73384" w:rsidRPr="1035C322">
        <w:rPr>
          <w:color w:val="000000" w:themeColor="text1"/>
          <w:sz w:val="20"/>
          <w:szCs w:val="20"/>
        </w:rPr>
        <w:t xml:space="preserve"> child</w:t>
      </w:r>
      <w:r w:rsidR="003170CB">
        <w:rPr>
          <w:color w:val="000000" w:themeColor="text1"/>
          <w:sz w:val="20"/>
          <w:szCs w:val="20"/>
        </w:rPr>
        <w:t>ren</w:t>
      </w:r>
      <w:r w:rsidR="00B73384" w:rsidRPr="1035C322">
        <w:rPr>
          <w:color w:val="000000" w:themeColor="text1"/>
          <w:sz w:val="20"/>
          <w:szCs w:val="20"/>
        </w:rPr>
        <w:t>’s toy play</w:t>
      </w:r>
      <w:r w:rsidR="003170CB">
        <w:rPr>
          <w:color w:val="000000" w:themeColor="text1"/>
          <w:sz w:val="20"/>
          <w:szCs w:val="20"/>
        </w:rPr>
        <w:t>:</w:t>
      </w:r>
      <w:r w:rsidR="00B73384">
        <w:rPr>
          <w:color w:val="000000"/>
          <w:sz w:val="20"/>
          <w:szCs w:val="20"/>
        </w:rPr>
        <w:t xml:space="preserve"> </w:t>
      </w:r>
      <w:r w:rsidR="003170CB">
        <w:rPr>
          <w:color w:val="000000"/>
          <w:sz w:val="20"/>
          <w:szCs w:val="20"/>
        </w:rPr>
        <w:t>h</w:t>
      </w:r>
      <w:r w:rsidR="00B73384">
        <w:rPr>
          <w:color w:val="000000"/>
          <w:sz w:val="20"/>
          <w:szCs w:val="20"/>
        </w:rPr>
        <w:t xml:space="preserve">igher-order supported joint engagement (HSJE) involves reciprocity with the caregiver from the child (e.g., turn-taking, imitating), and lower-order supported joint engagement (LSJE), involves little to no reciprocity in play from the child. </w:t>
      </w:r>
      <w:r w:rsidR="00B73384">
        <w:rPr>
          <w:sz w:val="20"/>
          <w:szCs w:val="20"/>
        </w:rPr>
        <w:t xml:space="preserve">Our research questions were: </w:t>
      </w:r>
      <w:r w:rsidR="003170CB">
        <w:rPr>
          <w:sz w:val="20"/>
          <w:szCs w:val="20"/>
        </w:rPr>
        <w:br/>
      </w:r>
      <w:r w:rsidR="00B73384">
        <w:rPr>
          <w:sz w:val="20"/>
          <w:szCs w:val="20"/>
        </w:rPr>
        <w:t>(1)</w:t>
      </w:r>
      <w:r w:rsidR="00DC2879">
        <w:rPr>
          <w:sz w:val="20"/>
          <w:szCs w:val="20"/>
        </w:rPr>
        <w:t xml:space="preserve"> </w:t>
      </w:r>
      <w:r w:rsidR="00B73384">
        <w:rPr>
          <w:sz w:val="20"/>
          <w:szCs w:val="20"/>
        </w:rPr>
        <w:t>Do</w:t>
      </w:r>
      <w:r w:rsidR="00DC2879">
        <w:rPr>
          <w:sz w:val="20"/>
          <w:szCs w:val="20"/>
        </w:rPr>
        <w:t xml:space="preserve"> sibling groups differ in the amount of time they spend in supported joint engagement (</w:t>
      </w:r>
      <w:r w:rsidR="00DC2879" w:rsidRPr="00DC2879">
        <w:rPr>
          <w:sz w:val="20"/>
          <w:szCs w:val="20"/>
        </w:rPr>
        <w:t>i.e., HSJE, LSJE, or total supported joint engagement)</w:t>
      </w:r>
      <w:r w:rsidR="00B73384">
        <w:rPr>
          <w:sz w:val="20"/>
          <w:szCs w:val="20"/>
        </w:rPr>
        <w:t>?</w:t>
      </w:r>
      <w:r w:rsidR="00AD1C04">
        <w:rPr>
          <w:sz w:val="20"/>
          <w:szCs w:val="20"/>
        </w:rPr>
        <w:t>;</w:t>
      </w:r>
      <w:r w:rsidR="00B73384">
        <w:rPr>
          <w:sz w:val="20"/>
          <w:szCs w:val="20"/>
        </w:rPr>
        <w:t xml:space="preserve"> </w:t>
      </w:r>
      <w:r w:rsidR="003170CB">
        <w:rPr>
          <w:sz w:val="20"/>
          <w:szCs w:val="20"/>
        </w:rPr>
        <w:br/>
      </w:r>
      <w:r w:rsidR="00B73384">
        <w:rPr>
          <w:sz w:val="20"/>
          <w:szCs w:val="20"/>
        </w:rPr>
        <w:t>(2) To what extent is</w:t>
      </w:r>
      <w:r w:rsidR="006B3B99">
        <w:rPr>
          <w:sz w:val="20"/>
          <w:szCs w:val="20"/>
        </w:rPr>
        <w:t xml:space="preserve"> </w:t>
      </w:r>
      <w:r w:rsidR="00DC2879">
        <w:rPr>
          <w:sz w:val="20"/>
          <w:szCs w:val="20"/>
        </w:rPr>
        <w:t xml:space="preserve">early sensory responsiveness </w:t>
      </w:r>
      <w:r w:rsidR="006B3B99">
        <w:rPr>
          <w:sz w:val="20"/>
          <w:szCs w:val="20"/>
        </w:rPr>
        <w:t>(</w:t>
      </w:r>
      <w:r w:rsidR="006B3B99" w:rsidRPr="006B3B99">
        <w:rPr>
          <w:sz w:val="20"/>
          <w:szCs w:val="20"/>
        </w:rPr>
        <w:t>i.e., hyporesponsiveness, hyperresponsiveness, or sensory seeking)</w:t>
      </w:r>
      <w:r w:rsidR="006B3B99">
        <w:rPr>
          <w:sz w:val="20"/>
          <w:szCs w:val="20"/>
        </w:rPr>
        <w:t xml:space="preserve"> </w:t>
      </w:r>
      <w:r w:rsidR="00DC2879">
        <w:rPr>
          <w:sz w:val="20"/>
          <w:szCs w:val="20"/>
        </w:rPr>
        <w:t xml:space="preserve">associated with </w:t>
      </w:r>
      <w:commentRangeStart w:id="1"/>
      <w:commentRangeStart w:id="2"/>
      <w:r w:rsidR="00DC2879">
        <w:rPr>
          <w:sz w:val="20"/>
          <w:szCs w:val="20"/>
        </w:rPr>
        <w:t>supported joint engagement</w:t>
      </w:r>
      <w:r w:rsidR="006B3B99">
        <w:rPr>
          <w:sz w:val="20"/>
          <w:szCs w:val="20"/>
        </w:rPr>
        <w:t xml:space="preserve"> </w:t>
      </w:r>
      <w:commentRangeEnd w:id="1"/>
      <w:r w:rsidR="00A9571D">
        <w:rPr>
          <w:rStyle w:val="CommentReference"/>
        </w:rPr>
        <w:commentReference w:id="1"/>
      </w:r>
      <w:commentRangeEnd w:id="2"/>
      <w:r w:rsidR="00AD1C04">
        <w:rPr>
          <w:rStyle w:val="CommentReference"/>
        </w:rPr>
        <w:commentReference w:id="2"/>
      </w:r>
      <w:r w:rsidR="006B3B99" w:rsidRPr="006B3B99">
        <w:rPr>
          <w:sz w:val="20"/>
          <w:szCs w:val="20"/>
        </w:rPr>
        <w:t>(i.e., HSJE, LSJE, or total supported joint engagement)</w:t>
      </w:r>
      <w:r w:rsidR="006B3B99">
        <w:rPr>
          <w:sz w:val="20"/>
          <w:szCs w:val="20"/>
        </w:rPr>
        <w:t xml:space="preserve"> across sibling groups</w:t>
      </w:r>
      <w:r w:rsidR="00B73384">
        <w:rPr>
          <w:sz w:val="20"/>
          <w:szCs w:val="20"/>
        </w:rPr>
        <w:t>?</w:t>
      </w:r>
      <w:r w:rsidR="00AD1C04">
        <w:rPr>
          <w:sz w:val="20"/>
          <w:szCs w:val="20"/>
        </w:rPr>
        <w:t>;</w:t>
      </w:r>
      <w:r w:rsidR="006B3B99">
        <w:rPr>
          <w:sz w:val="20"/>
          <w:szCs w:val="20"/>
        </w:rPr>
        <w:t xml:space="preserve"> and </w:t>
      </w:r>
      <w:r w:rsidR="003170CB">
        <w:rPr>
          <w:sz w:val="20"/>
          <w:szCs w:val="20"/>
        </w:rPr>
        <w:br/>
      </w:r>
      <w:r w:rsidR="00B73384">
        <w:rPr>
          <w:sz w:val="20"/>
          <w:szCs w:val="20"/>
        </w:rPr>
        <w:t>(3) Do</w:t>
      </w:r>
      <w:r w:rsidR="006B3B99">
        <w:rPr>
          <w:sz w:val="20"/>
          <w:szCs w:val="20"/>
        </w:rPr>
        <w:t xml:space="preserve"> associations between early sensory responsiveness and supported joint engagement </w:t>
      </w:r>
      <w:r w:rsidR="0099254A">
        <w:rPr>
          <w:sz w:val="20"/>
          <w:szCs w:val="20"/>
        </w:rPr>
        <w:t xml:space="preserve">vary </w:t>
      </w:r>
      <w:r w:rsidR="006B3B99">
        <w:rPr>
          <w:sz w:val="20"/>
          <w:szCs w:val="20"/>
        </w:rPr>
        <w:t>by sibling group</w:t>
      </w:r>
      <w:r w:rsidR="00B73384">
        <w:rPr>
          <w:sz w:val="20"/>
          <w:szCs w:val="20"/>
        </w:rPr>
        <w:t>?</w:t>
      </w:r>
    </w:p>
    <w:p w14:paraId="7AC50373" w14:textId="5F89F463" w:rsidR="003D6244" w:rsidRDefault="003D6244" w:rsidP="0065364E">
      <w:pPr>
        <w:rPr>
          <w:color w:val="000000"/>
          <w:sz w:val="20"/>
          <w:szCs w:val="20"/>
          <w:lang w:val="en-GB"/>
        </w:rPr>
      </w:pPr>
      <w:r w:rsidRPr="7CB7382F">
        <w:rPr>
          <w:b/>
          <w:bCs/>
          <w:color w:val="000000" w:themeColor="text1"/>
          <w:sz w:val="20"/>
          <w:szCs w:val="20"/>
          <w:lang w:val="en-GB"/>
        </w:rPr>
        <w:t>Method</w:t>
      </w:r>
      <w:r w:rsidRPr="7CB7382F">
        <w:rPr>
          <w:color w:val="000000" w:themeColor="text1"/>
          <w:sz w:val="20"/>
          <w:szCs w:val="20"/>
          <w:lang w:val="en-GB"/>
        </w:rPr>
        <w:t>:</w:t>
      </w:r>
      <w:r w:rsidR="00D8118B" w:rsidRPr="7CB7382F">
        <w:rPr>
          <w:color w:val="000000" w:themeColor="text1"/>
          <w:sz w:val="20"/>
          <w:szCs w:val="20"/>
          <w:lang w:val="en-GB"/>
        </w:rPr>
        <w:t xml:space="preserve"> </w:t>
      </w:r>
      <w:r w:rsidR="00B73384" w:rsidRPr="7CB7382F">
        <w:rPr>
          <w:color w:val="000000" w:themeColor="text1"/>
          <w:sz w:val="20"/>
          <w:szCs w:val="20"/>
          <w:lang w:val="en-GB"/>
        </w:rPr>
        <w:t>We recruited</w:t>
      </w:r>
      <w:r w:rsidR="00D8118B" w:rsidRPr="7CB7382F">
        <w:rPr>
          <w:color w:val="000000" w:themeColor="text1"/>
          <w:sz w:val="20"/>
          <w:szCs w:val="20"/>
          <w:lang w:val="en-GB"/>
        </w:rPr>
        <w:t xml:space="preserve"> 50 monolingual English-speaking infants (27 Sibs-autism and 23 Sibs-NA) matched at the group level on </w:t>
      </w:r>
      <w:r w:rsidR="00A9571D" w:rsidRPr="7CB7382F">
        <w:rPr>
          <w:color w:val="000000" w:themeColor="text1"/>
          <w:sz w:val="20"/>
          <w:szCs w:val="20"/>
          <w:lang w:val="en-GB"/>
        </w:rPr>
        <w:t>sex assigned at birth</w:t>
      </w:r>
      <w:r w:rsidR="00D8118B" w:rsidRPr="7CB7382F">
        <w:rPr>
          <w:color w:val="000000" w:themeColor="text1"/>
          <w:sz w:val="20"/>
          <w:szCs w:val="20"/>
          <w:lang w:val="en-GB"/>
        </w:rPr>
        <w:t xml:space="preserve"> and chronological age. At the first timepoint in the study (i.e., Time 1, at infant </w:t>
      </w:r>
      <w:proofErr w:type="gramStart"/>
      <w:r w:rsidR="00D8118B" w:rsidRPr="7CB7382F">
        <w:rPr>
          <w:color w:val="000000" w:themeColor="text1"/>
          <w:sz w:val="20"/>
          <w:szCs w:val="20"/>
          <w:lang w:val="en-GB"/>
        </w:rPr>
        <w:t>age</w:t>
      </w:r>
      <w:proofErr w:type="gramEnd"/>
      <w:r w:rsidR="00D8118B" w:rsidRPr="7CB7382F">
        <w:rPr>
          <w:color w:val="000000" w:themeColor="text1"/>
          <w:sz w:val="20"/>
          <w:szCs w:val="20"/>
          <w:lang w:val="en-GB"/>
        </w:rPr>
        <w:t xml:space="preserve"> 12</w:t>
      </w:r>
      <w:r w:rsidR="00DC2879" w:rsidRPr="7CB7382F">
        <w:rPr>
          <w:color w:val="000000" w:themeColor="text1"/>
          <w:sz w:val="20"/>
          <w:szCs w:val="20"/>
          <w:lang w:val="en-GB"/>
        </w:rPr>
        <w:t>–</w:t>
      </w:r>
      <w:r w:rsidR="00D8118B" w:rsidRPr="7CB7382F">
        <w:rPr>
          <w:color w:val="000000" w:themeColor="text1"/>
          <w:sz w:val="20"/>
          <w:szCs w:val="20"/>
          <w:lang w:val="en-GB"/>
        </w:rPr>
        <w:t xml:space="preserve">18 months), each caregiver completed two surveys regarding their infant’s patterns of </w:t>
      </w:r>
      <w:r w:rsidR="00B73384" w:rsidRPr="7CB7382F">
        <w:rPr>
          <w:color w:val="000000" w:themeColor="text1"/>
          <w:sz w:val="20"/>
          <w:szCs w:val="20"/>
          <w:lang w:val="en-GB"/>
        </w:rPr>
        <w:t xml:space="preserve">sensory </w:t>
      </w:r>
      <w:r w:rsidR="1BEE8248" w:rsidRPr="7CB7382F">
        <w:rPr>
          <w:color w:val="000000" w:themeColor="text1"/>
          <w:sz w:val="20"/>
          <w:szCs w:val="20"/>
          <w:lang w:val="en-GB"/>
        </w:rPr>
        <w:t>responsiveness</w:t>
      </w:r>
      <w:r w:rsidR="00D8118B" w:rsidRPr="7CB7382F">
        <w:rPr>
          <w:color w:val="000000" w:themeColor="text1"/>
          <w:sz w:val="20"/>
          <w:szCs w:val="20"/>
          <w:lang w:val="en-GB"/>
        </w:rPr>
        <w:t xml:space="preserve">: the Sensory Experiences Questionnaire (SEQ) and the Infant/Toddler Sensory Profile Caregiver Questionnaire (SPCQ). Approximately 9 months later (i.e., Time 2; at infant </w:t>
      </w:r>
      <w:proofErr w:type="gramStart"/>
      <w:r w:rsidR="00D8118B" w:rsidRPr="7CB7382F">
        <w:rPr>
          <w:color w:val="000000" w:themeColor="text1"/>
          <w:sz w:val="20"/>
          <w:szCs w:val="20"/>
          <w:lang w:val="en-GB"/>
        </w:rPr>
        <w:t>age</w:t>
      </w:r>
      <w:proofErr w:type="gramEnd"/>
      <w:r w:rsidR="00D8118B" w:rsidRPr="7CB7382F">
        <w:rPr>
          <w:color w:val="000000" w:themeColor="text1"/>
          <w:sz w:val="20"/>
          <w:szCs w:val="20"/>
          <w:lang w:val="en-GB"/>
        </w:rPr>
        <w:t xml:space="preserve"> 21</w:t>
      </w:r>
      <w:r w:rsidR="00DC2879" w:rsidRPr="7CB7382F">
        <w:rPr>
          <w:color w:val="000000" w:themeColor="text1"/>
          <w:sz w:val="20"/>
          <w:szCs w:val="20"/>
          <w:lang w:val="en-GB"/>
        </w:rPr>
        <w:t>–</w:t>
      </w:r>
      <w:r w:rsidR="00D8118B" w:rsidRPr="7CB7382F">
        <w:rPr>
          <w:color w:val="000000" w:themeColor="text1"/>
          <w:sz w:val="20"/>
          <w:szCs w:val="20"/>
          <w:lang w:val="en-GB"/>
        </w:rPr>
        <w:t>27 months), infants engaged in two, 15-minute free play sessions with their primary caregiver using a standardized toy set. A previously developed, timed-event coding scheme (</w:t>
      </w:r>
      <w:proofErr w:type="spellStart"/>
      <w:r w:rsidR="00D8118B" w:rsidRPr="7CB7382F">
        <w:rPr>
          <w:color w:val="000000" w:themeColor="text1"/>
          <w:sz w:val="20"/>
          <w:szCs w:val="20"/>
          <w:lang w:val="en-GB"/>
        </w:rPr>
        <w:t>Bottema-Beutel</w:t>
      </w:r>
      <w:proofErr w:type="spellEnd"/>
      <w:r w:rsidR="00D8118B" w:rsidRPr="7CB7382F">
        <w:rPr>
          <w:color w:val="000000" w:themeColor="text1"/>
          <w:sz w:val="20"/>
          <w:szCs w:val="20"/>
          <w:lang w:val="en-GB"/>
        </w:rPr>
        <w:t xml:space="preserve"> et al., 2014) was utilized to code the free play sessions </w:t>
      </w:r>
      <w:bookmarkStart w:id="3" w:name="_Int_o4djRdhZ"/>
      <w:proofErr w:type="gramStart"/>
      <w:r w:rsidR="00D8118B" w:rsidRPr="7CB7382F">
        <w:rPr>
          <w:color w:val="000000" w:themeColor="text1"/>
          <w:sz w:val="20"/>
          <w:szCs w:val="20"/>
          <w:lang w:val="en-GB"/>
        </w:rPr>
        <w:t>for the amount of</w:t>
      </w:r>
      <w:bookmarkEnd w:id="3"/>
      <w:proofErr w:type="gramEnd"/>
      <w:r w:rsidR="00D8118B" w:rsidRPr="7CB7382F">
        <w:rPr>
          <w:color w:val="000000" w:themeColor="text1"/>
          <w:sz w:val="20"/>
          <w:szCs w:val="20"/>
          <w:lang w:val="en-GB"/>
        </w:rPr>
        <w:t xml:space="preserve"> time that caregiver-child dyads spent in (a) HSJE, (b) LSJE, and (c) total supported joint engagement. </w:t>
      </w:r>
      <w:r w:rsidR="00A86E6E" w:rsidRPr="7CB7382F">
        <w:rPr>
          <w:color w:val="000000" w:themeColor="text1"/>
          <w:sz w:val="20"/>
          <w:szCs w:val="20"/>
          <w:lang w:val="en-GB"/>
        </w:rPr>
        <w:t xml:space="preserve">Relevant </w:t>
      </w:r>
      <w:proofErr w:type="spellStart"/>
      <w:r w:rsidR="00A86E6E" w:rsidRPr="7CB7382F">
        <w:rPr>
          <w:color w:val="000000" w:themeColor="text1"/>
          <w:sz w:val="20"/>
          <w:szCs w:val="20"/>
          <w:lang w:val="en-GB"/>
        </w:rPr>
        <w:t>subscores</w:t>
      </w:r>
      <w:proofErr w:type="spellEnd"/>
      <w:r w:rsidR="00A86E6E" w:rsidRPr="7CB7382F">
        <w:rPr>
          <w:color w:val="000000" w:themeColor="text1"/>
          <w:sz w:val="20"/>
          <w:szCs w:val="20"/>
          <w:lang w:val="en-GB"/>
        </w:rPr>
        <w:t xml:space="preserve"> for the SEQ and the SPCQ for </w:t>
      </w:r>
      <w:proofErr w:type="spellStart"/>
      <w:r w:rsidR="00A86E6E" w:rsidRPr="7CB7382F">
        <w:rPr>
          <w:color w:val="000000" w:themeColor="text1"/>
          <w:sz w:val="20"/>
          <w:szCs w:val="20"/>
          <w:lang w:val="en-GB"/>
        </w:rPr>
        <w:t>hyporesponsiveness</w:t>
      </w:r>
      <w:proofErr w:type="spellEnd"/>
      <w:r w:rsidR="00A86E6E" w:rsidRPr="7CB7382F">
        <w:rPr>
          <w:color w:val="000000" w:themeColor="text1"/>
          <w:sz w:val="20"/>
          <w:szCs w:val="20"/>
          <w:lang w:val="en-GB"/>
        </w:rPr>
        <w:t>, hyperresponsiveness, and sensory seeking were derived and aggregated for use in analyses (</w:t>
      </w:r>
      <w:r w:rsidR="00A86E6E" w:rsidRPr="7CB7382F">
        <w:rPr>
          <w:i/>
          <w:iCs/>
          <w:color w:val="000000" w:themeColor="text1"/>
          <w:sz w:val="20"/>
          <w:szCs w:val="20"/>
          <w:lang w:val="en-GB"/>
        </w:rPr>
        <w:t>r</w:t>
      </w:r>
      <w:r w:rsidR="00A86E6E" w:rsidRPr="7CB7382F">
        <w:rPr>
          <w:color w:val="000000" w:themeColor="text1"/>
          <w:sz w:val="20"/>
          <w:szCs w:val="20"/>
          <w:lang w:val="en-GB"/>
        </w:rPr>
        <w:t xml:space="preserve"> values for relevant </w:t>
      </w:r>
      <w:proofErr w:type="spellStart"/>
      <w:r w:rsidR="00A86E6E" w:rsidRPr="7CB7382F">
        <w:rPr>
          <w:color w:val="000000" w:themeColor="text1"/>
          <w:sz w:val="20"/>
          <w:szCs w:val="20"/>
          <w:lang w:val="en-GB"/>
        </w:rPr>
        <w:t>subscores</w:t>
      </w:r>
      <w:proofErr w:type="spellEnd"/>
      <w:r w:rsidR="00A86E6E" w:rsidRPr="7CB7382F">
        <w:rPr>
          <w:color w:val="000000" w:themeColor="text1"/>
          <w:sz w:val="20"/>
          <w:szCs w:val="20"/>
          <w:lang w:val="en-GB"/>
        </w:rPr>
        <w:t xml:space="preserve"> ranged from .57-.72). Engagement state scores were averaged across the two 15-minute play sessions for use in analyses. Independent-samples t-tests were run to evaluate mean differences in time spent in supported joint engagement for Sibs-autism versus Sibs-NA. A series of regression models was conducted to assess associations between </w:t>
      </w:r>
      <w:proofErr w:type="spellStart"/>
      <w:r w:rsidR="00A86E6E" w:rsidRPr="7CB7382F">
        <w:rPr>
          <w:color w:val="000000" w:themeColor="text1"/>
          <w:sz w:val="20"/>
          <w:szCs w:val="20"/>
          <w:lang w:val="en-GB"/>
        </w:rPr>
        <w:t>hyporesponsiveness</w:t>
      </w:r>
      <w:proofErr w:type="spellEnd"/>
      <w:r w:rsidR="00A86E6E" w:rsidRPr="7CB7382F">
        <w:rPr>
          <w:color w:val="000000" w:themeColor="text1"/>
          <w:sz w:val="20"/>
          <w:szCs w:val="20"/>
          <w:lang w:val="en-GB"/>
        </w:rPr>
        <w:t xml:space="preserve">, hyperresponsiveness, and sensory seeking and later HSJE, LSJE, and total supported joint engagement. Sibling group was considered as a putative moderator of the relations of interest. </w:t>
      </w:r>
    </w:p>
    <w:p w14:paraId="28D6DE62" w14:textId="255819D4" w:rsidR="002E79CD" w:rsidRPr="001919B5" w:rsidRDefault="003D6244" w:rsidP="001919B5">
      <w:pPr>
        <w:rPr>
          <w:color w:val="000000"/>
          <w:sz w:val="20"/>
          <w:szCs w:val="20"/>
          <w:lang w:val="en-GB"/>
        </w:rPr>
      </w:pPr>
      <w:r w:rsidRPr="1035C322">
        <w:rPr>
          <w:b/>
          <w:bCs/>
          <w:color w:val="000000" w:themeColor="text1"/>
          <w:sz w:val="20"/>
          <w:szCs w:val="20"/>
          <w:lang w:val="en-GB"/>
        </w:rPr>
        <w:t>Results</w:t>
      </w:r>
      <w:r w:rsidRPr="1035C322">
        <w:rPr>
          <w:color w:val="000000" w:themeColor="text1"/>
          <w:sz w:val="20"/>
          <w:szCs w:val="20"/>
          <w:lang w:val="en-GB"/>
        </w:rPr>
        <w:t xml:space="preserve">: </w:t>
      </w:r>
      <w:r w:rsidR="001919B5" w:rsidRPr="1035C322">
        <w:rPr>
          <w:color w:val="000000" w:themeColor="text1"/>
          <w:sz w:val="20"/>
          <w:szCs w:val="20"/>
          <w:lang w:val="en-GB"/>
        </w:rPr>
        <w:t>There was a significant between-group difference in the total time spent in supported joint engagement (</w:t>
      </w:r>
      <w:proofErr w:type="gramStart"/>
      <w:r w:rsidR="001919B5" w:rsidRPr="1035C322">
        <w:rPr>
          <w:i/>
          <w:iCs/>
          <w:color w:val="000000" w:themeColor="text1"/>
          <w:sz w:val="20"/>
          <w:szCs w:val="20"/>
          <w:lang w:val="en-GB"/>
        </w:rPr>
        <w:t>t</w:t>
      </w:r>
      <w:r w:rsidR="001919B5" w:rsidRPr="1035C322">
        <w:rPr>
          <w:color w:val="000000" w:themeColor="text1"/>
          <w:sz w:val="20"/>
          <w:szCs w:val="20"/>
          <w:lang w:val="en-GB"/>
        </w:rPr>
        <w:t>(</w:t>
      </w:r>
      <w:proofErr w:type="gramEnd"/>
      <w:r w:rsidR="001919B5" w:rsidRPr="1035C322">
        <w:rPr>
          <w:color w:val="000000" w:themeColor="text1"/>
          <w:sz w:val="20"/>
          <w:szCs w:val="20"/>
          <w:lang w:val="en-GB"/>
        </w:rPr>
        <w:t xml:space="preserve">48) = –2.17, </w:t>
      </w:r>
      <w:r w:rsidR="001919B5" w:rsidRPr="1035C322">
        <w:rPr>
          <w:i/>
          <w:iCs/>
          <w:color w:val="000000" w:themeColor="text1"/>
          <w:sz w:val="20"/>
          <w:szCs w:val="20"/>
          <w:lang w:val="en-GB"/>
        </w:rPr>
        <w:t>p</w:t>
      </w:r>
      <w:r w:rsidR="003170CB">
        <w:rPr>
          <w:i/>
          <w:iCs/>
          <w:color w:val="000000" w:themeColor="text1"/>
          <w:sz w:val="20"/>
          <w:szCs w:val="20"/>
          <w:lang w:val="en-GB"/>
        </w:rPr>
        <w:t> </w:t>
      </w:r>
      <w:r w:rsidR="001919B5" w:rsidRPr="1035C322">
        <w:rPr>
          <w:color w:val="000000" w:themeColor="text1"/>
          <w:sz w:val="20"/>
          <w:szCs w:val="20"/>
          <w:lang w:val="en-GB"/>
        </w:rPr>
        <w:t>=</w:t>
      </w:r>
      <w:r w:rsidR="003170CB">
        <w:rPr>
          <w:color w:val="000000" w:themeColor="text1"/>
          <w:sz w:val="20"/>
          <w:szCs w:val="20"/>
          <w:lang w:val="en-GB"/>
        </w:rPr>
        <w:t> </w:t>
      </w:r>
      <w:r w:rsidR="001919B5" w:rsidRPr="1035C322">
        <w:rPr>
          <w:color w:val="000000" w:themeColor="text1"/>
          <w:sz w:val="20"/>
          <w:szCs w:val="20"/>
          <w:lang w:val="en-GB"/>
        </w:rPr>
        <w:t xml:space="preserve">.035, Cohen’s </w:t>
      </w:r>
      <w:r w:rsidR="001919B5" w:rsidRPr="1035C322">
        <w:rPr>
          <w:i/>
          <w:iCs/>
          <w:color w:val="000000" w:themeColor="text1"/>
          <w:sz w:val="20"/>
          <w:szCs w:val="20"/>
          <w:lang w:val="en-GB"/>
        </w:rPr>
        <w:t>d</w:t>
      </w:r>
      <w:r w:rsidR="001919B5" w:rsidRPr="1035C322">
        <w:rPr>
          <w:color w:val="000000" w:themeColor="text1"/>
          <w:sz w:val="20"/>
          <w:szCs w:val="20"/>
          <w:lang w:val="en-GB"/>
        </w:rPr>
        <w:t xml:space="preserve"> = 0.63), such that Sibs-NA spent significantly more time on average in total supported joint engagement compared to Sibs-autism</w:t>
      </w:r>
      <w:r w:rsidR="00B73384" w:rsidRPr="1035C322">
        <w:rPr>
          <w:color w:val="000000" w:themeColor="text1"/>
          <w:sz w:val="20"/>
          <w:szCs w:val="20"/>
          <w:lang w:val="en-GB"/>
        </w:rPr>
        <w:t>, with a moderate effect size</w:t>
      </w:r>
      <w:r w:rsidR="001919B5" w:rsidRPr="1035C322">
        <w:rPr>
          <w:color w:val="000000" w:themeColor="text1"/>
          <w:sz w:val="20"/>
          <w:szCs w:val="20"/>
          <w:lang w:val="en-GB"/>
        </w:rPr>
        <w:t>. There were no significant between-group differences in the amount of time spent in LSJE or HSJE</w:t>
      </w:r>
      <w:r w:rsidR="003170CB">
        <w:rPr>
          <w:color w:val="000000" w:themeColor="text1"/>
          <w:sz w:val="20"/>
          <w:szCs w:val="20"/>
          <w:lang w:val="en-GB"/>
        </w:rPr>
        <w:t>. I</w:t>
      </w:r>
      <w:r w:rsidR="001919B5" w:rsidRPr="1035C322">
        <w:rPr>
          <w:color w:val="000000" w:themeColor="text1"/>
          <w:sz w:val="20"/>
          <w:szCs w:val="20"/>
          <w:lang w:val="en-GB"/>
        </w:rPr>
        <w:t>ndices of sensory responsiveness and later engagement states</w:t>
      </w:r>
      <w:r w:rsidR="003170CB">
        <w:rPr>
          <w:color w:val="000000" w:themeColor="text1"/>
          <w:sz w:val="20"/>
          <w:szCs w:val="20"/>
          <w:lang w:val="en-GB"/>
        </w:rPr>
        <w:t xml:space="preserve"> were not significantly correlated across groups</w:t>
      </w:r>
      <w:r w:rsidR="001919B5" w:rsidRPr="1035C322">
        <w:rPr>
          <w:color w:val="000000" w:themeColor="text1"/>
          <w:sz w:val="20"/>
          <w:szCs w:val="20"/>
          <w:lang w:val="en-GB"/>
        </w:rPr>
        <w:t>. However, sibling group significantly moderated the associations between sensory hyperresponsiveness and (a) HSJE and (b) total time spent in supported joint engagement (</w:t>
      </w:r>
      <w:r w:rsidR="001919B5" w:rsidRPr="1035C322">
        <w:rPr>
          <w:i/>
          <w:iCs/>
          <w:color w:val="000000" w:themeColor="text1"/>
          <w:sz w:val="20"/>
          <w:szCs w:val="20"/>
          <w:lang w:val="en-GB"/>
        </w:rPr>
        <w:t>p</w:t>
      </w:r>
      <w:r w:rsidR="001919B5" w:rsidRPr="1035C322">
        <w:rPr>
          <w:color w:val="000000" w:themeColor="text1"/>
          <w:sz w:val="20"/>
          <w:szCs w:val="20"/>
          <w:lang w:val="en-GB"/>
        </w:rPr>
        <w:t xml:space="preserve"> values for hyperresponsiveness x sibling group </w:t>
      </w:r>
      <w:r w:rsidR="003170CB">
        <w:rPr>
          <w:color w:val="000000" w:themeColor="text1"/>
          <w:sz w:val="20"/>
          <w:szCs w:val="20"/>
          <w:lang w:val="en-GB"/>
        </w:rPr>
        <w:t xml:space="preserve">interaction term </w:t>
      </w:r>
      <w:r w:rsidR="001919B5" w:rsidRPr="1035C322">
        <w:rPr>
          <w:color w:val="000000" w:themeColor="text1"/>
          <w:sz w:val="20"/>
          <w:szCs w:val="20"/>
          <w:lang w:val="en-GB"/>
        </w:rPr>
        <w:t xml:space="preserve">= .002 and .003 for the </w:t>
      </w:r>
      <w:proofErr w:type="gramStart"/>
      <w:r w:rsidR="001919B5" w:rsidRPr="1035C322">
        <w:rPr>
          <w:color w:val="000000" w:themeColor="text1"/>
          <w:sz w:val="20"/>
          <w:szCs w:val="20"/>
          <w:lang w:val="en-GB"/>
        </w:rPr>
        <w:t>aforementioned relations</w:t>
      </w:r>
      <w:proofErr w:type="gramEnd"/>
      <w:r w:rsidR="001919B5" w:rsidRPr="1035C322">
        <w:rPr>
          <w:color w:val="000000" w:themeColor="text1"/>
          <w:sz w:val="20"/>
          <w:szCs w:val="20"/>
          <w:lang w:val="en-GB"/>
        </w:rPr>
        <w:t xml:space="preserve">, respectively). These correlations were positive and significant in Sibs-NA (HSJE: </w:t>
      </w:r>
      <w:r w:rsidR="001919B5" w:rsidRPr="1035C322">
        <w:rPr>
          <w:i/>
          <w:iCs/>
          <w:color w:val="000000" w:themeColor="text1"/>
          <w:sz w:val="20"/>
          <w:szCs w:val="20"/>
          <w:lang w:val="en-GB"/>
        </w:rPr>
        <w:t>r</w:t>
      </w:r>
      <w:r w:rsidR="001919B5" w:rsidRPr="1035C322">
        <w:rPr>
          <w:color w:val="000000" w:themeColor="text1"/>
          <w:sz w:val="20"/>
          <w:szCs w:val="20"/>
          <w:lang w:val="en-GB"/>
        </w:rPr>
        <w:t xml:space="preserve"> = .73, </w:t>
      </w:r>
      <w:r w:rsidR="001919B5" w:rsidRPr="1035C322">
        <w:rPr>
          <w:i/>
          <w:iCs/>
          <w:color w:val="000000" w:themeColor="text1"/>
          <w:sz w:val="20"/>
          <w:szCs w:val="20"/>
          <w:lang w:val="en-GB"/>
        </w:rPr>
        <w:t>p</w:t>
      </w:r>
      <w:r w:rsidR="001919B5" w:rsidRPr="1035C322">
        <w:rPr>
          <w:color w:val="000000" w:themeColor="text1"/>
          <w:sz w:val="20"/>
          <w:szCs w:val="20"/>
          <w:lang w:val="en-GB"/>
        </w:rPr>
        <w:t xml:space="preserve"> &lt; .001; total time spent in supported joint engagement: </w:t>
      </w:r>
      <w:r w:rsidR="001919B5" w:rsidRPr="1035C322">
        <w:rPr>
          <w:i/>
          <w:iCs/>
          <w:color w:val="000000" w:themeColor="text1"/>
          <w:sz w:val="20"/>
          <w:szCs w:val="20"/>
          <w:lang w:val="en-GB"/>
        </w:rPr>
        <w:t>r</w:t>
      </w:r>
      <w:r w:rsidR="001919B5" w:rsidRPr="1035C322">
        <w:rPr>
          <w:color w:val="000000" w:themeColor="text1"/>
          <w:sz w:val="20"/>
          <w:szCs w:val="20"/>
          <w:lang w:val="en-GB"/>
        </w:rPr>
        <w:t xml:space="preserve"> = .50, </w:t>
      </w:r>
      <w:r w:rsidR="001919B5" w:rsidRPr="1035C322">
        <w:rPr>
          <w:i/>
          <w:iCs/>
          <w:color w:val="000000" w:themeColor="text1"/>
          <w:sz w:val="20"/>
          <w:szCs w:val="20"/>
          <w:lang w:val="en-GB"/>
        </w:rPr>
        <w:t>p</w:t>
      </w:r>
      <w:r w:rsidR="001919B5" w:rsidRPr="1035C322">
        <w:rPr>
          <w:color w:val="000000" w:themeColor="text1"/>
          <w:sz w:val="20"/>
          <w:szCs w:val="20"/>
          <w:lang w:val="en-GB"/>
        </w:rPr>
        <w:t xml:space="preserve"> = .016). There were no significant associations between any indices of sensory responsiveness and supported joint engagement in the Sibs-autism group.  </w:t>
      </w:r>
    </w:p>
    <w:p w14:paraId="739D5629" w14:textId="213F220D" w:rsidR="006851F9" w:rsidRDefault="003D6244" w:rsidP="00FB69E5">
      <w:pPr>
        <w:rPr>
          <w:iCs/>
          <w:color w:val="000000"/>
          <w:sz w:val="20"/>
          <w:szCs w:val="20"/>
        </w:rPr>
      </w:pPr>
      <w:r>
        <w:rPr>
          <w:b/>
          <w:iCs/>
          <w:color w:val="000000"/>
          <w:sz w:val="20"/>
          <w:szCs w:val="20"/>
          <w:lang w:val="en-GB"/>
        </w:rPr>
        <w:t xml:space="preserve">Discussion: </w:t>
      </w:r>
      <w:r w:rsidR="001919B5" w:rsidRPr="001919B5">
        <w:rPr>
          <w:bCs/>
          <w:iCs/>
          <w:color w:val="000000"/>
          <w:sz w:val="20"/>
          <w:szCs w:val="20"/>
          <w:lang w:val="en-GB"/>
        </w:rPr>
        <w:t xml:space="preserve">These findings indicate that theorized relations between early sensory responsiveness and later engagement states may be stronger in Sibs-NA than in Sibs-autism. Future work will investigate other factors that may explain the relations that </w:t>
      </w:r>
      <w:r w:rsidR="001919B5" w:rsidRPr="001919B5">
        <w:rPr>
          <w:bCs/>
          <w:iCs/>
          <w:color w:val="000000"/>
          <w:sz w:val="20"/>
          <w:szCs w:val="20"/>
          <w:lang w:val="en-GB"/>
        </w:rPr>
        <w:lastRenderedPageBreak/>
        <w:t>have been observed between early sensory responsiveness and later language in Sibs-autism (e.g., resting brain states, caregiver follow-in talk). Implications for research, theory, and clinical practice will be discussed.</w:t>
      </w:r>
    </w:p>
    <w:p w14:paraId="102636BF" w14:textId="0965BFCF" w:rsidR="00A160E4" w:rsidRPr="001E4BFE" w:rsidRDefault="00A160E4" w:rsidP="003170CB">
      <w:pPr>
        <w:keepNext/>
        <w:spacing w:after="0"/>
        <w:rPr>
          <w:b/>
          <w:bCs/>
          <w:color w:val="000000"/>
          <w:sz w:val="20"/>
          <w:szCs w:val="20"/>
          <w:lang w:val="en-GB"/>
        </w:rPr>
      </w:pPr>
      <w:r w:rsidRPr="19B266A6">
        <w:rPr>
          <w:b/>
          <w:bCs/>
          <w:color w:val="000000" w:themeColor="text1"/>
          <w:sz w:val="20"/>
          <w:szCs w:val="20"/>
          <w:lang w:val="en-GB"/>
        </w:rPr>
        <w:t xml:space="preserve">Selected </w:t>
      </w:r>
      <w:r w:rsidR="003D6244" w:rsidRPr="19B266A6">
        <w:rPr>
          <w:b/>
          <w:bCs/>
          <w:color w:val="000000" w:themeColor="text1"/>
          <w:sz w:val="20"/>
          <w:szCs w:val="20"/>
          <w:lang w:val="en-GB"/>
        </w:rPr>
        <w:t xml:space="preserve">References: </w:t>
      </w:r>
    </w:p>
    <w:p w14:paraId="70D5FABC" w14:textId="77777777" w:rsidR="005C5992" w:rsidRPr="005C5992" w:rsidRDefault="005C5992" w:rsidP="008B520F">
      <w:pPr>
        <w:autoSpaceDE w:val="0"/>
        <w:autoSpaceDN w:val="0"/>
        <w:adjustRightInd w:val="0"/>
        <w:spacing w:after="0" w:line="240" w:lineRule="auto"/>
        <w:ind w:left="720" w:hanging="720"/>
        <w:rPr>
          <w:rFonts w:cstheme="minorHAnsi"/>
          <w:sz w:val="20"/>
          <w:szCs w:val="20"/>
        </w:rPr>
      </w:pPr>
      <w:r w:rsidRPr="005C5992">
        <w:rPr>
          <w:rFonts w:cstheme="minorHAnsi"/>
          <w:sz w:val="20"/>
          <w:szCs w:val="20"/>
        </w:rPr>
        <w:t>Ben-</w:t>
      </w:r>
      <w:proofErr w:type="spellStart"/>
      <w:r w:rsidRPr="005C5992">
        <w:rPr>
          <w:rFonts w:cstheme="minorHAnsi"/>
          <w:sz w:val="20"/>
          <w:szCs w:val="20"/>
        </w:rPr>
        <w:t>Sasson</w:t>
      </w:r>
      <w:proofErr w:type="spellEnd"/>
      <w:r w:rsidRPr="005C5992">
        <w:rPr>
          <w:rFonts w:cstheme="minorHAnsi"/>
          <w:sz w:val="20"/>
          <w:szCs w:val="20"/>
        </w:rPr>
        <w:t xml:space="preserve">, A., Hen, L., </w:t>
      </w:r>
      <w:proofErr w:type="spellStart"/>
      <w:r w:rsidRPr="005C5992">
        <w:rPr>
          <w:rFonts w:cstheme="minorHAnsi"/>
          <w:sz w:val="20"/>
          <w:szCs w:val="20"/>
        </w:rPr>
        <w:t>Fluss</w:t>
      </w:r>
      <w:proofErr w:type="spellEnd"/>
      <w:r w:rsidRPr="005C5992">
        <w:rPr>
          <w:rFonts w:cstheme="minorHAnsi"/>
          <w:sz w:val="20"/>
          <w:szCs w:val="20"/>
        </w:rPr>
        <w:t xml:space="preserve">, R., Cermak, S. A., Engel-Yeger, B., &amp; Gal, E. (2009). A meta-analysis of sensory modulation symptoms in individuals with autism spectrum disorders. </w:t>
      </w:r>
      <w:r w:rsidRPr="005C5992">
        <w:rPr>
          <w:rFonts w:cstheme="minorHAnsi"/>
          <w:i/>
          <w:iCs/>
          <w:sz w:val="20"/>
          <w:szCs w:val="20"/>
        </w:rPr>
        <w:t>Journal of Autism and Developmental Disorders</w:t>
      </w:r>
      <w:r w:rsidRPr="005C5992">
        <w:rPr>
          <w:rFonts w:cstheme="minorHAnsi"/>
          <w:sz w:val="20"/>
          <w:szCs w:val="20"/>
        </w:rPr>
        <w:t>,</w:t>
      </w:r>
      <w:r w:rsidRPr="005C5992">
        <w:rPr>
          <w:rFonts w:cstheme="minorHAnsi"/>
          <w:i/>
          <w:iCs/>
          <w:sz w:val="20"/>
          <w:szCs w:val="20"/>
        </w:rPr>
        <w:t xml:space="preserve"> 39</w:t>
      </w:r>
      <w:r w:rsidRPr="005C5992">
        <w:rPr>
          <w:rFonts w:cstheme="minorHAnsi"/>
          <w:sz w:val="20"/>
          <w:szCs w:val="20"/>
        </w:rPr>
        <w:t>(1), 1-11.  </w:t>
      </w:r>
    </w:p>
    <w:p w14:paraId="2E301AAA" w14:textId="6EC9D10B" w:rsidR="005C5992" w:rsidRPr="003170CB" w:rsidRDefault="005C5992" w:rsidP="008B520F">
      <w:pPr>
        <w:autoSpaceDE w:val="0"/>
        <w:autoSpaceDN w:val="0"/>
        <w:adjustRightInd w:val="0"/>
        <w:spacing w:after="0" w:line="240" w:lineRule="auto"/>
        <w:ind w:left="720" w:hanging="720"/>
        <w:rPr>
          <w:rFonts w:cstheme="minorHAnsi"/>
          <w:sz w:val="20"/>
          <w:szCs w:val="20"/>
        </w:rPr>
      </w:pPr>
      <w:proofErr w:type="spellStart"/>
      <w:r w:rsidRPr="005C5992">
        <w:rPr>
          <w:rFonts w:cstheme="minorHAnsi"/>
          <w:sz w:val="20"/>
          <w:szCs w:val="20"/>
        </w:rPr>
        <w:t>Bottema-Beutel</w:t>
      </w:r>
      <w:proofErr w:type="spellEnd"/>
      <w:r w:rsidRPr="005C5992">
        <w:rPr>
          <w:rFonts w:cstheme="minorHAnsi"/>
          <w:sz w:val="20"/>
          <w:szCs w:val="20"/>
        </w:rPr>
        <w:t xml:space="preserve">, K., Yoder, P. J., Hochman, J. M., &amp; Watson, L. R. (2014). The role of supported joint engagement and parent utterances in language and social communication development in children with autism spectrum disorder. </w:t>
      </w:r>
      <w:r w:rsidRPr="005C5992">
        <w:rPr>
          <w:rFonts w:cstheme="minorHAnsi"/>
          <w:i/>
          <w:iCs/>
          <w:sz w:val="20"/>
          <w:szCs w:val="20"/>
        </w:rPr>
        <w:t>Journal of Autism and Developmental Disorders</w:t>
      </w:r>
      <w:r w:rsidRPr="005C5992">
        <w:rPr>
          <w:rFonts w:cstheme="minorHAnsi"/>
          <w:sz w:val="20"/>
          <w:szCs w:val="20"/>
        </w:rPr>
        <w:t>,</w:t>
      </w:r>
      <w:r w:rsidRPr="005C5992">
        <w:rPr>
          <w:rFonts w:cstheme="minorHAnsi"/>
          <w:i/>
          <w:iCs/>
          <w:sz w:val="20"/>
          <w:szCs w:val="20"/>
        </w:rPr>
        <w:t xml:space="preserve"> 44</w:t>
      </w:r>
      <w:r w:rsidRPr="005C5992">
        <w:rPr>
          <w:rFonts w:cstheme="minorHAnsi"/>
          <w:sz w:val="20"/>
          <w:szCs w:val="20"/>
        </w:rPr>
        <w:t>(9), 2162-2174.  </w:t>
      </w:r>
    </w:p>
    <w:p w14:paraId="520E1625" w14:textId="4F657A19" w:rsidR="005C5992" w:rsidRPr="005C5992" w:rsidRDefault="005C5992" w:rsidP="003170CB">
      <w:pPr>
        <w:autoSpaceDE w:val="0"/>
        <w:autoSpaceDN w:val="0"/>
        <w:adjustRightInd w:val="0"/>
        <w:spacing w:after="0" w:line="240" w:lineRule="auto"/>
        <w:ind w:left="720" w:hanging="720"/>
        <w:rPr>
          <w:rFonts w:cstheme="minorHAnsi"/>
          <w:sz w:val="20"/>
          <w:szCs w:val="20"/>
        </w:rPr>
      </w:pPr>
      <w:r w:rsidRPr="005C5992">
        <w:rPr>
          <w:rFonts w:cstheme="minorHAnsi"/>
          <w:sz w:val="20"/>
          <w:szCs w:val="20"/>
        </w:rPr>
        <w:t xml:space="preserve">Damiano-Goodwin, C. R., Woynaroski, T. G., Simon, D. M., </w:t>
      </w:r>
      <w:proofErr w:type="spellStart"/>
      <w:r w:rsidRPr="005C5992">
        <w:rPr>
          <w:rFonts w:cstheme="minorHAnsi"/>
          <w:sz w:val="20"/>
          <w:szCs w:val="20"/>
        </w:rPr>
        <w:t>Ibañez</w:t>
      </w:r>
      <w:proofErr w:type="spellEnd"/>
      <w:r w:rsidRPr="005C5992">
        <w:rPr>
          <w:rFonts w:cstheme="minorHAnsi"/>
          <w:sz w:val="20"/>
          <w:szCs w:val="20"/>
        </w:rPr>
        <w:t xml:space="preserve">, L. V., </w:t>
      </w:r>
      <w:proofErr w:type="spellStart"/>
      <w:r w:rsidRPr="005C5992">
        <w:rPr>
          <w:rFonts w:cstheme="minorHAnsi"/>
          <w:sz w:val="20"/>
          <w:szCs w:val="20"/>
        </w:rPr>
        <w:t>Murias</w:t>
      </w:r>
      <w:proofErr w:type="spellEnd"/>
      <w:r w:rsidRPr="005C5992">
        <w:rPr>
          <w:rFonts w:cstheme="minorHAnsi"/>
          <w:sz w:val="20"/>
          <w:szCs w:val="20"/>
        </w:rPr>
        <w:t xml:space="preserve">, M., Kirby, A., Newsom, C. R., Wallace, M. T., Stone, W. L., &amp; Cascio, C. J. (2018). Developmental sequelae and neurophysiologic substrates of sensory seeking in infant siblings of children with autism spectrum disorder. </w:t>
      </w:r>
      <w:r w:rsidRPr="005C5992">
        <w:rPr>
          <w:rFonts w:cstheme="minorHAnsi"/>
          <w:i/>
          <w:iCs/>
          <w:sz w:val="20"/>
          <w:szCs w:val="20"/>
        </w:rPr>
        <w:t>Developmental Cognitive Neuroscience</w:t>
      </w:r>
      <w:r w:rsidRPr="005C5992">
        <w:rPr>
          <w:rFonts w:cstheme="minorHAnsi"/>
          <w:sz w:val="20"/>
          <w:szCs w:val="20"/>
        </w:rPr>
        <w:t>,</w:t>
      </w:r>
      <w:r w:rsidRPr="005C5992">
        <w:rPr>
          <w:rFonts w:cstheme="minorHAnsi"/>
          <w:i/>
          <w:iCs/>
          <w:sz w:val="20"/>
          <w:szCs w:val="20"/>
        </w:rPr>
        <w:t xml:space="preserve"> 29</w:t>
      </w:r>
      <w:r w:rsidRPr="005C5992">
        <w:rPr>
          <w:rFonts w:cstheme="minorHAnsi"/>
          <w:sz w:val="20"/>
          <w:szCs w:val="20"/>
        </w:rPr>
        <w:t>, 41-53.  </w:t>
      </w:r>
    </w:p>
    <w:p w14:paraId="0174750B" w14:textId="77777777" w:rsidR="005C5992" w:rsidRPr="005C5992" w:rsidRDefault="005C5992" w:rsidP="008B520F">
      <w:pPr>
        <w:autoSpaceDE w:val="0"/>
        <w:autoSpaceDN w:val="0"/>
        <w:adjustRightInd w:val="0"/>
        <w:spacing w:after="0" w:line="240" w:lineRule="auto"/>
        <w:ind w:left="720" w:hanging="720"/>
        <w:rPr>
          <w:rFonts w:cstheme="minorHAnsi"/>
          <w:sz w:val="20"/>
          <w:szCs w:val="20"/>
        </w:rPr>
      </w:pPr>
      <w:r w:rsidRPr="005C5992">
        <w:rPr>
          <w:rFonts w:cstheme="minorHAnsi"/>
          <w:sz w:val="20"/>
          <w:szCs w:val="20"/>
        </w:rPr>
        <w:t xml:space="preserve">Feldman, J. I., Cassidy, M., Liu, Y., Kirby, A. V., Wallace, M. T., &amp; Woynaroski, T. G. (2020). Relations between sensory responsiveness and features of autism in children. </w:t>
      </w:r>
      <w:r w:rsidRPr="005C5992">
        <w:rPr>
          <w:rFonts w:cstheme="minorHAnsi"/>
          <w:i/>
          <w:iCs/>
          <w:sz w:val="20"/>
          <w:szCs w:val="20"/>
        </w:rPr>
        <w:t>Brain Sciences</w:t>
      </w:r>
      <w:r w:rsidRPr="005C5992">
        <w:rPr>
          <w:rFonts w:cstheme="minorHAnsi"/>
          <w:sz w:val="20"/>
          <w:szCs w:val="20"/>
        </w:rPr>
        <w:t>,</w:t>
      </w:r>
      <w:r w:rsidRPr="005C5992">
        <w:rPr>
          <w:rFonts w:cstheme="minorHAnsi"/>
          <w:i/>
          <w:iCs/>
          <w:sz w:val="20"/>
          <w:szCs w:val="20"/>
        </w:rPr>
        <w:t xml:space="preserve"> 10</w:t>
      </w:r>
      <w:r w:rsidRPr="005C5992">
        <w:rPr>
          <w:rFonts w:cstheme="minorHAnsi"/>
          <w:sz w:val="20"/>
          <w:szCs w:val="20"/>
        </w:rPr>
        <w:t>(11), Article 775. </w:t>
      </w:r>
    </w:p>
    <w:p w14:paraId="6BBAD42D" w14:textId="77777777" w:rsidR="005C5992" w:rsidRPr="005C5992" w:rsidRDefault="005C5992" w:rsidP="008B520F">
      <w:pPr>
        <w:autoSpaceDE w:val="0"/>
        <w:autoSpaceDN w:val="0"/>
        <w:adjustRightInd w:val="0"/>
        <w:spacing w:after="0" w:line="240" w:lineRule="auto"/>
        <w:ind w:left="720" w:hanging="720"/>
        <w:rPr>
          <w:rFonts w:cstheme="minorHAnsi"/>
          <w:sz w:val="20"/>
          <w:szCs w:val="20"/>
        </w:rPr>
      </w:pPr>
      <w:r w:rsidRPr="005C5992">
        <w:rPr>
          <w:rFonts w:cstheme="minorHAnsi"/>
          <w:sz w:val="20"/>
          <w:szCs w:val="20"/>
        </w:rPr>
        <w:t xml:space="preserve">Feldman, J. I., Raj, S., Bowman, S. M., </w:t>
      </w:r>
      <w:proofErr w:type="spellStart"/>
      <w:r w:rsidRPr="005C5992">
        <w:rPr>
          <w:rFonts w:cstheme="minorHAnsi"/>
          <w:sz w:val="20"/>
          <w:szCs w:val="20"/>
        </w:rPr>
        <w:t>Santapuram</w:t>
      </w:r>
      <w:proofErr w:type="spellEnd"/>
      <w:r w:rsidRPr="005C5992">
        <w:rPr>
          <w:rFonts w:cstheme="minorHAnsi"/>
          <w:sz w:val="20"/>
          <w:szCs w:val="20"/>
        </w:rPr>
        <w:t xml:space="preserve">, P., Golden, A. J., Daly, C., Dunham, K., </w:t>
      </w:r>
      <w:proofErr w:type="spellStart"/>
      <w:r w:rsidRPr="005C5992">
        <w:rPr>
          <w:rFonts w:cstheme="minorHAnsi"/>
          <w:sz w:val="20"/>
          <w:szCs w:val="20"/>
        </w:rPr>
        <w:t>Suzman</w:t>
      </w:r>
      <w:proofErr w:type="spellEnd"/>
      <w:r w:rsidRPr="005C5992">
        <w:rPr>
          <w:rFonts w:cstheme="minorHAnsi"/>
          <w:sz w:val="20"/>
          <w:szCs w:val="20"/>
        </w:rPr>
        <w:t xml:space="preserve">, E., Augustine, A., </w:t>
      </w:r>
      <w:proofErr w:type="spellStart"/>
      <w:r w:rsidRPr="005C5992">
        <w:rPr>
          <w:rFonts w:cstheme="minorHAnsi"/>
          <w:sz w:val="20"/>
          <w:szCs w:val="20"/>
        </w:rPr>
        <w:t>Garla</w:t>
      </w:r>
      <w:proofErr w:type="spellEnd"/>
      <w:r w:rsidRPr="005C5992">
        <w:rPr>
          <w:rFonts w:cstheme="minorHAnsi"/>
          <w:sz w:val="20"/>
          <w:szCs w:val="20"/>
        </w:rPr>
        <w:t xml:space="preserve">, V., </w:t>
      </w:r>
      <w:proofErr w:type="spellStart"/>
      <w:r w:rsidRPr="005C5992">
        <w:rPr>
          <w:rFonts w:cstheme="minorHAnsi"/>
          <w:sz w:val="20"/>
          <w:szCs w:val="20"/>
        </w:rPr>
        <w:t>Muhumuza</w:t>
      </w:r>
      <w:proofErr w:type="spellEnd"/>
      <w:r w:rsidRPr="005C5992">
        <w:rPr>
          <w:rFonts w:cstheme="minorHAnsi"/>
          <w:sz w:val="20"/>
          <w:szCs w:val="20"/>
        </w:rPr>
        <w:t xml:space="preserve">, A., Cascio, C., Williams, K., Kirby, A., </w:t>
      </w:r>
      <w:proofErr w:type="spellStart"/>
      <w:r w:rsidRPr="005C5992">
        <w:rPr>
          <w:rFonts w:cstheme="minorHAnsi"/>
          <w:sz w:val="20"/>
          <w:szCs w:val="20"/>
        </w:rPr>
        <w:t>Kecili‐Kaysili</w:t>
      </w:r>
      <w:proofErr w:type="spellEnd"/>
      <w:r w:rsidRPr="005C5992">
        <w:rPr>
          <w:rFonts w:cstheme="minorHAnsi"/>
          <w:sz w:val="20"/>
          <w:szCs w:val="20"/>
        </w:rPr>
        <w:t xml:space="preserve">, B., &amp; Woynaroski, T. (2021). Sensory responsiveness is linked with communication in infant siblings of children with and without autism. </w:t>
      </w:r>
      <w:r w:rsidRPr="005C5992">
        <w:rPr>
          <w:rFonts w:cstheme="minorHAnsi"/>
          <w:i/>
          <w:iCs/>
          <w:sz w:val="20"/>
          <w:szCs w:val="20"/>
        </w:rPr>
        <w:t>Journal of Speech, Language, and Hearing Research</w:t>
      </w:r>
      <w:r w:rsidRPr="005C5992">
        <w:rPr>
          <w:rFonts w:cstheme="minorHAnsi"/>
          <w:sz w:val="20"/>
          <w:szCs w:val="20"/>
        </w:rPr>
        <w:t xml:space="preserve">, </w:t>
      </w:r>
      <w:r w:rsidRPr="005C5992">
        <w:rPr>
          <w:rFonts w:cstheme="minorHAnsi"/>
          <w:i/>
          <w:iCs/>
          <w:sz w:val="20"/>
          <w:szCs w:val="20"/>
        </w:rPr>
        <w:t>64</w:t>
      </w:r>
      <w:r w:rsidRPr="005C5992">
        <w:rPr>
          <w:rFonts w:cstheme="minorHAnsi"/>
          <w:sz w:val="20"/>
          <w:szCs w:val="20"/>
        </w:rPr>
        <w:t>(6), 1964-1976.  </w:t>
      </w:r>
    </w:p>
    <w:p w14:paraId="0D01B79B" w14:textId="77777777" w:rsidR="005C5992" w:rsidRPr="005C5992" w:rsidRDefault="005C5992" w:rsidP="008B520F">
      <w:pPr>
        <w:autoSpaceDE w:val="0"/>
        <w:autoSpaceDN w:val="0"/>
        <w:adjustRightInd w:val="0"/>
        <w:spacing w:after="0" w:line="240" w:lineRule="auto"/>
        <w:ind w:left="720" w:hanging="720"/>
        <w:rPr>
          <w:rFonts w:cstheme="minorHAnsi"/>
          <w:sz w:val="20"/>
          <w:szCs w:val="20"/>
        </w:rPr>
      </w:pPr>
      <w:r w:rsidRPr="005C5992">
        <w:rPr>
          <w:rFonts w:cstheme="minorHAnsi"/>
          <w:sz w:val="20"/>
          <w:szCs w:val="20"/>
        </w:rPr>
        <w:t xml:space="preserve">Watson, L., Patten, E., </w:t>
      </w:r>
      <w:proofErr w:type="spellStart"/>
      <w:r w:rsidRPr="005C5992">
        <w:rPr>
          <w:rFonts w:cstheme="minorHAnsi"/>
          <w:sz w:val="20"/>
          <w:szCs w:val="20"/>
        </w:rPr>
        <w:t>Baranek</w:t>
      </w:r>
      <w:proofErr w:type="spellEnd"/>
      <w:r w:rsidRPr="005C5992">
        <w:rPr>
          <w:rFonts w:cstheme="minorHAnsi"/>
          <w:sz w:val="20"/>
          <w:szCs w:val="20"/>
        </w:rPr>
        <w:t xml:space="preserve">, G. T., Poe, M., Boyd, B. A., </w:t>
      </w:r>
      <w:proofErr w:type="spellStart"/>
      <w:r w:rsidRPr="005C5992">
        <w:rPr>
          <w:rFonts w:cstheme="minorHAnsi"/>
          <w:sz w:val="20"/>
          <w:szCs w:val="20"/>
        </w:rPr>
        <w:t>Freuler</w:t>
      </w:r>
      <w:proofErr w:type="spellEnd"/>
      <w:r w:rsidRPr="005C5992">
        <w:rPr>
          <w:rFonts w:cstheme="minorHAnsi"/>
          <w:sz w:val="20"/>
          <w:szCs w:val="20"/>
        </w:rPr>
        <w:t xml:space="preserve">, A., &amp; </w:t>
      </w:r>
      <w:proofErr w:type="spellStart"/>
      <w:r w:rsidRPr="005C5992">
        <w:rPr>
          <w:rFonts w:cstheme="minorHAnsi"/>
          <w:sz w:val="20"/>
          <w:szCs w:val="20"/>
        </w:rPr>
        <w:t>Lorenzi</w:t>
      </w:r>
      <w:proofErr w:type="spellEnd"/>
      <w:r w:rsidRPr="005C5992">
        <w:rPr>
          <w:rFonts w:cstheme="minorHAnsi"/>
          <w:sz w:val="20"/>
          <w:szCs w:val="20"/>
        </w:rPr>
        <w:t xml:space="preserve">, J. (2011). Differential associations between sensory response patterns and language, social, and communication measures in children with autism or other developmental disabilities. </w:t>
      </w:r>
      <w:r w:rsidRPr="005C5992">
        <w:rPr>
          <w:rFonts w:cstheme="minorHAnsi"/>
          <w:i/>
          <w:iCs/>
          <w:sz w:val="20"/>
          <w:szCs w:val="20"/>
        </w:rPr>
        <w:t>Journal of Speech, Language, and Hearing Research</w:t>
      </w:r>
      <w:r w:rsidRPr="005C5992">
        <w:rPr>
          <w:rFonts w:cstheme="minorHAnsi"/>
          <w:sz w:val="20"/>
          <w:szCs w:val="20"/>
        </w:rPr>
        <w:t>,</w:t>
      </w:r>
      <w:r w:rsidRPr="005C5992">
        <w:rPr>
          <w:rFonts w:cstheme="minorHAnsi"/>
          <w:i/>
          <w:iCs/>
          <w:sz w:val="20"/>
          <w:szCs w:val="20"/>
        </w:rPr>
        <w:t xml:space="preserve"> 54</w:t>
      </w:r>
      <w:r w:rsidRPr="005C5992">
        <w:rPr>
          <w:rFonts w:cstheme="minorHAnsi"/>
          <w:sz w:val="20"/>
          <w:szCs w:val="20"/>
        </w:rPr>
        <w:t>(6), 1562-1576.  </w:t>
      </w:r>
    </w:p>
    <w:p w14:paraId="74B30CCD" w14:textId="785E1DC3" w:rsidR="00A160E4" w:rsidRPr="00CF3363" w:rsidRDefault="00A160E4" w:rsidP="005C5992">
      <w:pPr>
        <w:autoSpaceDE w:val="0"/>
        <w:autoSpaceDN w:val="0"/>
        <w:adjustRightInd w:val="0"/>
        <w:spacing w:after="0" w:line="240" w:lineRule="auto"/>
        <w:rPr>
          <w:rFonts w:cstheme="minorHAnsi"/>
          <w:sz w:val="20"/>
          <w:szCs w:val="20"/>
        </w:rPr>
      </w:pPr>
    </w:p>
    <w:p w14:paraId="13FEFE33" w14:textId="77777777" w:rsidR="00A160E4" w:rsidRPr="00AE5C40" w:rsidRDefault="00A160E4" w:rsidP="00A160E4">
      <w:pPr>
        <w:autoSpaceDE w:val="0"/>
        <w:autoSpaceDN w:val="0"/>
        <w:adjustRightInd w:val="0"/>
        <w:spacing w:after="0" w:line="240" w:lineRule="auto"/>
        <w:rPr>
          <w:rFonts w:cstheme="minorHAnsi"/>
          <w:sz w:val="18"/>
          <w:szCs w:val="18"/>
        </w:rPr>
      </w:pPr>
    </w:p>
    <w:p w14:paraId="7AC50376" w14:textId="783002A7" w:rsidR="003D6244" w:rsidRPr="00A160E4" w:rsidRDefault="00A160E4" w:rsidP="00A160E4">
      <w:pPr>
        <w:tabs>
          <w:tab w:val="left" w:pos="1318"/>
        </w:tabs>
        <w:autoSpaceDE w:val="0"/>
        <w:autoSpaceDN w:val="0"/>
        <w:adjustRightInd w:val="0"/>
        <w:spacing w:after="0" w:line="240" w:lineRule="auto"/>
        <w:rPr>
          <w:rFonts w:ascii="Segoe UI" w:hAnsi="Segoe UI" w:cs="Segoe UI"/>
          <w:sz w:val="18"/>
          <w:szCs w:val="18"/>
        </w:rPr>
      </w:pPr>
      <w:r>
        <w:rPr>
          <w:rFonts w:ascii="Segoe UI" w:hAnsi="Segoe UI" w:cs="Segoe UI"/>
          <w:sz w:val="18"/>
          <w:szCs w:val="18"/>
        </w:rPr>
        <w:tab/>
      </w:r>
    </w:p>
    <w:p w14:paraId="7AC50377" w14:textId="2519E8BE" w:rsidR="003D6244" w:rsidRPr="008B1E03" w:rsidRDefault="003D6244" w:rsidP="7CB7382F">
      <w:pPr>
        <w:pStyle w:val="FootnoteText"/>
        <w:rPr>
          <w:lang w:val="en-CA"/>
        </w:rPr>
      </w:pPr>
      <w:r w:rsidRPr="7CB7382F">
        <w:rPr>
          <w:rStyle w:val="FootnoteReference"/>
        </w:rPr>
        <w:footnoteRef/>
      </w:r>
      <w:r w:rsidRPr="7CB7382F">
        <w:t xml:space="preserve"> </w:t>
      </w:r>
      <w:r w:rsidR="001919B5" w:rsidRPr="7CB7382F">
        <w:rPr>
          <w:lang w:val="en-CA"/>
        </w:rPr>
        <w:t xml:space="preserve">Vanderbilt University Medical Center </w:t>
      </w:r>
    </w:p>
    <w:p w14:paraId="6A290373" w14:textId="35A40DC9" w:rsidR="003D6244" w:rsidRPr="008B1E03" w:rsidRDefault="003D6244" w:rsidP="7CB7382F">
      <w:pPr>
        <w:spacing w:after="0"/>
        <w:rPr>
          <w:rFonts w:ascii="Calibri" w:eastAsia="Calibri" w:hAnsi="Calibri" w:cs="Calibri"/>
          <w:sz w:val="20"/>
          <w:szCs w:val="20"/>
          <w:lang w:val="en-CA"/>
        </w:rPr>
      </w:pPr>
      <w:r w:rsidRPr="7CB7382F">
        <w:rPr>
          <w:rStyle w:val="FootnoteReference"/>
          <w:sz w:val="20"/>
          <w:szCs w:val="20"/>
        </w:rPr>
        <w:t>2</w:t>
      </w:r>
      <w:r w:rsidR="5FB321BB" w:rsidRPr="7CB7382F">
        <w:rPr>
          <w:rFonts w:ascii="Calibri" w:eastAsia="Calibri" w:hAnsi="Calibri" w:cs="Calibri"/>
          <w:sz w:val="20"/>
          <w:szCs w:val="20"/>
        </w:rPr>
        <w:t xml:space="preserve"> Vanderbilt </w:t>
      </w:r>
      <w:r w:rsidR="5FB321BB" w:rsidRPr="7CB7382F">
        <w:rPr>
          <w:rFonts w:ascii="Calibri" w:eastAsia="Calibri" w:hAnsi="Calibri" w:cs="Calibri"/>
          <w:sz w:val="20"/>
          <w:szCs w:val="20"/>
          <w:lang w:val="en-CA"/>
        </w:rPr>
        <w:t>Frist Center for Autism and Innovation</w:t>
      </w:r>
    </w:p>
    <w:p w14:paraId="7AC50378" w14:textId="25FEABE7" w:rsidR="003D6244" w:rsidRPr="008B1E03" w:rsidRDefault="5FB321BB" w:rsidP="7CB7382F">
      <w:pPr>
        <w:pStyle w:val="FootnoteText"/>
        <w:rPr>
          <w:lang w:val="en-CA"/>
        </w:rPr>
      </w:pPr>
      <w:r w:rsidRPr="7CB7382F">
        <w:rPr>
          <w:vertAlign w:val="superscript"/>
          <w:lang w:val="en-CA"/>
        </w:rPr>
        <w:t>3</w:t>
      </w:r>
      <w:r w:rsidR="2CD3F520" w:rsidRPr="7CB7382F">
        <w:rPr>
          <w:vertAlign w:val="superscript"/>
          <w:lang w:val="en-CA"/>
        </w:rPr>
        <w:t xml:space="preserve"> </w:t>
      </w:r>
      <w:r w:rsidR="001919B5" w:rsidRPr="7CB7382F">
        <w:rPr>
          <w:lang w:val="en-CA"/>
        </w:rPr>
        <w:t>Vanderbilt University</w:t>
      </w:r>
    </w:p>
    <w:p w14:paraId="7AC5037A" w14:textId="7E5A5BE6" w:rsidR="001C735E" w:rsidRDefault="685556BF" w:rsidP="002E79CD">
      <w:pPr>
        <w:pStyle w:val="Footer"/>
        <w:rPr>
          <w:sz w:val="20"/>
          <w:szCs w:val="20"/>
        </w:rPr>
      </w:pPr>
      <w:r w:rsidRPr="7CB7382F">
        <w:rPr>
          <w:sz w:val="20"/>
          <w:szCs w:val="20"/>
          <w:vertAlign w:val="superscript"/>
        </w:rPr>
        <w:t>4</w:t>
      </w:r>
      <w:r w:rsidR="003D6244" w:rsidRPr="7CB7382F">
        <w:rPr>
          <w:sz w:val="20"/>
          <w:szCs w:val="20"/>
        </w:rPr>
        <w:t xml:space="preserve"> </w:t>
      </w:r>
      <w:r w:rsidR="001272C1" w:rsidRPr="7CB7382F">
        <w:rPr>
          <w:sz w:val="20"/>
          <w:szCs w:val="20"/>
        </w:rPr>
        <w:t>Florida State University</w:t>
      </w:r>
    </w:p>
    <w:p w14:paraId="3FC84855" w14:textId="52B0AFA1" w:rsidR="001272C1" w:rsidRDefault="5065AB72" w:rsidP="002E79CD">
      <w:pPr>
        <w:pStyle w:val="Footer"/>
        <w:rPr>
          <w:sz w:val="20"/>
          <w:szCs w:val="20"/>
        </w:rPr>
      </w:pPr>
      <w:r w:rsidRPr="7CB7382F">
        <w:rPr>
          <w:sz w:val="20"/>
          <w:szCs w:val="20"/>
          <w:vertAlign w:val="superscript"/>
        </w:rPr>
        <w:t>5</w:t>
      </w:r>
      <w:r w:rsidR="001272C1" w:rsidRPr="7CB7382F">
        <w:rPr>
          <w:sz w:val="20"/>
          <w:szCs w:val="20"/>
        </w:rPr>
        <w:t xml:space="preserve"> </w:t>
      </w:r>
      <w:proofErr w:type="spellStart"/>
      <w:r w:rsidR="001272C1" w:rsidRPr="7CB7382F">
        <w:rPr>
          <w:sz w:val="20"/>
          <w:szCs w:val="20"/>
        </w:rPr>
        <w:t>Duksung</w:t>
      </w:r>
      <w:proofErr w:type="spellEnd"/>
      <w:r w:rsidR="001272C1" w:rsidRPr="7CB7382F">
        <w:rPr>
          <w:sz w:val="20"/>
          <w:szCs w:val="20"/>
        </w:rPr>
        <w:t xml:space="preserve"> Women’s University</w:t>
      </w:r>
    </w:p>
    <w:p w14:paraId="442C0172" w14:textId="45B4D584" w:rsidR="001272C1" w:rsidRPr="001272C1" w:rsidRDefault="69F3E882" w:rsidP="002E79CD">
      <w:pPr>
        <w:pStyle w:val="Footer"/>
        <w:rPr>
          <w:sz w:val="20"/>
          <w:szCs w:val="20"/>
          <w:lang w:val="en-CA"/>
        </w:rPr>
      </w:pPr>
      <w:r w:rsidRPr="7CB7382F">
        <w:rPr>
          <w:sz w:val="20"/>
          <w:szCs w:val="20"/>
          <w:vertAlign w:val="superscript"/>
        </w:rPr>
        <w:t>6</w:t>
      </w:r>
      <w:r w:rsidR="001272C1" w:rsidRPr="7CB7382F">
        <w:rPr>
          <w:sz w:val="20"/>
          <w:szCs w:val="20"/>
        </w:rPr>
        <w:t xml:space="preserve"> Boston College</w:t>
      </w:r>
    </w:p>
    <w:p w14:paraId="05A2D42B" w14:textId="60F4706D" w:rsidR="313BF9C6" w:rsidRDefault="313BF9C6" w:rsidP="7CB7382F">
      <w:pPr>
        <w:pStyle w:val="Footer"/>
        <w:rPr>
          <w:sz w:val="20"/>
          <w:szCs w:val="20"/>
        </w:rPr>
      </w:pPr>
      <w:r w:rsidRPr="7CB7382F">
        <w:rPr>
          <w:rFonts w:ascii="Calibri" w:eastAsia="Calibri" w:hAnsi="Calibri" w:cs="Calibri"/>
          <w:sz w:val="20"/>
          <w:szCs w:val="20"/>
          <w:vertAlign w:val="superscript"/>
        </w:rPr>
        <w:t>7</w:t>
      </w:r>
      <w:r w:rsidRPr="7CB7382F">
        <w:rPr>
          <w:rFonts w:ascii="Calibri" w:eastAsia="Calibri" w:hAnsi="Calibri" w:cs="Calibri"/>
          <w:sz w:val="20"/>
          <w:szCs w:val="20"/>
        </w:rPr>
        <w:t xml:space="preserve"> </w:t>
      </w:r>
      <w:r w:rsidR="31E392DD" w:rsidRPr="7CB7382F">
        <w:rPr>
          <w:rFonts w:ascii="Calibri" w:eastAsia="Calibri" w:hAnsi="Calibri" w:cs="Calibri"/>
          <w:sz w:val="20"/>
          <w:szCs w:val="20"/>
        </w:rPr>
        <w:t>Vanderbilt Brain Institute</w:t>
      </w:r>
    </w:p>
    <w:p w14:paraId="6F5F5B36" w14:textId="3A10C2ED" w:rsidR="4E212D14" w:rsidRDefault="4E212D14" w:rsidP="7CB7382F">
      <w:pPr>
        <w:spacing w:after="0"/>
        <w:rPr>
          <w:rFonts w:ascii="Calibri" w:eastAsia="Calibri" w:hAnsi="Calibri" w:cs="Calibri"/>
          <w:sz w:val="20"/>
          <w:szCs w:val="20"/>
        </w:rPr>
      </w:pPr>
      <w:r w:rsidRPr="7CB7382F">
        <w:rPr>
          <w:rFonts w:ascii="Calibri" w:eastAsia="Calibri" w:hAnsi="Calibri" w:cs="Calibri"/>
          <w:sz w:val="20"/>
          <w:szCs w:val="20"/>
          <w:vertAlign w:val="superscript"/>
        </w:rPr>
        <w:t xml:space="preserve">8 </w:t>
      </w:r>
      <w:r w:rsidR="31E392DD" w:rsidRPr="7CB7382F">
        <w:rPr>
          <w:rFonts w:ascii="Calibri" w:eastAsia="Calibri" w:hAnsi="Calibri" w:cs="Calibri"/>
          <w:sz w:val="20"/>
          <w:szCs w:val="20"/>
        </w:rPr>
        <w:t>Vanderbilt Kennedy Center</w:t>
      </w:r>
    </w:p>
    <w:p w14:paraId="2A3707B6" w14:textId="446E48B7" w:rsidR="002E79CD" w:rsidRPr="003D6244" w:rsidRDefault="1C3B573A" w:rsidP="7CB7382F">
      <w:pPr>
        <w:pStyle w:val="Footer"/>
        <w:rPr>
          <w:sz w:val="20"/>
          <w:szCs w:val="20"/>
          <w:lang w:val="en-CA"/>
        </w:rPr>
      </w:pPr>
      <w:r w:rsidRPr="7CB7382F">
        <w:rPr>
          <w:sz w:val="20"/>
          <w:szCs w:val="20"/>
          <w:vertAlign w:val="superscript"/>
        </w:rPr>
        <w:t>9</w:t>
      </w:r>
      <w:r w:rsidR="001272C1" w:rsidRPr="7CB7382F">
        <w:rPr>
          <w:sz w:val="20"/>
          <w:szCs w:val="20"/>
          <w:lang w:val="en-CA"/>
        </w:rPr>
        <w:t xml:space="preserve"> </w:t>
      </w:r>
      <w:r w:rsidR="002E79CD" w:rsidRPr="7CB7382F">
        <w:rPr>
          <w:sz w:val="20"/>
          <w:szCs w:val="20"/>
          <w:lang w:val="en-CA"/>
        </w:rPr>
        <w:t>University of Hawaii at Manoa</w:t>
      </w:r>
    </w:p>
    <w:sectPr w:rsidR="002E79CD" w:rsidRPr="003D6244" w:rsidSect="00394E2C">
      <w:headerReference w:type="default" r:id="rId14"/>
      <w:footerReference w:type="default" r:id="rId15"/>
      <w:pgSz w:w="12240" w:h="15840"/>
      <w:pgMar w:top="1440" w:right="864" w:bottom="1440" w:left="86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Woynaroski, Tiffany G" w:date="2024-11-01T09:21:00Z" w:initials="TW">
    <w:p w14:paraId="4AAFB44E" w14:textId="77777777" w:rsidR="00AD1C04" w:rsidRDefault="00AD1C04" w:rsidP="00AD1C04">
      <w:pPr>
        <w:pStyle w:val="CommentText"/>
      </w:pPr>
      <w:r>
        <w:rPr>
          <w:rStyle w:val="CommentReference"/>
        </w:rPr>
        <w:annotationRef/>
      </w:r>
      <w:r>
        <w:t>Add our other affiliations here.</w:t>
      </w:r>
    </w:p>
  </w:comment>
  <w:comment w:id="1" w:author="Kristen Bottema-Beutel" w:date="2024-10-31T15:52:00Z" w:initials="KB">
    <w:p w14:paraId="4567BA5B" w14:textId="67D590B9" w:rsidR="00A9571D" w:rsidRDefault="00A9571D" w:rsidP="00A9571D">
      <w:pPr>
        <w:pStyle w:val="CommentText"/>
      </w:pPr>
      <w:r>
        <w:rPr>
          <w:rStyle w:val="CommentReference"/>
        </w:rPr>
        <w:annotationRef/>
      </w:r>
      <w:r>
        <w:t>What is the rationale for collapsing these?</w:t>
      </w:r>
    </w:p>
  </w:comment>
  <w:comment w:id="2" w:author="Woynaroski, Tiffany G" w:date="2024-11-01T09:24:00Z" w:initials="TW">
    <w:p w14:paraId="48936509" w14:textId="77777777" w:rsidR="00AD1C04" w:rsidRDefault="00AD1C04" w:rsidP="00AD1C04">
      <w:pPr>
        <w:pStyle w:val="CommentText"/>
      </w:pPr>
      <w:r>
        <w:rPr>
          <w:rStyle w:val="CommentReference"/>
        </w:rPr>
        <w:annotationRef/>
      </w:r>
      <w:r>
        <w:t>We actually considered HSJE and LSJE as well as total SJE in analyses.  I think it is informative for future studies to know whether similar effects are found for total SJE or whether it is imperative to consider the subtypes (especially given most other folks still aren’t really doing so!)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AAFB44E" w15:done="1"/>
  <w15:commentEx w15:paraId="4567BA5B" w15:done="1"/>
  <w15:commentEx w15:paraId="48936509" w15:paraIdParent="4567BA5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17687BF" w16cex:dateUtc="2024-11-01T14:21:00Z"/>
  <w16cex:commentExtensible w16cex:durableId="13BFCAA5" w16cex:dateUtc="2024-10-31T19:52:00Z"/>
  <w16cex:commentExtensible w16cex:durableId="09204839" w16cex:dateUtc="2024-11-01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AAFB44E" w16cid:durableId="617687BF"/>
  <w16cid:commentId w16cid:paraId="4567BA5B" w16cid:durableId="13BFCAA5"/>
  <w16cid:commentId w16cid:paraId="48936509" w16cid:durableId="092048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F1B15" w14:textId="77777777" w:rsidR="00050B53" w:rsidRDefault="00050B53" w:rsidP="00A16498">
      <w:pPr>
        <w:spacing w:after="0" w:line="240" w:lineRule="auto"/>
      </w:pPr>
      <w:r>
        <w:separator/>
      </w:r>
    </w:p>
  </w:endnote>
  <w:endnote w:type="continuationSeparator" w:id="0">
    <w:p w14:paraId="35B11004" w14:textId="77777777" w:rsidR="00050B53" w:rsidRDefault="00050B53" w:rsidP="00A16498">
      <w:pPr>
        <w:spacing w:after="0" w:line="240" w:lineRule="auto"/>
      </w:pPr>
      <w:r>
        <w:continuationSeparator/>
      </w:r>
    </w:p>
  </w:endnote>
  <w:endnote w:type="continuationNotice" w:id="1">
    <w:p w14:paraId="3D7B1616" w14:textId="77777777" w:rsidR="00050B53" w:rsidRDefault="00050B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Kefa">
    <w:panose1 w:val="02000506000000020004"/>
    <w:charset w:val="00"/>
    <w:family w:val="auto"/>
    <w:pitch w:val="variable"/>
    <w:sig w:usb0="800000AF" w:usb1="4000204B" w:usb2="000008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1316035048"/>
      <w:docPartObj>
        <w:docPartGallery w:val="Page Numbers (Bottom of Page)"/>
        <w:docPartUnique/>
      </w:docPartObj>
    </w:sdtPr>
    <w:sdtEndPr>
      <w:rPr>
        <w:sz w:val="20"/>
        <w:szCs w:val="20"/>
      </w:rPr>
    </w:sdtEndPr>
    <w:sdtContent>
      <w:sdt>
        <w:sdtPr>
          <w:rPr>
            <w:b/>
            <w:bCs/>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78AFE" w14:textId="77777777" w:rsidR="00050B53" w:rsidRDefault="00050B53" w:rsidP="00A16498">
      <w:pPr>
        <w:spacing w:after="0" w:line="240" w:lineRule="auto"/>
      </w:pPr>
      <w:r>
        <w:separator/>
      </w:r>
    </w:p>
  </w:footnote>
  <w:footnote w:type="continuationSeparator" w:id="0">
    <w:p w14:paraId="59C095BA" w14:textId="77777777" w:rsidR="00050B53" w:rsidRDefault="00050B53" w:rsidP="00A16498">
      <w:pPr>
        <w:spacing w:after="0" w:line="240" w:lineRule="auto"/>
      </w:pPr>
      <w:r>
        <w:continuationSeparator/>
      </w:r>
    </w:p>
  </w:footnote>
  <w:footnote w:type="continuationNotice" w:id="1">
    <w:p w14:paraId="54E187D5" w14:textId="77777777" w:rsidR="00050B53" w:rsidRDefault="00050B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8240"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59839DC6"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FB69E5">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4F6F27F6" w:rsidR="00A16498" w:rsidRPr="006535AF" w:rsidRDefault="00A16498" w:rsidP="009E1B56">
                            <w:pPr>
                              <w:pStyle w:val="Header"/>
                              <w:jc w:val="center"/>
                              <w:rPr>
                                <w:b/>
                                <w:color w:val="FFFFFF" w:themeColor="background1"/>
                                <w:sz w:val="40"/>
                                <w:szCs w:val="3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196" style="position:absolute;margin-left:-1.6pt;margin-top:18.05pt;width:525.2pt;height:36pt;z-index:251658240;mso-position-horizontal-relative:margin;mso-position-vertical-relative:top-margin-area" coordsize="11488,720" coordorigin="377,360" o:spid="_x0000_s1026" o:allowincell="f" w14:anchorId="7AC5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">
              <v:rect id="Rectangle 197" style="position:absolute;left:377;top:360;width:9252;height:720;visibility:visible;mso-wrap-style:square;v-text-anchor:middle" o:spid="_x0000_s1027" filled="f" strokecolor="#444c6a"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">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rsidRPr="007B4CE7" w:rsidR="00A16498" w:rsidRDefault="00A16498" w14:paraId="7AC50385" w14:textId="59839DC6">
                          <w:pPr>
                            <w:pStyle w:val="Header"/>
                            <w:rPr>
                              <w:rFonts w:ascii="Kefa" w:hAnsi="Kefa"/>
                              <w:b/>
                              <w:color w:val="444C6A"/>
                              <w:sz w:val="36"/>
                              <w:szCs w:val="36"/>
                            </w:rPr>
                          </w:pPr>
                          <w:r w:rsidRPr="007B4CE7">
                            <w:rPr>
                              <w:rFonts w:ascii="Kefa" w:hAnsi="Kefa"/>
                              <w:b/>
                              <w:color w:val="444C6A"/>
                              <w:sz w:val="36"/>
                              <w:szCs w:val="36"/>
                            </w:rPr>
                            <w:t>20</w:t>
                          </w:r>
                          <w:r w:rsidRPr="007B4CE7" w:rsidR="003C4D59">
                            <w:rPr>
                              <w:rFonts w:ascii="Kefa" w:hAnsi="Kefa"/>
                              <w:b/>
                              <w:color w:val="444C6A"/>
                              <w:sz w:val="36"/>
                              <w:szCs w:val="36"/>
                            </w:rPr>
                            <w:t>2</w:t>
                          </w:r>
                          <w:r w:rsidR="00FB69E5">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v:rect id="Rectangle 198" style="position:absolute;left:9763;top:360;width:2102;height:720;visibility:visible;mso-wrap-style:square;v-text-anchor:middle" o:spid="_x0000_s1028" fillcolor="#76923c [2406]" stroked="f" strokecolor="white"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">
                <v:textbox>
                  <w:txbxContent>
                    <w:p w:rsidRPr="006535AF" w:rsidR="00A16498" w:rsidP="009E1B56" w:rsidRDefault="00A16498" w14:paraId="7AC50386" w14:textId="4F6F27F6">
                      <w:pPr>
                        <w:pStyle w:val="Header"/>
                        <w:jc w:val="center"/>
                        <w:rPr>
                          <w:b/>
                          <w:color w:val="FFFFFF" w:themeColor="background1"/>
                          <w:sz w:val="40"/>
                          <w:szCs w:val="36"/>
                        </w:rPr>
                      </w:pPr>
                    </w:p>
                  </w:txbxContent>
                </v:textbox>
              </v:rect>
              <w10:wrap anchorx="margin" anchory="margin"/>
            </v:group>
          </w:pict>
        </mc:Fallback>
      </mc:AlternateContent>
    </w:r>
  </w:p>
  <w:p w14:paraId="7AC50380" w14:textId="77777777" w:rsidR="00A16498" w:rsidRDefault="00A16498">
    <w:pPr>
      <w:pStyle w:val="Header"/>
    </w:pPr>
  </w:p>
</w:hdr>
</file>

<file path=word/intelligence2.xml><?xml version="1.0" encoding="utf-8"?>
<int2:intelligence xmlns:int2="http://schemas.microsoft.com/office/intelligence/2020/intelligence" xmlns:oel="http://schemas.microsoft.com/office/2019/extlst">
  <int2:observations>
    <int2:textHash int2:hashCode="c62fWqOg5RxbcP" int2:id="Tg8r5hru">
      <int2:state int2:value="Rejected" int2:type="AugLoop_Text_Critique"/>
    </int2:textHash>
    <int2:bookmark int2:bookmarkName="_Int_o4djRdhZ" int2:invalidationBookmarkName="" int2:hashCode="vmGNhshgw48f7E" int2:id="LWbSpMz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7D4A37"/>
    <w:multiLevelType w:val="multilevel"/>
    <w:tmpl w:val="B60EDA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3A24E0"/>
    <w:multiLevelType w:val="multilevel"/>
    <w:tmpl w:val="BDAC0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2015FF"/>
    <w:multiLevelType w:val="multilevel"/>
    <w:tmpl w:val="0532B6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652626">
    <w:abstractNumId w:val="0"/>
  </w:num>
  <w:num w:numId="2" w16cid:durableId="972058252">
    <w:abstractNumId w:val="2"/>
  </w:num>
  <w:num w:numId="3" w16cid:durableId="46757824">
    <w:abstractNumId w:val="1"/>
  </w:num>
  <w:num w:numId="4" w16cid:durableId="89555529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oynaroski, Tiffany G">
    <w15:presenceInfo w15:providerId="AD" w15:userId="S::tiffany.g.woynaroski@vumc.org::547fa5d5-8019-4ba9-b5c4-372ee72dfc87"/>
  </w15:person>
  <w15:person w15:author="Kristen Bottema-Beutel">
    <w15:presenceInfo w15:providerId="AD" w15:userId="S::botteabe@bc.edu::beae9bf7-8e5a-4a5d-a9e6-5523d326b0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21C5B"/>
    <w:rsid w:val="00036F83"/>
    <w:rsid w:val="00042E1B"/>
    <w:rsid w:val="00050B53"/>
    <w:rsid w:val="000D0162"/>
    <w:rsid w:val="000D29E4"/>
    <w:rsid w:val="00116832"/>
    <w:rsid w:val="00123CB6"/>
    <w:rsid w:val="001272C1"/>
    <w:rsid w:val="00151B11"/>
    <w:rsid w:val="00172DA7"/>
    <w:rsid w:val="00181EC7"/>
    <w:rsid w:val="001919B5"/>
    <w:rsid w:val="0019542A"/>
    <w:rsid w:val="001B41A0"/>
    <w:rsid w:val="001B4F78"/>
    <w:rsid w:val="001C735E"/>
    <w:rsid w:val="001E4BFE"/>
    <w:rsid w:val="00226854"/>
    <w:rsid w:val="00240828"/>
    <w:rsid w:val="00241C5C"/>
    <w:rsid w:val="00244C29"/>
    <w:rsid w:val="0027140A"/>
    <w:rsid w:val="002872AA"/>
    <w:rsid w:val="002E79CD"/>
    <w:rsid w:val="00300310"/>
    <w:rsid w:val="00303B92"/>
    <w:rsid w:val="003114D4"/>
    <w:rsid w:val="00312417"/>
    <w:rsid w:val="00316B3B"/>
    <w:rsid w:val="003170CB"/>
    <w:rsid w:val="0032171F"/>
    <w:rsid w:val="00324E6F"/>
    <w:rsid w:val="0033415B"/>
    <w:rsid w:val="003347E5"/>
    <w:rsid w:val="003400D8"/>
    <w:rsid w:val="00394E2C"/>
    <w:rsid w:val="003B0285"/>
    <w:rsid w:val="003B3297"/>
    <w:rsid w:val="003C2A0A"/>
    <w:rsid w:val="003C4D59"/>
    <w:rsid w:val="003D3C63"/>
    <w:rsid w:val="003D6244"/>
    <w:rsid w:val="003F558A"/>
    <w:rsid w:val="00412A17"/>
    <w:rsid w:val="00416F97"/>
    <w:rsid w:val="004310A4"/>
    <w:rsid w:val="004473AC"/>
    <w:rsid w:val="00452576"/>
    <w:rsid w:val="0045428A"/>
    <w:rsid w:val="00486444"/>
    <w:rsid w:val="004A786C"/>
    <w:rsid w:val="004D0DC5"/>
    <w:rsid w:val="004D1CE2"/>
    <w:rsid w:val="0051400A"/>
    <w:rsid w:val="0052683F"/>
    <w:rsid w:val="00534584"/>
    <w:rsid w:val="00550360"/>
    <w:rsid w:val="00573A3F"/>
    <w:rsid w:val="00577DC4"/>
    <w:rsid w:val="00580468"/>
    <w:rsid w:val="005817A0"/>
    <w:rsid w:val="005861FC"/>
    <w:rsid w:val="0059032D"/>
    <w:rsid w:val="005B7E82"/>
    <w:rsid w:val="005C360A"/>
    <w:rsid w:val="005C3FAF"/>
    <w:rsid w:val="005C4CA0"/>
    <w:rsid w:val="005C5992"/>
    <w:rsid w:val="005C789C"/>
    <w:rsid w:val="005F3158"/>
    <w:rsid w:val="00604EAC"/>
    <w:rsid w:val="00614563"/>
    <w:rsid w:val="00625543"/>
    <w:rsid w:val="00634DBE"/>
    <w:rsid w:val="00651436"/>
    <w:rsid w:val="006535AF"/>
    <w:rsid w:val="0065364E"/>
    <w:rsid w:val="006637E7"/>
    <w:rsid w:val="00665702"/>
    <w:rsid w:val="006851F9"/>
    <w:rsid w:val="0068783A"/>
    <w:rsid w:val="006A508A"/>
    <w:rsid w:val="006B3B99"/>
    <w:rsid w:val="006B3EBB"/>
    <w:rsid w:val="006C05DD"/>
    <w:rsid w:val="006C78E8"/>
    <w:rsid w:val="006D55F3"/>
    <w:rsid w:val="006D67F3"/>
    <w:rsid w:val="006E330A"/>
    <w:rsid w:val="00711179"/>
    <w:rsid w:val="00751FEE"/>
    <w:rsid w:val="007722E4"/>
    <w:rsid w:val="00775CF4"/>
    <w:rsid w:val="0077649B"/>
    <w:rsid w:val="00777D73"/>
    <w:rsid w:val="00794C1F"/>
    <w:rsid w:val="007959AA"/>
    <w:rsid w:val="007B4CE7"/>
    <w:rsid w:val="00801D2A"/>
    <w:rsid w:val="008114F4"/>
    <w:rsid w:val="00817FE3"/>
    <w:rsid w:val="00824C26"/>
    <w:rsid w:val="00837EDD"/>
    <w:rsid w:val="0084752E"/>
    <w:rsid w:val="0087492A"/>
    <w:rsid w:val="008938D8"/>
    <w:rsid w:val="008A5376"/>
    <w:rsid w:val="008B520F"/>
    <w:rsid w:val="008D6616"/>
    <w:rsid w:val="00910979"/>
    <w:rsid w:val="00914174"/>
    <w:rsid w:val="00924190"/>
    <w:rsid w:val="00926AB6"/>
    <w:rsid w:val="009273AD"/>
    <w:rsid w:val="009462E3"/>
    <w:rsid w:val="0099254A"/>
    <w:rsid w:val="009A3C2D"/>
    <w:rsid w:val="009A4043"/>
    <w:rsid w:val="009A5D6A"/>
    <w:rsid w:val="009A7FE7"/>
    <w:rsid w:val="009B1DAB"/>
    <w:rsid w:val="009C0863"/>
    <w:rsid w:val="009D0A0A"/>
    <w:rsid w:val="009E1B56"/>
    <w:rsid w:val="00A14FF2"/>
    <w:rsid w:val="00A160E4"/>
    <w:rsid w:val="00A16498"/>
    <w:rsid w:val="00A42978"/>
    <w:rsid w:val="00A53A9A"/>
    <w:rsid w:val="00A645D5"/>
    <w:rsid w:val="00A86E6E"/>
    <w:rsid w:val="00A9571D"/>
    <w:rsid w:val="00AB7B37"/>
    <w:rsid w:val="00AD1C04"/>
    <w:rsid w:val="00AD65D2"/>
    <w:rsid w:val="00AE4ADB"/>
    <w:rsid w:val="00AE5C40"/>
    <w:rsid w:val="00AF25F2"/>
    <w:rsid w:val="00B226B4"/>
    <w:rsid w:val="00B2633B"/>
    <w:rsid w:val="00B53F55"/>
    <w:rsid w:val="00B55E40"/>
    <w:rsid w:val="00B56B45"/>
    <w:rsid w:val="00B71AFF"/>
    <w:rsid w:val="00B73384"/>
    <w:rsid w:val="00B95DF6"/>
    <w:rsid w:val="00B96094"/>
    <w:rsid w:val="00BA0672"/>
    <w:rsid w:val="00BA2D2D"/>
    <w:rsid w:val="00BB547F"/>
    <w:rsid w:val="00BC6214"/>
    <w:rsid w:val="00BF23FF"/>
    <w:rsid w:val="00BF385B"/>
    <w:rsid w:val="00C6243D"/>
    <w:rsid w:val="00C76DA3"/>
    <w:rsid w:val="00C80718"/>
    <w:rsid w:val="00C922A9"/>
    <w:rsid w:val="00C96C8D"/>
    <w:rsid w:val="00CB1144"/>
    <w:rsid w:val="00CD4602"/>
    <w:rsid w:val="00CF18F9"/>
    <w:rsid w:val="00CF3363"/>
    <w:rsid w:val="00CF3CDF"/>
    <w:rsid w:val="00D251C6"/>
    <w:rsid w:val="00D46241"/>
    <w:rsid w:val="00D60D08"/>
    <w:rsid w:val="00D6416B"/>
    <w:rsid w:val="00D70D8E"/>
    <w:rsid w:val="00D71A68"/>
    <w:rsid w:val="00D8118B"/>
    <w:rsid w:val="00DB15EE"/>
    <w:rsid w:val="00DC15FA"/>
    <w:rsid w:val="00DC2879"/>
    <w:rsid w:val="00DC686B"/>
    <w:rsid w:val="00DF624C"/>
    <w:rsid w:val="00E15391"/>
    <w:rsid w:val="00E422FA"/>
    <w:rsid w:val="00E57D89"/>
    <w:rsid w:val="00EA12C0"/>
    <w:rsid w:val="00EC1345"/>
    <w:rsid w:val="00F023E6"/>
    <w:rsid w:val="00F0444E"/>
    <w:rsid w:val="00F1671C"/>
    <w:rsid w:val="00F2162A"/>
    <w:rsid w:val="00F46991"/>
    <w:rsid w:val="00F61106"/>
    <w:rsid w:val="00F71FEF"/>
    <w:rsid w:val="00F95D9F"/>
    <w:rsid w:val="00FA33ED"/>
    <w:rsid w:val="00FB69E5"/>
    <w:rsid w:val="00FC0980"/>
    <w:rsid w:val="00FF5F04"/>
    <w:rsid w:val="019B39BB"/>
    <w:rsid w:val="1035C322"/>
    <w:rsid w:val="158A9178"/>
    <w:rsid w:val="19B266A6"/>
    <w:rsid w:val="1BEE8248"/>
    <w:rsid w:val="1C3B573A"/>
    <w:rsid w:val="1D001488"/>
    <w:rsid w:val="2B7AA99B"/>
    <w:rsid w:val="2B90C0EF"/>
    <w:rsid w:val="2C641078"/>
    <w:rsid w:val="2CD3F520"/>
    <w:rsid w:val="2D616496"/>
    <w:rsid w:val="313BF9C6"/>
    <w:rsid w:val="31E392DD"/>
    <w:rsid w:val="3BAC045A"/>
    <w:rsid w:val="4D22EC0A"/>
    <w:rsid w:val="4E212D14"/>
    <w:rsid w:val="5065AB72"/>
    <w:rsid w:val="5F6EC6B8"/>
    <w:rsid w:val="5F7F5CC9"/>
    <w:rsid w:val="5FB321BB"/>
    <w:rsid w:val="60CAEDF1"/>
    <w:rsid w:val="62E772FA"/>
    <w:rsid w:val="63343D7C"/>
    <w:rsid w:val="685556BF"/>
    <w:rsid w:val="69F3E882"/>
    <w:rsid w:val="6C10F710"/>
    <w:rsid w:val="707EE439"/>
    <w:rsid w:val="7340D55E"/>
    <w:rsid w:val="7CB738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CommentReference">
    <w:name w:val="annotation reference"/>
    <w:basedOn w:val="DefaultParagraphFont"/>
    <w:uiPriority w:val="99"/>
    <w:semiHidden/>
    <w:unhideWhenUsed/>
    <w:rsid w:val="002E79CD"/>
    <w:rPr>
      <w:sz w:val="16"/>
      <w:szCs w:val="16"/>
    </w:rPr>
  </w:style>
  <w:style w:type="paragraph" w:styleId="CommentText">
    <w:name w:val="annotation text"/>
    <w:basedOn w:val="Normal"/>
    <w:link w:val="CommentTextChar"/>
    <w:uiPriority w:val="99"/>
    <w:unhideWhenUsed/>
    <w:rsid w:val="002E79CD"/>
    <w:pPr>
      <w:spacing w:line="240" w:lineRule="auto"/>
    </w:pPr>
    <w:rPr>
      <w:sz w:val="20"/>
      <w:szCs w:val="20"/>
    </w:rPr>
  </w:style>
  <w:style w:type="character" w:customStyle="1" w:styleId="CommentTextChar">
    <w:name w:val="Comment Text Char"/>
    <w:basedOn w:val="DefaultParagraphFont"/>
    <w:link w:val="CommentText"/>
    <w:uiPriority w:val="99"/>
    <w:rsid w:val="002E79CD"/>
    <w:rPr>
      <w:sz w:val="20"/>
      <w:szCs w:val="20"/>
    </w:rPr>
  </w:style>
  <w:style w:type="paragraph" w:styleId="CommentSubject">
    <w:name w:val="annotation subject"/>
    <w:basedOn w:val="CommentText"/>
    <w:next w:val="CommentText"/>
    <w:link w:val="CommentSubjectChar"/>
    <w:uiPriority w:val="99"/>
    <w:semiHidden/>
    <w:unhideWhenUsed/>
    <w:rsid w:val="002E79CD"/>
    <w:rPr>
      <w:b/>
      <w:bCs/>
    </w:rPr>
  </w:style>
  <w:style w:type="character" w:customStyle="1" w:styleId="CommentSubjectChar">
    <w:name w:val="Comment Subject Char"/>
    <w:basedOn w:val="CommentTextChar"/>
    <w:link w:val="CommentSubject"/>
    <w:uiPriority w:val="99"/>
    <w:semiHidden/>
    <w:rsid w:val="002E79CD"/>
    <w:rPr>
      <w:b/>
      <w:bCs/>
      <w:sz w:val="20"/>
      <w:szCs w:val="20"/>
    </w:rPr>
  </w:style>
  <w:style w:type="paragraph" w:styleId="Revision">
    <w:name w:val="Revision"/>
    <w:hidden/>
    <w:uiPriority w:val="99"/>
    <w:semiHidden/>
    <w:rsid w:val="004A786C"/>
    <w:pPr>
      <w:spacing w:after="0" w:line="240" w:lineRule="auto"/>
    </w:pPr>
  </w:style>
  <w:style w:type="character" w:styleId="Hyperlink">
    <w:name w:val="Hyperlink"/>
    <w:basedOn w:val="DefaultParagraphFont"/>
    <w:uiPriority w:val="99"/>
    <w:unhideWhenUsed/>
    <w:rsid w:val="005C3FAF"/>
    <w:rPr>
      <w:color w:val="0000FF" w:themeColor="hyperlink"/>
      <w:u w:val="single"/>
    </w:rPr>
  </w:style>
  <w:style w:type="character" w:styleId="UnresolvedMention">
    <w:name w:val="Unresolved Mention"/>
    <w:basedOn w:val="DefaultParagraphFont"/>
    <w:uiPriority w:val="99"/>
    <w:semiHidden/>
    <w:unhideWhenUsed/>
    <w:rsid w:val="005C3FAF"/>
    <w:rPr>
      <w:color w:val="605E5C"/>
      <w:shd w:val="clear" w:color="auto" w:fill="E1DFDD"/>
    </w:rPr>
  </w:style>
  <w:style w:type="character" w:customStyle="1" w:styleId="cf01">
    <w:name w:val="cf01"/>
    <w:basedOn w:val="DefaultParagraphFont"/>
    <w:rsid w:val="006A508A"/>
    <w:rPr>
      <w:rFonts w:ascii="Segoe UI" w:hAnsi="Segoe UI" w:cs="Segoe UI" w:hint="default"/>
      <w:sz w:val="18"/>
      <w:szCs w:val="18"/>
    </w:rPr>
  </w:style>
  <w:style w:type="paragraph" w:customStyle="1" w:styleId="pf0">
    <w:name w:val="pf0"/>
    <w:basedOn w:val="Normal"/>
    <w:rsid w:val="001E4B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20062">
      <w:bodyDiv w:val="1"/>
      <w:marLeft w:val="0"/>
      <w:marRight w:val="0"/>
      <w:marTop w:val="0"/>
      <w:marBottom w:val="0"/>
      <w:divBdr>
        <w:top w:val="none" w:sz="0" w:space="0" w:color="auto"/>
        <w:left w:val="none" w:sz="0" w:space="0" w:color="auto"/>
        <w:bottom w:val="none" w:sz="0" w:space="0" w:color="auto"/>
        <w:right w:val="none" w:sz="0" w:space="0" w:color="auto"/>
      </w:divBdr>
    </w:div>
    <w:div w:id="142551710">
      <w:bodyDiv w:val="1"/>
      <w:marLeft w:val="0"/>
      <w:marRight w:val="0"/>
      <w:marTop w:val="0"/>
      <w:marBottom w:val="0"/>
      <w:divBdr>
        <w:top w:val="none" w:sz="0" w:space="0" w:color="auto"/>
        <w:left w:val="none" w:sz="0" w:space="0" w:color="auto"/>
        <w:bottom w:val="none" w:sz="0" w:space="0" w:color="auto"/>
        <w:right w:val="none" w:sz="0" w:space="0" w:color="auto"/>
      </w:divBdr>
      <w:divsChild>
        <w:div w:id="1315527346">
          <w:marLeft w:val="0"/>
          <w:marRight w:val="0"/>
          <w:marTop w:val="0"/>
          <w:marBottom w:val="0"/>
          <w:divBdr>
            <w:top w:val="none" w:sz="0" w:space="0" w:color="auto"/>
            <w:left w:val="none" w:sz="0" w:space="0" w:color="auto"/>
            <w:bottom w:val="none" w:sz="0" w:space="0" w:color="auto"/>
            <w:right w:val="none" w:sz="0" w:space="0" w:color="auto"/>
          </w:divBdr>
        </w:div>
        <w:div w:id="184759818">
          <w:marLeft w:val="0"/>
          <w:marRight w:val="0"/>
          <w:marTop w:val="0"/>
          <w:marBottom w:val="0"/>
          <w:divBdr>
            <w:top w:val="none" w:sz="0" w:space="0" w:color="auto"/>
            <w:left w:val="none" w:sz="0" w:space="0" w:color="auto"/>
            <w:bottom w:val="none" w:sz="0" w:space="0" w:color="auto"/>
            <w:right w:val="none" w:sz="0" w:space="0" w:color="auto"/>
          </w:divBdr>
        </w:div>
        <w:div w:id="832261609">
          <w:marLeft w:val="0"/>
          <w:marRight w:val="0"/>
          <w:marTop w:val="0"/>
          <w:marBottom w:val="0"/>
          <w:divBdr>
            <w:top w:val="none" w:sz="0" w:space="0" w:color="auto"/>
            <w:left w:val="none" w:sz="0" w:space="0" w:color="auto"/>
            <w:bottom w:val="none" w:sz="0" w:space="0" w:color="auto"/>
            <w:right w:val="none" w:sz="0" w:space="0" w:color="auto"/>
          </w:divBdr>
        </w:div>
        <w:div w:id="1904827945">
          <w:marLeft w:val="0"/>
          <w:marRight w:val="0"/>
          <w:marTop w:val="0"/>
          <w:marBottom w:val="0"/>
          <w:divBdr>
            <w:top w:val="none" w:sz="0" w:space="0" w:color="auto"/>
            <w:left w:val="none" w:sz="0" w:space="0" w:color="auto"/>
            <w:bottom w:val="none" w:sz="0" w:space="0" w:color="auto"/>
            <w:right w:val="none" w:sz="0" w:space="0" w:color="auto"/>
          </w:divBdr>
        </w:div>
        <w:div w:id="2132555796">
          <w:marLeft w:val="0"/>
          <w:marRight w:val="0"/>
          <w:marTop w:val="0"/>
          <w:marBottom w:val="0"/>
          <w:divBdr>
            <w:top w:val="none" w:sz="0" w:space="0" w:color="auto"/>
            <w:left w:val="none" w:sz="0" w:space="0" w:color="auto"/>
            <w:bottom w:val="none" w:sz="0" w:space="0" w:color="auto"/>
            <w:right w:val="none" w:sz="0" w:space="0" w:color="auto"/>
          </w:divBdr>
        </w:div>
        <w:div w:id="1607810708">
          <w:marLeft w:val="0"/>
          <w:marRight w:val="0"/>
          <w:marTop w:val="0"/>
          <w:marBottom w:val="0"/>
          <w:divBdr>
            <w:top w:val="none" w:sz="0" w:space="0" w:color="auto"/>
            <w:left w:val="none" w:sz="0" w:space="0" w:color="auto"/>
            <w:bottom w:val="none" w:sz="0" w:space="0" w:color="auto"/>
            <w:right w:val="none" w:sz="0" w:space="0" w:color="auto"/>
          </w:divBdr>
        </w:div>
        <w:div w:id="1567764634">
          <w:marLeft w:val="0"/>
          <w:marRight w:val="0"/>
          <w:marTop w:val="0"/>
          <w:marBottom w:val="0"/>
          <w:divBdr>
            <w:top w:val="none" w:sz="0" w:space="0" w:color="auto"/>
            <w:left w:val="none" w:sz="0" w:space="0" w:color="auto"/>
            <w:bottom w:val="none" w:sz="0" w:space="0" w:color="auto"/>
            <w:right w:val="none" w:sz="0" w:space="0" w:color="auto"/>
          </w:divBdr>
        </w:div>
        <w:div w:id="378285705">
          <w:marLeft w:val="0"/>
          <w:marRight w:val="0"/>
          <w:marTop w:val="0"/>
          <w:marBottom w:val="0"/>
          <w:divBdr>
            <w:top w:val="none" w:sz="0" w:space="0" w:color="auto"/>
            <w:left w:val="none" w:sz="0" w:space="0" w:color="auto"/>
            <w:bottom w:val="none" w:sz="0" w:space="0" w:color="auto"/>
            <w:right w:val="none" w:sz="0" w:space="0" w:color="auto"/>
          </w:divBdr>
        </w:div>
        <w:div w:id="1485509214">
          <w:marLeft w:val="0"/>
          <w:marRight w:val="0"/>
          <w:marTop w:val="0"/>
          <w:marBottom w:val="0"/>
          <w:divBdr>
            <w:top w:val="none" w:sz="0" w:space="0" w:color="auto"/>
            <w:left w:val="none" w:sz="0" w:space="0" w:color="auto"/>
            <w:bottom w:val="none" w:sz="0" w:space="0" w:color="auto"/>
            <w:right w:val="none" w:sz="0" w:space="0" w:color="auto"/>
          </w:divBdr>
        </w:div>
        <w:div w:id="498935000">
          <w:marLeft w:val="0"/>
          <w:marRight w:val="0"/>
          <w:marTop w:val="0"/>
          <w:marBottom w:val="0"/>
          <w:divBdr>
            <w:top w:val="none" w:sz="0" w:space="0" w:color="auto"/>
            <w:left w:val="none" w:sz="0" w:space="0" w:color="auto"/>
            <w:bottom w:val="none" w:sz="0" w:space="0" w:color="auto"/>
            <w:right w:val="none" w:sz="0" w:space="0" w:color="auto"/>
          </w:divBdr>
        </w:div>
        <w:div w:id="62068066">
          <w:marLeft w:val="0"/>
          <w:marRight w:val="0"/>
          <w:marTop w:val="0"/>
          <w:marBottom w:val="0"/>
          <w:divBdr>
            <w:top w:val="none" w:sz="0" w:space="0" w:color="auto"/>
            <w:left w:val="none" w:sz="0" w:space="0" w:color="auto"/>
            <w:bottom w:val="none" w:sz="0" w:space="0" w:color="auto"/>
            <w:right w:val="none" w:sz="0" w:space="0" w:color="auto"/>
          </w:divBdr>
        </w:div>
        <w:div w:id="1504588519">
          <w:marLeft w:val="0"/>
          <w:marRight w:val="0"/>
          <w:marTop w:val="0"/>
          <w:marBottom w:val="0"/>
          <w:divBdr>
            <w:top w:val="none" w:sz="0" w:space="0" w:color="auto"/>
            <w:left w:val="none" w:sz="0" w:space="0" w:color="auto"/>
            <w:bottom w:val="none" w:sz="0" w:space="0" w:color="auto"/>
            <w:right w:val="none" w:sz="0" w:space="0" w:color="auto"/>
          </w:divBdr>
        </w:div>
        <w:div w:id="1675763324">
          <w:marLeft w:val="0"/>
          <w:marRight w:val="0"/>
          <w:marTop w:val="0"/>
          <w:marBottom w:val="0"/>
          <w:divBdr>
            <w:top w:val="none" w:sz="0" w:space="0" w:color="auto"/>
            <w:left w:val="none" w:sz="0" w:space="0" w:color="auto"/>
            <w:bottom w:val="none" w:sz="0" w:space="0" w:color="auto"/>
            <w:right w:val="none" w:sz="0" w:space="0" w:color="auto"/>
          </w:divBdr>
        </w:div>
      </w:divsChild>
    </w:div>
    <w:div w:id="1194028671">
      <w:bodyDiv w:val="1"/>
      <w:marLeft w:val="0"/>
      <w:marRight w:val="0"/>
      <w:marTop w:val="0"/>
      <w:marBottom w:val="0"/>
      <w:divBdr>
        <w:top w:val="none" w:sz="0" w:space="0" w:color="auto"/>
        <w:left w:val="none" w:sz="0" w:space="0" w:color="auto"/>
        <w:bottom w:val="none" w:sz="0" w:space="0" w:color="auto"/>
        <w:right w:val="none" w:sz="0" w:space="0" w:color="auto"/>
      </w:divBdr>
      <w:divsChild>
        <w:div w:id="1663420">
          <w:marLeft w:val="0"/>
          <w:marRight w:val="0"/>
          <w:marTop w:val="0"/>
          <w:marBottom w:val="0"/>
          <w:divBdr>
            <w:top w:val="none" w:sz="0" w:space="0" w:color="auto"/>
            <w:left w:val="none" w:sz="0" w:space="0" w:color="auto"/>
            <w:bottom w:val="none" w:sz="0" w:space="0" w:color="auto"/>
            <w:right w:val="none" w:sz="0" w:space="0" w:color="auto"/>
          </w:divBdr>
          <w:divsChild>
            <w:div w:id="1921787271">
              <w:marLeft w:val="0"/>
              <w:marRight w:val="0"/>
              <w:marTop w:val="0"/>
              <w:marBottom w:val="0"/>
              <w:divBdr>
                <w:top w:val="none" w:sz="0" w:space="0" w:color="auto"/>
                <w:left w:val="none" w:sz="0" w:space="0" w:color="auto"/>
                <w:bottom w:val="none" w:sz="0" w:space="0" w:color="auto"/>
                <w:right w:val="none" w:sz="0" w:space="0" w:color="auto"/>
              </w:divBdr>
            </w:div>
            <w:div w:id="757600777">
              <w:marLeft w:val="0"/>
              <w:marRight w:val="0"/>
              <w:marTop w:val="0"/>
              <w:marBottom w:val="0"/>
              <w:divBdr>
                <w:top w:val="none" w:sz="0" w:space="0" w:color="auto"/>
                <w:left w:val="none" w:sz="0" w:space="0" w:color="auto"/>
                <w:bottom w:val="none" w:sz="0" w:space="0" w:color="auto"/>
                <w:right w:val="none" w:sz="0" w:space="0" w:color="auto"/>
              </w:divBdr>
            </w:div>
            <w:div w:id="46031784">
              <w:marLeft w:val="0"/>
              <w:marRight w:val="0"/>
              <w:marTop w:val="0"/>
              <w:marBottom w:val="0"/>
              <w:divBdr>
                <w:top w:val="none" w:sz="0" w:space="0" w:color="auto"/>
                <w:left w:val="none" w:sz="0" w:space="0" w:color="auto"/>
                <w:bottom w:val="none" w:sz="0" w:space="0" w:color="auto"/>
                <w:right w:val="none" w:sz="0" w:space="0" w:color="auto"/>
              </w:divBdr>
            </w:div>
            <w:div w:id="848326625">
              <w:marLeft w:val="0"/>
              <w:marRight w:val="0"/>
              <w:marTop w:val="0"/>
              <w:marBottom w:val="0"/>
              <w:divBdr>
                <w:top w:val="none" w:sz="0" w:space="0" w:color="auto"/>
                <w:left w:val="none" w:sz="0" w:space="0" w:color="auto"/>
                <w:bottom w:val="none" w:sz="0" w:space="0" w:color="auto"/>
                <w:right w:val="none" w:sz="0" w:space="0" w:color="auto"/>
              </w:divBdr>
            </w:div>
            <w:div w:id="1737898645">
              <w:marLeft w:val="0"/>
              <w:marRight w:val="0"/>
              <w:marTop w:val="0"/>
              <w:marBottom w:val="0"/>
              <w:divBdr>
                <w:top w:val="none" w:sz="0" w:space="0" w:color="auto"/>
                <w:left w:val="none" w:sz="0" w:space="0" w:color="auto"/>
                <w:bottom w:val="none" w:sz="0" w:space="0" w:color="auto"/>
                <w:right w:val="none" w:sz="0" w:space="0" w:color="auto"/>
              </w:divBdr>
            </w:div>
          </w:divsChild>
        </w:div>
        <w:div w:id="2137748456">
          <w:marLeft w:val="0"/>
          <w:marRight w:val="0"/>
          <w:marTop w:val="0"/>
          <w:marBottom w:val="0"/>
          <w:divBdr>
            <w:top w:val="none" w:sz="0" w:space="0" w:color="auto"/>
            <w:left w:val="none" w:sz="0" w:space="0" w:color="auto"/>
            <w:bottom w:val="none" w:sz="0" w:space="0" w:color="auto"/>
            <w:right w:val="none" w:sz="0" w:space="0" w:color="auto"/>
          </w:divBdr>
        </w:div>
        <w:div w:id="706373911">
          <w:marLeft w:val="0"/>
          <w:marRight w:val="0"/>
          <w:marTop w:val="0"/>
          <w:marBottom w:val="0"/>
          <w:divBdr>
            <w:top w:val="none" w:sz="0" w:space="0" w:color="auto"/>
            <w:left w:val="none" w:sz="0" w:space="0" w:color="auto"/>
            <w:bottom w:val="none" w:sz="0" w:space="0" w:color="auto"/>
            <w:right w:val="none" w:sz="0" w:space="0" w:color="auto"/>
          </w:divBdr>
        </w:div>
      </w:divsChild>
    </w:div>
    <w:div w:id="1436750672">
      <w:bodyDiv w:val="1"/>
      <w:marLeft w:val="0"/>
      <w:marRight w:val="0"/>
      <w:marTop w:val="0"/>
      <w:marBottom w:val="0"/>
      <w:divBdr>
        <w:top w:val="none" w:sz="0" w:space="0" w:color="auto"/>
        <w:left w:val="none" w:sz="0" w:space="0" w:color="auto"/>
        <w:bottom w:val="none" w:sz="0" w:space="0" w:color="auto"/>
        <w:right w:val="none" w:sz="0" w:space="0" w:color="auto"/>
      </w:divBdr>
    </w:div>
    <w:div w:id="1858617376">
      <w:bodyDiv w:val="1"/>
      <w:marLeft w:val="0"/>
      <w:marRight w:val="0"/>
      <w:marTop w:val="0"/>
      <w:marBottom w:val="0"/>
      <w:divBdr>
        <w:top w:val="none" w:sz="0" w:space="0" w:color="auto"/>
        <w:left w:val="none" w:sz="0" w:space="0" w:color="auto"/>
        <w:bottom w:val="none" w:sz="0" w:space="0" w:color="auto"/>
        <w:right w:val="none" w:sz="0" w:space="0" w:color="auto"/>
      </w:divBdr>
      <w:divsChild>
        <w:div w:id="855193443">
          <w:marLeft w:val="0"/>
          <w:marRight w:val="0"/>
          <w:marTop w:val="0"/>
          <w:marBottom w:val="0"/>
          <w:divBdr>
            <w:top w:val="none" w:sz="0" w:space="0" w:color="auto"/>
            <w:left w:val="none" w:sz="0" w:space="0" w:color="auto"/>
            <w:bottom w:val="none" w:sz="0" w:space="0" w:color="auto"/>
            <w:right w:val="none" w:sz="0" w:space="0" w:color="auto"/>
          </w:divBdr>
          <w:divsChild>
            <w:div w:id="1980190385">
              <w:marLeft w:val="0"/>
              <w:marRight w:val="0"/>
              <w:marTop w:val="0"/>
              <w:marBottom w:val="0"/>
              <w:divBdr>
                <w:top w:val="none" w:sz="0" w:space="0" w:color="auto"/>
                <w:left w:val="none" w:sz="0" w:space="0" w:color="auto"/>
                <w:bottom w:val="none" w:sz="0" w:space="0" w:color="auto"/>
                <w:right w:val="none" w:sz="0" w:space="0" w:color="auto"/>
              </w:divBdr>
            </w:div>
            <w:div w:id="122816164">
              <w:marLeft w:val="0"/>
              <w:marRight w:val="0"/>
              <w:marTop w:val="0"/>
              <w:marBottom w:val="0"/>
              <w:divBdr>
                <w:top w:val="none" w:sz="0" w:space="0" w:color="auto"/>
                <w:left w:val="none" w:sz="0" w:space="0" w:color="auto"/>
                <w:bottom w:val="none" w:sz="0" w:space="0" w:color="auto"/>
                <w:right w:val="none" w:sz="0" w:space="0" w:color="auto"/>
              </w:divBdr>
            </w:div>
            <w:div w:id="1062605836">
              <w:marLeft w:val="0"/>
              <w:marRight w:val="0"/>
              <w:marTop w:val="0"/>
              <w:marBottom w:val="0"/>
              <w:divBdr>
                <w:top w:val="none" w:sz="0" w:space="0" w:color="auto"/>
                <w:left w:val="none" w:sz="0" w:space="0" w:color="auto"/>
                <w:bottom w:val="none" w:sz="0" w:space="0" w:color="auto"/>
                <w:right w:val="none" w:sz="0" w:space="0" w:color="auto"/>
              </w:divBdr>
            </w:div>
            <w:div w:id="1115751954">
              <w:marLeft w:val="0"/>
              <w:marRight w:val="0"/>
              <w:marTop w:val="0"/>
              <w:marBottom w:val="0"/>
              <w:divBdr>
                <w:top w:val="none" w:sz="0" w:space="0" w:color="auto"/>
                <w:left w:val="none" w:sz="0" w:space="0" w:color="auto"/>
                <w:bottom w:val="none" w:sz="0" w:space="0" w:color="auto"/>
                <w:right w:val="none" w:sz="0" w:space="0" w:color="auto"/>
              </w:divBdr>
            </w:div>
            <w:div w:id="2027712511">
              <w:marLeft w:val="0"/>
              <w:marRight w:val="0"/>
              <w:marTop w:val="0"/>
              <w:marBottom w:val="0"/>
              <w:divBdr>
                <w:top w:val="none" w:sz="0" w:space="0" w:color="auto"/>
                <w:left w:val="none" w:sz="0" w:space="0" w:color="auto"/>
                <w:bottom w:val="none" w:sz="0" w:space="0" w:color="auto"/>
                <w:right w:val="none" w:sz="0" w:space="0" w:color="auto"/>
              </w:divBdr>
            </w:div>
          </w:divsChild>
        </w:div>
        <w:div w:id="1731077423">
          <w:marLeft w:val="0"/>
          <w:marRight w:val="0"/>
          <w:marTop w:val="0"/>
          <w:marBottom w:val="0"/>
          <w:divBdr>
            <w:top w:val="none" w:sz="0" w:space="0" w:color="auto"/>
            <w:left w:val="none" w:sz="0" w:space="0" w:color="auto"/>
            <w:bottom w:val="none" w:sz="0" w:space="0" w:color="auto"/>
            <w:right w:val="none" w:sz="0" w:space="0" w:color="auto"/>
          </w:divBdr>
        </w:div>
        <w:div w:id="157381299">
          <w:marLeft w:val="0"/>
          <w:marRight w:val="0"/>
          <w:marTop w:val="0"/>
          <w:marBottom w:val="0"/>
          <w:divBdr>
            <w:top w:val="none" w:sz="0" w:space="0" w:color="auto"/>
            <w:left w:val="none" w:sz="0" w:space="0" w:color="auto"/>
            <w:bottom w:val="none" w:sz="0" w:space="0" w:color="auto"/>
            <w:right w:val="none" w:sz="0" w:space="0" w:color="auto"/>
          </w:divBdr>
        </w:div>
      </w:divsChild>
    </w:div>
    <w:div w:id="2077820534">
      <w:bodyDiv w:val="1"/>
      <w:marLeft w:val="0"/>
      <w:marRight w:val="0"/>
      <w:marTop w:val="0"/>
      <w:marBottom w:val="0"/>
      <w:divBdr>
        <w:top w:val="none" w:sz="0" w:space="0" w:color="auto"/>
        <w:left w:val="none" w:sz="0" w:space="0" w:color="auto"/>
        <w:bottom w:val="none" w:sz="0" w:space="0" w:color="auto"/>
        <w:right w:val="none" w:sz="0" w:space="0" w:color="auto"/>
      </w:divBdr>
      <w:divsChild>
        <w:div w:id="10181113">
          <w:marLeft w:val="0"/>
          <w:marRight w:val="0"/>
          <w:marTop w:val="0"/>
          <w:marBottom w:val="0"/>
          <w:divBdr>
            <w:top w:val="none" w:sz="0" w:space="0" w:color="auto"/>
            <w:left w:val="none" w:sz="0" w:space="0" w:color="auto"/>
            <w:bottom w:val="none" w:sz="0" w:space="0" w:color="auto"/>
            <w:right w:val="none" w:sz="0" w:space="0" w:color="auto"/>
          </w:divBdr>
        </w:div>
        <w:div w:id="917835427">
          <w:marLeft w:val="0"/>
          <w:marRight w:val="0"/>
          <w:marTop w:val="0"/>
          <w:marBottom w:val="0"/>
          <w:divBdr>
            <w:top w:val="none" w:sz="0" w:space="0" w:color="auto"/>
            <w:left w:val="none" w:sz="0" w:space="0" w:color="auto"/>
            <w:bottom w:val="none" w:sz="0" w:space="0" w:color="auto"/>
            <w:right w:val="none" w:sz="0" w:space="0" w:color="auto"/>
          </w:divBdr>
        </w:div>
        <w:div w:id="2097243544">
          <w:marLeft w:val="0"/>
          <w:marRight w:val="0"/>
          <w:marTop w:val="0"/>
          <w:marBottom w:val="0"/>
          <w:divBdr>
            <w:top w:val="none" w:sz="0" w:space="0" w:color="auto"/>
            <w:left w:val="none" w:sz="0" w:space="0" w:color="auto"/>
            <w:bottom w:val="none" w:sz="0" w:space="0" w:color="auto"/>
            <w:right w:val="none" w:sz="0" w:space="0" w:color="auto"/>
          </w:divBdr>
        </w:div>
        <w:div w:id="516651973">
          <w:marLeft w:val="0"/>
          <w:marRight w:val="0"/>
          <w:marTop w:val="0"/>
          <w:marBottom w:val="0"/>
          <w:divBdr>
            <w:top w:val="none" w:sz="0" w:space="0" w:color="auto"/>
            <w:left w:val="none" w:sz="0" w:space="0" w:color="auto"/>
            <w:bottom w:val="none" w:sz="0" w:space="0" w:color="auto"/>
            <w:right w:val="none" w:sz="0" w:space="0" w:color="auto"/>
          </w:divBdr>
        </w:div>
        <w:div w:id="1659453809">
          <w:marLeft w:val="0"/>
          <w:marRight w:val="0"/>
          <w:marTop w:val="0"/>
          <w:marBottom w:val="0"/>
          <w:divBdr>
            <w:top w:val="none" w:sz="0" w:space="0" w:color="auto"/>
            <w:left w:val="none" w:sz="0" w:space="0" w:color="auto"/>
            <w:bottom w:val="none" w:sz="0" w:space="0" w:color="auto"/>
            <w:right w:val="none" w:sz="0" w:space="0" w:color="auto"/>
          </w:divBdr>
        </w:div>
        <w:div w:id="916011886">
          <w:marLeft w:val="0"/>
          <w:marRight w:val="0"/>
          <w:marTop w:val="0"/>
          <w:marBottom w:val="0"/>
          <w:divBdr>
            <w:top w:val="none" w:sz="0" w:space="0" w:color="auto"/>
            <w:left w:val="none" w:sz="0" w:space="0" w:color="auto"/>
            <w:bottom w:val="none" w:sz="0" w:space="0" w:color="auto"/>
            <w:right w:val="none" w:sz="0" w:space="0" w:color="auto"/>
          </w:divBdr>
        </w:div>
        <w:div w:id="2105950423">
          <w:marLeft w:val="0"/>
          <w:marRight w:val="0"/>
          <w:marTop w:val="0"/>
          <w:marBottom w:val="0"/>
          <w:divBdr>
            <w:top w:val="none" w:sz="0" w:space="0" w:color="auto"/>
            <w:left w:val="none" w:sz="0" w:space="0" w:color="auto"/>
            <w:bottom w:val="none" w:sz="0" w:space="0" w:color="auto"/>
            <w:right w:val="none" w:sz="0" w:space="0" w:color="auto"/>
          </w:divBdr>
        </w:div>
        <w:div w:id="495846305">
          <w:marLeft w:val="0"/>
          <w:marRight w:val="0"/>
          <w:marTop w:val="0"/>
          <w:marBottom w:val="0"/>
          <w:divBdr>
            <w:top w:val="none" w:sz="0" w:space="0" w:color="auto"/>
            <w:left w:val="none" w:sz="0" w:space="0" w:color="auto"/>
            <w:bottom w:val="none" w:sz="0" w:space="0" w:color="auto"/>
            <w:right w:val="none" w:sz="0" w:space="0" w:color="auto"/>
          </w:divBdr>
        </w:div>
        <w:div w:id="1020468915">
          <w:marLeft w:val="0"/>
          <w:marRight w:val="0"/>
          <w:marTop w:val="0"/>
          <w:marBottom w:val="0"/>
          <w:divBdr>
            <w:top w:val="none" w:sz="0" w:space="0" w:color="auto"/>
            <w:left w:val="none" w:sz="0" w:space="0" w:color="auto"/>
            <w:bottom w:val="none" w:sz="0" w:space="0" w:color="auto"/>
            <w:right w:val="none" w:sz="0" w:space="0" w:color="auto"/>
          </w:divBdr>
        </w:div>
        <w:div w:id="1118598037">
          <w:marLeft w:val="0"/>
          <w:marRight w:val="0"/>
          <w:marTop w:val="0"/>
          <w:marBottom w:val="0"/>
          <w:divBdr>
            <w:top w:val="none" w:sz="0" w:space="0" w:color="auto"/>
            <w:left w:val="none" w:sz="0" w:space="0" w:color="auto"/>
            <w:bottom w:val="none" w:sz="0" w:space="0" w:color="auto"/>
            <w:right w:val="none" w:sz="0" w:space="0" w:color="auto"/>
          </w:divBdr>
        </w:div>
        <w:div w:id="1273244810">
          <w:marLeft w:val="0"/>
          <w:marRight w:val="0"/>
          <w:marTop w:val="0"/>
          <w:marBottom w:val="0"/>
          <w:divBdr>
            <w:top w:val="none" w:sz="0" w:space="0" w:color="auto"/>
            <w:left w:val="none" w:sz="0" w:space="0" w:color="auto"/>
            <w:bottom w:val="none" w:sz="0" w:space="0" w:color="auto"/>
            <w:right w:val="none" w:sz="0" w:space="0" w:color="auto"/>
          </w:divBdr>
        </w:div>
        <w:div w:id="836919560">
          <w:marLeft w:val="0"/>
          <w:marRight w:val="0"/>
          <w:marTop w:val="0"/>
          <w:marBottom w:val="0"/>
          <w:divBdr>
            <w:top w:val="none" w:sz="0" w:space="0" w:color="auto"/>
            <w:left w:val="none" w:sz="0" w:space="0" w:color="auto"/>
            <w:bottom w:val="none" w:sz="0" w:space="0" w:color="auto"/>
            <w:right w:val="none" w:sz="0" w:space="0" w:color="auto"/>
          </w:divBdr>
        </w:div>
        <w:div w:id="455023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6B2AF2890618489739BE3E947FDF8E" ma:contentTypeVersion="9" ma:contentTypeDescription="Create a new document." ma:contentTypeScope="" ma:versionID="4ef3a68ab5111a90a96a9ef5e8a7c496">
  <xsd:schema xmlns:xsd="http://www.w3.org/2001/XMLSchema" xmlns:xs="http://www.w3.org/2001/XMLSchema" xmlns:p="http://schemas.microsoft.com/office/2006/metadata/properties" xmlns:ns3="a551446a-962a-45e7-ad85-4edd4c9815d8" xmlns:ns4="55144a6e-72e1-481a-874f-58e7a6f723fb" targetNamespace="http://schemas.microsoft.com/office/2006/metadata/properties" ma:root="true" ma:fieldsID="62d7499f53343273d039791d7ba8a2b0" ns3:_="" ns4:_="">
    <xsd:import namespace="a551446a-962a-45e7-ad85-4edd4c9815d8"/>
    <xsd:import namespace="55144a6e-72e1-481a-874f-58e7a6f723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1446a-962a-45e7-ad85-4edd4c981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144a6e-72e1-481a-874f-58e7a6f723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551446a-962a-45e7-ad85-4edd4c9815d8" xsi:nil="true"/>
  </documentManagement>
</p:properties>
</file>

<file path=customXml/itemProps1.xml><?xml version="1.0" encoding="utf-8"?>
<ds:datastoreItem xmlns:ds="http://schemas.openxmlformats.org/officeDocument/2006/customXml" ds:itemID="{3A7F9D24-4A16-4406-93FD-8B57975D6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1446a-962a-45e7-ad85-4edd4c9815d8"/>
    <ds:schemaRef ds:uri="55144a6e-72e1-481a-874f-58e7a6f72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 ds:uri="a551446a-962a-45e7-ad85-4edd4c9815d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1108</Words>
  <Characters>6319</Characters>
  <Application>Microsoft Office Word</Application>
  <DocSecurity>0</DocSecurity>
  <Lines>52</Lines>
  <Paragraphs>14</Paragraphs>
  <ScaleCrop>false</ScaleCrop>
  <Company>UCDHS</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Clark, Madison</cp:lastModifiedBy>
  <cp:revision>4</cp:revision>
  <dcterms:created xsi:type="dcterms:W3CDTF">2024-11-01T14:28:00Z</dcterms:created>
  <dcterms:modified xsi:type="dcterms:W3CDTF">2024-11-04T20:49:00Z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0x010100226B2AF2890618489739BE3E947FDF8E</vt:lpwstr>
  </property>
  <property fmtid="{D5CDD505-2E9C-101B-9397-08002B2CF9AE}" pid="3" name="MSIP_Label_792c8cef-6f2b-4af1-b4ac-d815ff795cd6_Enabled">
    <vt:lpwstr>true</vt:lpwstr>
  </property>
  <property fmtid="{D5CDD505-2E9C-101B-9397-08002B2CF9AE}" pid="4" name="MSIP_Label_792c8cef-6f2b-4af1-b4ac-d815ff795cd6_SetDate">
    <vt:lpwstr>2024-10-29T19:53:55Z</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iteId">
    <vt:lpwstr>ef575030-1424-4ed8-b83c-12c533d879ab</vt:lpwstr>
  </property>
  <property fmtid="{D5CDD505-2E9C-101B-9397-08002B2CF9AE}" pid="8" name="MSIP_Label_792c8cef-6f2b-4af1-b4ac-d815ff795cd6_ActionId">
    <vt:lpwstr>6ed09b17-23a4-4646-a28e-fe057e9d3db6</vt:lpwstr>
  </property>
  <property fmtid="{D5CDD505-2E9C-101B-9397-08002B2CF9AE}" pid="9" name="MSIP_Label_792c8cef-6f2b-4af1-b4ac-d815ff795cd6_ContentBits">
    <vt:lpwstr>0</vt:lpwstr>
  </property>
</Properties>
</file>