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61D85AF1" w:rsidR="003D6244" w:rsidRDefault="003D6244" w:rsidP="00C950AE">
      <w:pPr>
        <w:pStyle w:val="NoSpacing"/>
        <w:rPr>
          <w:sz w:val="20"/>
          <w:szCs w:val="20"/>
        </w:rPr>
      </w:pPr>
      <w:r w:rsidRPr="00C950AE">
        <w:rPr>
          <w:b/>
          <w:sz w:val="20"/>
          <w:szCs w:val="20"/>
        </w:rPr>
        <w:t>Title</w:t>
      </w:r>
      <w:r w:rsidRPr="00C950AE">
        <w:rPr>
          <w:sz w:val="20"/>
          <w:szCs w:val="20"/>
        </w:rPr>
        <w:t xml:space="preserve">: </w:t>
      </w:r>
      <w:r w:rsidR="00C950AE" w:rsidRPr="00C950AE">
        <w:rPr>
          <w:sz w:val="20"/>
          <w:szCs w:val="20"/>
        </w:rPr>
        <w:t>A novel Program Acceptability Tool for Telehealth (PATT) to assess patient-reported acceptability among caregivers of children with neurogenetic conditions.</w:t>
      </w:r>
    </w:p>
    <w:p w14:paraId="5B333F5B" w14:textId="77777777" w:rsidR="00C950AE" w:rsidRPr="00C950AE" w:rsidRDefault="00C950AE" w:rsidP="00C950AE">
      <w:pPr>
        <w:pStyle w:val="NoSpacing"/>
        <w:rPr>
          <w:sz w:val="20"/>
          <w:szCs w:val="20"/>
        </w:rPr>
      </w:pPr>
    </w:p>
    <w:p w14:paraId="7AC50371" w14:textId="00EFF908" w:rsidR="003D6244" w:rsidRDefault="003D6244" w:rsidP="00C950AE">
      <w:pPr>
        <w:pStyle w:val="NoSpacing"/>
        <w:rPr>
          <w:sz w:val="20"/>
          <w:szCs w:val="20"/>
        </w:rPr>
      </w:pPr>
      <w:r w:rsidRPr="00C950AE">
        <w:rPr>
          <w:b/>
          <w:sz w:val="20"/>
          <w:szCs w:val="20"/>
        </w:rPr>
        <w:t>Authors</w:t>
      </w:r>
      <w:r w:rsidRPr="00C950AE">
        <w:rPr>
          <w:sz w:val="20"/>
          <w:szCs w:val="20"/>
        </w:rPr>
        <w:t xml:space="preserve">: </w:t>
      </w:r>
      <w:r w:rsidR="00C950AE" w:rsidRPr="00C950AE">
        <w:rPr>
          <w:sz w:val="20"/>
          <w:szCs w:val="20"/>
        </w:rPr>
        <w:t>Kaleb Emerson</w:t>
      </w:r>
      <w:r w:rsidR="00C950AE" w:rsidRPr="00C950AE">
        <w:rPr>
          <w:sz w:val="20"/>
          <w:szCs w:val="20"/>
          <w:vertAlign w:val="superscript"/>
        </w:rPr>
        <w:t>1</w:t>
      </w:r>
      <w:r w:rsidR="00C950AE" w:rsidRPr="00C950AE">
        <w:rPr>
          <w:sz w:val="20"/>
          <w:szCs w:val="20"/>
        </w:rPr>
        <w:t>*, Lyndsey N. Graham</w:t>
      </w:r>
      <w:r w:rsidR="00C950AE" w:rsidRPr="00C950AE">
        <w:rPr>
          <w:sz w:val="20"/>
          <w:szCs w:val="20"/>
          <w:vertAlign w:val="superscript"/>
        </w:rPr>
        <w:t>1</w:t>
      </w:r>
      <w:r w:rsidR="00C950AE" w:rsidRPr="00C950AE">
        <w:rPr>
          <w:sz w:val="20"/>
          <w:szCs w:val="20"/>
        </w:rPr>
        <w:t>, Veronika Vozka</w:t>
      </w:r>
      <w:r w:rsidR="00C950AE" w:rsidRPr="00C950AE">
        <w:rPr>
          <w:sz w:val="20"/>
          <w:szCs w:val="20"/>
          <w:vertAlign w:val="superscript"/>
        </w:rPr>
        <w:t>1</w:t>
      </w:r>
      <w:r w:rsidR="00C950AE" w:rsidRPr="00C950AE">
        <w:rPr>
          <w:sz w:val="20"/>
          <w:szCs w:val="20"/>
        </w:rPr>
        <w:t>, Riley Naughton</w:t>
      </w:r>
      <w:r w:rsidR="00C950AE" w:rsidRPr="00C950AE">
        <w:rPr>
          <w:sz w:val="20"/>
          <w:szCs w:val="20"/>
          <w:vertAlign w:val="superscript"/>
        </w:rPr>
        <w:t>1</w:t>
      </w:r>
      <w:r w:rsidR="00C950AE" w:rsidRPr="00C950AE">
        <w:rPr>
          <w:sz w:val="20"/>
          <w:szCs w:val="20"/>
        </w:rPr>
        <w:t>, Katlyn Peek</w:t>
      </w:r>
      <w:r w:rsidR="00C950AE" w:rsidRPr="00C950AE">
        <w:rPr>
          <w:sz w:val="20"/>
          <w:szCs w:val="20"/>
          <w:vertAlign w:val="superscript"/>
        </w:rPr>
        <w:t>1</w:t>
      </w:r>
      <w:r w:rsidR="00C950AE" w:rsidRPr="00C950AE">
        <w:rPr>
          <w:sz w:val="20"/>
          <w:szCs w:val="20"/>
        </w:rPr>
        <w:t>, Bridgette L. Kelleher</w:t>
      </w:r>
      <w:r w:rsidR="00C950AE" w:rsidRPr="00C950AE">
        <w:rPr>
          <w:sz w:val="20"/>
          <w:szCs w:val="20"/>
          <w:vertAlign w:val="superscript"/>
        </w:rPr>
        <w:t>1</w:t>
      </w:r>
      <w:r w:rsidR="00C950AE" w:rsidRPr="00C950AE">
        <w:rPr>
          <w:sz w:val="20"/>
          <w:szCs w:val="20"/>
        </w:rPr>
        <w:t> </w:t>
      </w:r>
    </w:p>
    <w:p w14:paraId="49330963" w14:textId="77777777" w:rsidR="00C950AE" w:rsidRPr="00C950AE" w:rsidRDefault="00C950AE" w:rsidP="00C950AE">
      <w:pPr>
        <w:pStyle w:val="NoSpacing"/>
        <w:rPr>
          <w:sz w:val="20"/>
          <w:szCs w:val="20"/>
          <w:vertAlign w:val="superscript"/>
        </w:rPr>
      </w:pPr>
    </w:p>
    <w:p w14:paraId="0375CABF" w14:textId="77777777" w:rsidR="00C950AE" w:rsidRPr="00C950AE" w:rsidRDefault="003D6244" w:rsidP="00C950AE">
      <w:pPr>
        <w:pStyle w:val="NoSpacing"/>
        <w:rPr>
          <w:sz w:val="20"/>
          <w:szCs w:val="20"/>
        </w:rPr>
      </w:pPr>
      <w:r w:rsidRPr="00C950AE">
        <w:rPr>
          <w:b/>
          <w:sz w:val="20"/>
          <w:szCs w:val="20"/>
        </w:rPr>
        <w:t>Introduction</w:t>
      </w:r>
      <w:r w:rsidRPr="00C950AE">
        <w:rPr>
          <w:sz w:val="20"/>
          <w:szCs w:val="20"/>
        </w:rPr>
        <w:t xml:space="preserve">: </w:t>
      </w:r>
      <w:r w:rsidR="00C950AE" w:rsidRPr="00C950AE">
        <w:rPr>
          <w:sz w:val="20"/>
          <w:szCs w:val="20"/>
        </w:rPr>
        <w:t xml:space="preserve">Assessing treatment acceptability is important to understanding patient experiences in clinical trials, particularly as telehealth-based programs have increased in the wake of the COVID-19 pandemic. However, the use of patient-reported acceptability outcomes in tele-mental health focused trials has been mixed, with most published studies relying on objective behavior (e.g. dropout rates) or fit-for-use measures, rather than instruments rooted in a specific theoretical model (Sekhon et al., 2022). Furthermore, current measures omit other factors that participants experience across a clinical trial, such as project staff interactions, paperwork, and cultural aspects of the participant’s experience (Isreal et al., 2017). These gaps limit understanding of how to best improve clinical services to meet the needs of diverse patient populations. Here, we describe the initial development and validation of a novel assessment tool designed to capture patient-reported acceptability in telehealth-based trials, the Program Acceptability Tool for Telehealth (PATT), which was specifically designed to meet the needs of caregivers of children with neurogenetic conditions (NGC) enrolled in a telehealth clinical trial. </w:t>
      </w:r>
    </w:p>
    <w:p w14:paraId="77FE6733" w14:textId="58EFC2CC" w:rsidR="00452576" w:rsidRPr="00C950AE" w:rsidRDefault="00452576" w:rsidP="00C950AE">
      <w:pPr>
        <w:pStyle w:val="NoSpacing"/>
        <w:rPr>
          <w:b/>
          <w:iCs/>
          <w:color w:val="000000"/>
          <w:sz w:val="20"/>
          <w:szCs w:val="20"/>
          <w:lang w:val="en-GB"/>
        </w:rPr>
      </w:pPr>
    </w:p>
    <w:p w14:paraId="7AC50373" w14:textId="37C30629" w:rsidR="003D6244" w:rsidRDefault="003D6244" w:rsidP="00C950AE">
      <w:pPr>
        <w:pStyle w:val="NoSpacing"/>
        <w:rPr>
          <w:color w:val="000000"/>
          <w:sz w:val="20"/>
          <w:szCs w:val="20"/>
        </w:rPr>
      </w:pPr>
      <w:r w:rsidRPr="00C950AE">
        <w:rPr>
          <w:b/>
          <w:color w:val="000000"/>
          <w:sz w:val="20"/>
          <w:szCs w:val="20"/>
          <w:lang w:val="en-GB"/>
        </w:rPr>
        <w:t>Method</w:t>
      </w:r>
      <w:r w:rsidRPr="00C950AE">
        <w:rPr>
          <w:color w:val="000000"/>
          <w:sz w:val="20"/>
          <w:szCs w:val="20"/>
          <w:lang w:val="en-GB"/>
        </w:rPr>
        <w:t xml:space="preserve">: </w:t>
      </w:r>
      <w:r w:rsidR="00C950AE" w:rsidRPr="00C950AE">
        <w:rPr>
          <w:color w:val="000000"/>
          <w:sz w:val="20"/>
          <w:szCs w:val="20"/>
        </w:rPr>
        <w:t>123 NGC caregivers completed the 41 items related to acceptability during an ongoing clinical trial, Project WellCAST (</w:t>
      </w:r>
      <w:r w:rsidR="00C950AE" w:rsidRPr="00C950AE">
        <w:rPr>
          <w:i/>
          <w:iCs/>
          <w:color w:val="000000"/>
          <w:sz w:val="20"/>
          <w:szCs w:val="20"/>
        </w:rPr>
        <w:t xml:space="preserve">Supporting the </w:t>
      </w:r>
      <w:proofErr w:type="spellStart"/>
      <w:r w:rsidR="00C950AE" w:rsidRPr="00C950AE">
        <w:rPr>
          <w:i/>
          <w:iCs/>
          <w:color w:val="000000"/>
          <w:sz w:val="20"/>
          <w:szCs w:val="20"/>
        </w:rPr>
        <w:t>WELLbeing</w:t>
      </w:r>
      <w:proofErr w:type="spellEnd"/>
      <w:r w:rsidR="00C950AE" w:rsidRPr="00C950AE">
        <w:rPr>
          <w:i/>
          <w:iCs/>
          <w:color w:val="000000"/>
          <w:sz w:val="20"/>
          <w:szCs w:val="20"/>
        </w:rPr>
        <w:t xml:space="preserve"> of </w:t>
      </w:r>
      <w:proofErr w:type="spellStart"/>
      <w:r w:rsidR="00C950AE" w:rsidRPr="00C950AE">
        <w:rPr>
          <w:i/>
          <w:iCs/>
          <w:color w:val="000000"/>
          <w:sz w:val="20"/>
          <w:szCs w:val="20"/>
        </w:rPr>
        <w:t>CAregiverS</w:t>
      </w:r>
      <w:proofErr w:type="spellEnd"/>
      <w:r w:rsidR="00C950AE" w:rsidRPr="00C950AE">
        <w:rPr>
          <w:i/>
          <w:iCs/>
          <w:color w:val="000000"/>
          <w:sz w:val="20"/>
          <w:szCs w:val="20"/>
        </w:rPr>
        <w:t xml:space="preserve"> via Telehealth</w:t>
      </w:r>
      <w:r w:rsidR="00C950AE" w:rsidRPr="00C950AE">
        <w:rPr>
          <w:color w:val="000000"/>
          <w:sz w:val="20"/>
          <w:szCs w:val="20"/>
        </w:rPr>
        <w:t xml:space="preserve">). Participation in Project WellCAST included completing a support program focused on caregiver well-being (e.g. tele-mental health therapies, live behavioral-parenting training, self-guided resources). The initial development and validation of the PATT was conducted across three stages. </w:t>
      </w:r>
      <w:r w:rsidR="00C950AE" w:rsidRPr="00C950AE">
        <w:rPr>
          <w:i/>
          <w:iCs/>
          <w:color w:val="000000"/>
          <w:sz w:val="20"/>
          <w:szCs w:val="20"/>
        </w:rPr>
        <w:t>Stage 1; Item generation and evaluation.</w:t>
      </w:r>
      <w:r w:rsidR="00C950AE" w:rsidRPr="00C950AE">
        <w:rPr>
          <w:color w:val="000000"/>
          <w:sz w:val="20"/>
          <w:szCs w:val="20"/>
        </w:rPr>
        <w:t xml:space="preserve"> Items were rated by 5 staff NGC caregivers to evaluate the clarity of questions. Items were removed if a majority of raters rated an item as “Unclear”. PATT qualitative responses were also coded by 3 study team personnel (2 research assistants, 1 community member) to identify new concepts. New items were considered if &gt;5% of respondents discussed a new concept not already represented. </w:t>
      </w:r>
      <w:r w:rsidR="00C950AE" w:rsidRPr="00C950AE">
        <w:rPr>
          <w:i/>
          <w:iCs/>
          <w:color w:val="000000"/>
          <w:sz w:val="20"/>
          <w:szCs w:val="20"/>
        </w:rPr>
        <w:t>Stage 2; Scale organization and evaluation.</w:t>
      </w:r>
      <w:r w:rsidR="00C950AE" w:rsidRPr="00C950AE">
        <w:rPr>
          <w:color w:val="000000"/>
          <w:sz w:val="20"/>
          <w:szCs w:val="20"/>
        </w:rPr>
        <w:t xml:space="preserve"> Items were sorted into categories and assigned scorings. Items were tested for internal consistency using both item-scale correlations and Cronbach’s alpha. </w:t>
      </w:r>
      <w:r w:rsidR="00C950AE" w:rsidRPr="00C950AE">
        <w:rPr>
          <w:i/>
          <w:iCs/>
          <w:color w:val="000000"/>
          <w:sz w:val="20"/>
          <w:szCs w:val="20"/>
        </w:rPr>
        <w:t>Stage 3; Convergence validation.</w:t>
      </w:r>
      <w:r w:rsidR="00C950AE" w:rsidRPr="00C950AE">
        <w:rPr>
          <w:color w:val="000000"/>
          <w:sz w:val="20"/>
          <w:szCs w:val="20"/>
        </w:rPr>
        <w:t xml:space="preserve"> To validate the PATT against other metrics of acceptability, PATT scores were compared to both patient-reported engagement and clinician-observed session attendance by conducting t-tests and Pearson correlations.</w:t>
      </w:r>
    </w:p>
    <w:p w14:paraId="012183D6" w14:textId="77777777" w:rsidR="00C950AE" w:rsidRPr="00C950AE" w:rsidRDefault="00C950AE" w:rsidP="00C950AE">
      <w:pPr>
        <w:pStyle w:val="NoSpacing"/>
        <w:rPr>
          <w:color w:val="000000"/>
          <w:sz w:val="20"/>
          <w:szCs w:val="20"/>
          <w:lang w:val="en-GB"/>
        </w:rPr>
      </w:pPr>
    </w:p>
    <w:p w14:paraId="7AC50374" w14:textId="4CC773D7" w:rsidR="003D6244" w:rsidRDefault="003D6244" w:rsidP="00C950AE">
      <w:pPr>
        <w:pStyle w:val="NoSpacing"/>
        <w:rPr>
          <w:color w:val="000000"/>
          <w:sz w:val="20"/>
          <w:szCs w:val="20"/>
        </w:rPr>
      </w:pPr>
      <w:r w:rsidRPr="00C950AE">
        <w:rPr>
          <w:b/>
          <w:color w:val="000000"/>
          <w:sz w:val="20"/>
          <w:szCs w:val="20"/>
          <w:lang w:val="en-GB"/>
        </w:rPr>
        <w:t>Results</w:t>
      </w:r>
      <w:r w:rsidRPr="00C950AE">
        <w:rPr>
          <w:color w:val="000000"/>
          <w:sz w:val="20"/>
          <w:szCs w:val="20"/>
          <w:lang w:val="en-GB"/>
        </w:rPr>
        <w:t xml:space="preserve">: </w:t>
      </w:r>
      <w:r w:rsidR="00C950AE" w:rsidRPr="00C950AE">
        <w:rPr>
          <w:i/>
          <w:iCs/>
          <w:color w:val="000000"/>
          <w:sz w:val="20"/>
          <w:szCs w:val="20"/>
        </w:rPr>
        <w:t>Stage 1.</w:t>
      </w:r>
      <w:r w:rsidR="00C950AE" w:rsidRPr="00C950AE">
        <w:rPr>
          <w:color w:val="000000"/>
          <w:sz w:val="20"/>
          <w:szCs w:val="20"/>
        </w:rPr>
        <w:t xml:space="preserve"> All PATT items were rated as “Clear” overall. After coding 1,103 qualitative responses provided by 106 participants, coders determined no new items needed to be added. Items were reduced based on redundancy and parsimony. </w:t>
      </w:r>
      <w:r w:rsidR="00C950AE" w:rsidRPr="00C950AE">
        <w:rPr>
          <w:i/>
          <w:iCs/>
          <w:color w:val="000000"/>
          <w:sz w:val="20"/>
          <w:szCs w:val="20"/>
        </w:rPr>
        <w:t>Stage 2.</w:t>
      </w:r>
      <w:r w:rsidR="00C950AE" w:rsidRPr="00C950AE">
        <w:rPr>
          <w:color w:val="000000"/>
          <w:sz w:val="20"/>
          <w:szCs w:val="20"/>
        </w:rPr>
        <w:t xml:space="preserve"> Following pre-registered thresholds, Cronbach alpha was high (0.92) in the initial 24-item pool, with item-scale correlations from 0.08-0.80. Twelve items were omitted due to low item-total correlations or redundancy with other items. The final 12-item PATT had high internal consistency (α = 0.82–0.90). </w:t>
      </w:r>
      <w:r w:rsidR="00C950AE" w:rsidRPr="00C950AE">
        <w:rPr>
          <w:i/>
          <w:iCs/>
          <w:color w:val="000000"/>
          <w:sz w:val="20"/>
          <w:szCs w:val="20"/>
        </w:rPr>
        <w:t xml:space="preserve">Stage 3. </w:t>
      </w:r>
      <w:r w:rsidR="00C950AE" w:rsidRPr="00C950AE">
        <w:rPr>
          <w:color w:val="000000"/>
          <w:sz w:val="20"/>
          <w:szCs w:val="20"/>
        </w:rPr>
        <w:t xml:space="preserve">PATT total scores were higher among highly engaged participants, </w:t>
      </w:r>
      <w:r w:rsidR="00C950AE" w:rsidRPr="00C950AE">
        <w:rPr>
          <w:i/>
          <w:iCs/>
          <w:color w:val="000000"/>
          <w:sz w:val="20"/>
          <w:szCs w:val="20"/>
        </w:rPr>
        <w:t>t</w:t>
      </w:r>
      <w:r w:rsidR="00C950AE" w:rsidRPr="00C950AE">
        <w:rPr>
          <w:color w:val="000000"/>
          <w:sz w:val="20"/>
          <w:szCs w:val="20"/>
        </w:rPr>
        <w:t xml:space="preserve">(119)=-3.32, </w:t>
      </w:r>
      <w:r w:rsidR="00C950AE" w:rsidRPr="00C950AE">
        <w:rPr>
          <w:i/>
          <w:iCs/>
          <w:color w:val="000000"/>
          <w:sz w:val="20"/>
          <w:szCs w:val="20"/>
        </w:rPr>
        <w:t>p</w:t>
      </w:r>
      <w:r w:rsidR="00C950AE" w:rsidRPr="00C950AE">
        <w:rPr>
          <w:color w:val="000000"/>
          <w:sz w:val="20"/>
          <w:szCs w:val="20"/>
        </w:rPr>
        <w:t xml:space="preserve">=.001, and those who self-reported completing at least 50% of sessions, </w:t>
      </w:r>
      <w:r w:rsidR="00C950AE" w:rsidRPr="00C950AE">
        <w:rPr>
          <w:i/>
          <w:iCs/>
          <w:color w:val="000000"/>
          <w:sz w:val="20"/>
          <w:szCs w:val="20"/>
        </w:rPr>
        <w:t>t</w:t>
      </w:r>
      <w:r w:rsidR="00C950AE" w:rsidRPr="00C950AE">
        <w:rPr>
          <w:color w:val="000000"/>
          <w:sz w:val="20"/>
          <w:szCs w:val="20"/>
        </w:rPr>
        <w:t xml:space="preserve">(119) = -4.03, </w:t>
      </w:r>
      <w:r w:rsidR="00C950AE" w:rsidRPr="00C950AE">
        <w:rPr>
          <w:i/>
          <w:iCs/>
          <w:color w:val="000000"/>
          <w:sz w:val="20"/>
          <w:szCs w:val="20"/>
        </w:rPr>
        <w:t>p</w:t>
      </w:r>
      <w:r w:rsidR="00C950AE" w:rsidRPr="00C950AE">
        <w:rPr>
          <w:color w:val="000000"/>
          <w:sz w:val="20"/>
          <w:szCs w:val="20"/>
        </w:rPr>
        <w:t>&lt;.001. The number of sessions attended converged with self-rated attendance on the PATT (n=96, rho=.71, p &lt;.001) and was positively associated with PATT total score (n=96, rho=.20, p=.048), supporting PATT validity</w:t>
      </w:r>
      <w:r w:rsidR="00C950AE">
        <w:rPr>
          <w:color w:val="000000"/>
          <w:sz w:val="20"/>
          <w:szCs w:val="20"/>
        </w:rPr>
        <w:t>.</w:t>
      </w:r>
    </w:p>
    <w:p w14:paraId="7BC84336" w14:textId="77777777" w:rsidR="00C950AE" w:rsidRPr="00C950AE" w:rsidRDefault="00C950AE" w:rsidP="00C950AE">
      <w:pPr>
        <w:pStyle w:val="NoSpacing"/>
        <w:rPr>
          <w:rFonts w:cs="Calibri"/>
          <w:iCs/>
          <w:color w:val="000000"/>
          <w:sz w:val="20"/>
          <w:szCs w:val="20"/>
          <w:lang w:val="en-GB"/>
        </w:rPr>
      </w:pPr>
    </w:p>
    <w:p w14:paraId="7AC50375" w14:textId="7030164C" w:rsidR="003D6244" w:rsidRDefault="003D6244" w:rsidP="00C950AE">
      <w:pPr>
        <w:pStyle w:val="NoSpacing"/>
        <w:rPr>
          <w:iCs/>
          <w:color w:val="000000"/>
          <w:sz w:val="20"/>
          <w:szCs w:val="20"/>
        </w:rPr>
      </w:pPr>
      <w:r w:rsidRPr="00C950AE">
        <w:rPr>
          <w:b/>
          <w:iCs/>
          <w:color w:val="000000"/>
          <w:sz w:val="20"/>
          <w:szCs w:val="20"/>
          <w:lang w:val="en-GB"/>
        </w:rPr>
        <w:t xml:space="preserve">Discussion: </w:t>
      </w:r>
      <w:r w:rsidR="00C950AE" w:rsidRPr="00C950AE">
        <w:rPr>
          <w:iCs/>
          <w:color w:val="000000"/>
          <w:sz w:val="20"/>
          <w:szCs w:val="20"/>
        </w:rPr>
        <w:t>Our findings suggest that the 12-item PATT is a feasible, reliable, and valid tool for capturing patient-reported acceptability.</w:t>
      </w:r>
      <w:r w:rsidR="00C950AE" w:rsidRPr="00C950AE">
        <w:rPr>
          <w:b/>
          <w:bCs/>
          <w:iCs/>
          <w:color w:val="000000"/>
          <w:sz w:val="20"/>
          <w:szCs w:val="20"/>
        </w:rPr>
        <w:t xml:space="preserve"> </w:t>
      </w:r>
      <w:r w:rsidR="00C950AE" w:rsidRPr="00C950AE">
        <w:rPr>
          <w:iCs/>
          <w:color w:val="000000"/>
          <w:sz w:val="20"/>
          <w:szCs w:val="20"/>
        </w:rPr>
        <w:t>A strength of the PATT is its alignment with a novel theoretical framework for measuring acceptability that considers a focal program in the context of broader practical considerations and impact. Indeed, if a participant’s experiences with a trial’s procedural and cultural elements are not isolated from the acceptability measures focused on the program itself, program acceptability scores may be obscured by these external aspects of acceptability. The PATT offers a novel ecological standard for measuring patient acceptability, potentially improving our understanding of how patients perceive domains of program, process, and impact. Although additional work is needed to validate the PATT in large, diverse cohorts and contexts, standardizing a brief, cross-cutting measure sets</w:t>
      </w:r>
      <w:r w:rsidR="00C950AE" w:rsidRPr="00C950AE">
        <w:rPr>
          <w:b/>
          <w:bCs/>
          <w:iCs/>
          <w:color w:val="000000"/>
          <w:sz w:val="20"/>
          <w:szCs w:val="20"/>
        </w:rPr>
        <w:t xml:space="preserve"> </w:t>
      </w:r>
      <w:r w:rsidR="00C950AE" w:rsidRPr="00C950AE">
        <w:rPr>
          <w:iCs/>
          <w:color w:val="000000"/>
          <w:sz w:val="20"/>
          <w:szCs w:val="20"/>
        </w:rPr>
        <w:t>the foundation for more rigorous evaluation of programs, as well as more impactful, acceptable clinical outcomes for patients.</w:t>
      </w:r>
    </w:p>
    <w:p w14:paraId="2C6BFC06" w14:textId="77777777" w:rsidR="00C950AE" w:rsidRDefault="00C950AE" w:rsidP="00C950AE">
      <w:pPr>
        <w:pStyle w:val="NoSpacing"/>
        <w:rPr>
          <w:color w:val="000000"/>
          <w:sz w:val="20"/>
          <w:szCs w:val="20"/>
          <w:lang w:val="en-GB"/>
        </w:rPr>
      </w:pPr>
    </w:p>
    <w:p w14:paraId="54C1E30B" w14:textId="77777777" w:rsidR="00C950AE" w:rsidRDefault="00C950AE" w:rsidP="00C950AE">
      <w:pPr>
        <w:pStyle w:val="NoSpacing"/>
        <w:rPr>
          <w:color w:val="000000"/>
          <w:sz w:val="20"/>
          <w:szCs w:val="20"/>
          <w:lang w:val="en-GB"/>
        </w:rPr>
      </w:pPr>
    </w:p>
    <w:p w14:paraId="2631097E" w14:textId="77777777" w:rsidR="00C950AE" w:rsidRDefault="00C950AE" w:rsidP="00C950AE">
      <w:pPr>
        <w:pStyle w:val="NoSpacing"/>
        <w:rPr>
          <w:color w:val="000000"/>
          <w:sz w:val="20"/>
          <w:szCs w:val="20"/>
          <w:lang w:val="en-GB"/>
        </w:rPr>
      </w:pPr>
    </w:p>
    <w:p w14:paraId="0D7C334C" w14:textId="77777777" w:rsidR="00C950AE" w:rsidRDefault="00C950AE" w:rsidP="00C950AE">
      <w:pPr>
        <w:pStyle w:val="NoSpacing"/>
        <w:rPr>
          <w:color w:val="000000"/>
          <w:sz w:val="20"/>
          <w:szCs w:val="20"/>
          <w:lang w:val="en-GB"/>
        </w:rPr>
      </w:pPr>
    </w:p>
    <w:p w14:paraId="5962FAD0" w14:textId="77777777" w:rsidR="00C950AE" w:rsidRDefault="00C950AE" w:rsidP="00C950AE">
      <w:pPr>
        <w:pStyle w:val="NoSpacing"/>
        <w:rPr>
          <w:color w:val="000000"/>
          <w:sz w:val="20"/>
          <w:szCs w:val="20"/>
          <w:lang w:val="en-GB"/>
        </w:rPr>
      </w:pPr>
    </w:p>
    <w:p w14:paraId="4B624D9B" w14:textId="77777777" w:rsidR="00C950AE" w:rsidRDefault="00C950AE" w:rsidP="00C950AE">
      <w:pPr>
        <w:pStyle w:val="NoSpacing"/>
        <w:rPr>
          <w:color w:val="000000"/>
          <w:sz w:val="20"/>
          <w:szCs w:val="20"/>
          <w:lang w:val="en-GB"/>
        </w:rPr>
      </w:pPr>
    </w:p>
    <w:p w14:paraId="07EDFF53" w14:textId="77777777" w:rsidR="00C950AE" w:rsidRPr="00C950AE" w:rsidRDefault="00C950AE" w:rsidP="00C950AE">
      <w:pPr>
        <w:pStyle w:val="NoSpacing"/>
        <w:rPr>
          <w:color w:val="000000"/>
          <w:sz w:val="20"/>
          <w:szCs w:val="20"/>
          <w:lang w:val="en-GB"/>
        </w:rPr>
      </w:pPr>
    </w:p>
    <w:p w14:paraId="7AC50376" w14:textId="45B049C5" w:rsidR="003D6244" w:rsidRDefault="003D6244" w:rsidP="00C950AE">
      <w:pPr>
        <w:pStyle w:val="NoSpacing"/>
        <w:rPr>
          <w:color w:val="000000"/>
          <w:sz w:val="20"/>
          <w:szCs w:val="20"/>
        </w:rPr>
      </w:pPr>
      <w:r w:rsidRPr="00C950AE">
        <w:rPr>
          <w:b/>
          <w:color w:val="000000"/>
          <w:sz w:val="20"/>
          <w:szCs w:val="20"/>
          <w:lang w:val="en-GB"/>
        </w:rPr>
        <w:lastRenderedPageBreak/>
        <w:t xml:space="preserve">References: </w:t>
      </w:r>
    </w:p>
    <w:p w14:paraId="34F0F563" w14:textId="77777777" w:rsidR="00C950AE" w:rsidRPr="00C950AE" w:rsidRDefault="00C950AE" w:rsidP="00C950AE">
      <w:pPr>
        <w:pStyle w:val="NoSpacing"/>
        <w:rPr>
          <w:color w:val="000000"/>
          <w:sz w:val="20"/>
          <w:szCs w:val="20"/>
        </w:rPr>
      </w:pPr>
      <w:r w:rsidRPr="00C950AE">
        <w:rPr>
          <w:color w:val="000000"/>
          <w:sz w:val="20"/>
          <w:szCs w:val="20"/>
        </w:rPr>
        <w:t>Sekhon, M., Cartwright, M., &amp; Francis, J. J. (2022). Development of a theory-informed questionnaire to assess the acceptability of healthcare interventions. </w:t>
      </w:r>
      <w:r w:rsidRPr="00C950AE">
        <w:rPr>
          <w:i/>
          <w:iCs/>
          <w:color w:val="000000"/>
          <w:sz w:val="20"/>
          <w:szCs w:val="20"/>
        </w:rPr>
        <w:t>BMC Health Services Research</w:t>
      </w:r>
      <w:r w:rsidRPr="00C950AE">
        <w:rPr>
          <w:color w:val="000000"/>
          <w:sz w:val="20"/>
          <w:szCs w:val="20"/>
        </w:rPr>
        <w:t>, </w:t>
      </w:r>
      <w:r w:rsidRPr="00C950AE">
        <w:rPr>
          <w:i/>
          <w:iCs/>
          <w:color w:val="000000"/>
          <w:sz w:val="20"/>
          <w:szCs w:val="20"/>
        </w:rPr>
        <w:t>22</w:t>
      </w:r>
      <w:r w:rsidRPr="00C950AE">
        <w:rPr>
          <w:color w:val="000000"/>
          <w:sz w:val="20"/>
          <w:szCs w:val="20"/>
        </w:rPr>
        <w:t xml:space="preserve">(1). </w:t>
      </w:r>
      <w:hyperlink r:id="rId10" w:tgtFrame="_blank" w:history="1">
        <w:r w:rsidRPr="00C950AE">
          <w:rPr>
            <w:rStyle w:val="Hyperlink"/>
            <w:sz w:val="20"/>
            <w:szCs w:val="20"/>
          </w:rPr>
          <w:t>https://doi.org/10.1186/s12913-022-07577-3</w:t>
        </w:r>
      </w:hyperlink>
      <w:r w:rsidRPr="00C950AE">
        <w:rPr>
          <w:color w:val="000000"/>
          <w:sz w:val="20"/>
          <w:szCs w:val="20"/>
        </w:rPr>
        <w:t> </w:t>
      </w:r>
    </w:p>
    <w:p w14:paraId="1B02B7C6" w14:textId="77777777" w:rsidR="00C950AE" w:rsidRPr="00C950AE" w:rsidRDefault="00C950AE" w:rsidP="00C950AE">
      <w:pPr>
        <w:pStyle w:val="NoSpacing"/>
        <w:rPr>
          <w:color w:val="000000"/>
          <w:sz w:val="20"/>
          <w:szCs w:val="20"/>
        </w:rPr>
      </w:pPr>
      <w:r w:rsidRPr="00C950AE">
        <w:rPr>
          <w:color w:val="000000"/>
          <w:sz w:val="20"/>
          <w:szCs w:val="20"/>
        </w:rPr>
        <w:t> </w:t>
      </w:r>
    </w:p>
    <w:p w14:paraId="19DA8515" w14:textId="053B03D0" w:rsidR="00C950AE" w:rsidRDefault="00C950AE" w:rsidP="00C950AE">
      <w:pPr>
        <w:pStyle w:val="NoSpacing"/>
        <w:rPr>
          <w:color w:val="000000"/>
          <w:sz w:val="20"/>
          <w:szCs w:val="20"/>
        </w:rPr>
      </w:pPr>
      <w:r w:rsidRPr="00C950AE">
        <w:rPr>
          <w:color w:val="000000"/>
          <w:sz w:val="20"/>
          <w:szCs w:val="20"/>
        </w:rPr>
        <w:t xml:space="preserve">Israel, B. A., Schultz, A. J., Parker, E.A ., Becker, A. B., Allen, A. J., Guzman J. R., Lichtenstein, R. (2018). Critical issues in developing and following CBPR principles. In: N. Wallerstein, B. Duran, J. G. </w:t>
      </w:r>
      <w:proofErr w:type="spellStart"/>
      <w:r w:rsidRPr="00C950AE">
        <w:rPr>
          <w:color w:val="000000"/>
          <w:sz w:val="20"/>
          <w:szCs w:val="20"/>
        </w:rPr>
        <w:t>Oetzel</w:t>
      </w:r>
      <w:proofErr w:type="spellEnd"/>
      <w:r w:rsidRPr="00C950AE">
        <w:rPr>
          <w:color w:val="000000"/>
          <w:sz w:val="20"/>
          <w:szCs w:val="20"/>
        </w:rPr>
        <w:t>, M. Minkler (Eds.), Community-based participatory research for health: Advancing social and health equity. (pp. 32-35). Jossey-Bass.  </w:t>
      </w:r>
    </w:p>
    <w:p w14:paraId="609E48E1" w14:textId="77777777" w:rsidR="00C950AE" w:rsidRPr="00C950AE" w:rsidRDefault="00C950AE" w:rsidP="00C950AE">
      <w:pPr>
        <w:pStyle w:val="NoSpacing"/>
        <w:rPr>
          <w:color w:val="000000"/>
          <w:sz w:val="20"/>
          <w:szCs w:val="20"/>
        </w:rPr>
      </w:pPr>
    </w:p>
    <w:p w14:paraId="1B58C80F" w14:textId="4D0B389A" w:rsidR="00C950AE" w:rsidRPr="00C950AE" w:rsidRDefault="00C950AE" w:rsidP="00C950AE">
      <w:pPr>
        <w:pStyle w:val="NoSpacing"/>
        <w:rPr>
          <w:rStyle w:val="FootnoteReference"/>
          <w:sz w:val="20"/>
          <w:szCs w:val="20"/>
          <w:vertAlign w:val="baseline"/>
        </w:rPr>
      </w:pPr>
      <w:r w:rsidRPr="00C950AE">
        <w:rPr>
          <w:rStyle w:val="FootnoteReference"/>
          <w:sz w:val="20"/>
          <w:szCs w:val="20"/>
        </w:rPr>
        <w:t>1</w:t>
      </w:r>
      <w:r>
        <w:rPr>
          <w:sz w:val="20"/>
          <w:szCs w:val="20"/>
        </w:rPr>
        <w:t xml:space="preserve"> </w:t>
      </w:r>
      <w:r w:rsidRPr="00C950AE">
        <w:rPr>
          <w:rStyle w:val="FootnoteReference"/>
          <w:sz w:val="20"/>
          <w:szCs w:val="20"/>
          <w:vertAlign w:val="baseline"/>
        </w:rPr>
        <w:t xml:space="preserve">Purdue University </w:t>
      </w:r>
    </w:p>
    <w:p w14:paraId="7AC5037A" w14:textId="428743B0" w:rsidR="001C735E" w:rsidRPr="00C950AE" w:rsidRDefault="00C950AE" w:rsidP="00C950AE">
      <w:pPr>
        <w:pStyle w:val="NoSpacing"/>
        <w:rPr>
          <w:sz w:val="20"/>
          <w:szCs w:val="20"/>
        </w:rPr>
      </w:pPr>
      <w:r w:rsidRPr="00C950AE">
        <w:rPr>
          <w:rStyle w:val="FootnoteReference"/>
          <w:sz w:val="20"/>
          <w:szCs w:val="20"/>
          <w:vertAlign w:val="baseline"/>
        </w:rPr>
        <w:t>*</w:t>
      </w:r>
      <w:r>
        <w:rPr>
          <w:sz w:val="20"/>
          <w:szCs w:val="20"/>
        </w:rPr>
        <w:t xml:space="preserve"> </w:t>
      </w:r>
      <w:r w:rsidRPr="00C950AE">
        <w:rPr>
          <w:rStyle w:val="FootnoteReference"/>
          <w:sz w:val="20"/>
          <w:szCs w:val="20"/>
          <w:vertAlign w:val="baseline"/>
        </w:rPr>
        <w:t>Presenting Author</w:t>
      </w:r>
    </w:p>
    <w:sectPr w:rsidR="001C735E" w:rsidRPr="00C950AE" w:rsidSect="00394E2C">
      <w:headerReference w:type="default" r:id="rId11"/>
      <w:footerReference w:type="default" r:id="rId12"/>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F8153" w14:textId="77777777" w:rsidR="00D1386D" w:rsidRDefault="00D1386D" w:rsidP="00A16498">
      <w:pPr>
        <w:spacing w:after="0" w:line="240" w:lineRule="auto"/>
      </w:pPr>
      <w:r>
        <w:separator/>
      </w:r>
    </w:p>
  </w:endnote>
  <w:endnote w:type="continuationSeparator" w:id="0">
    <w:p w14:paraId="5DD402E2" w14:textId="77777777" w:rsidR="00D1386D" w:rsidRDefault="00D1386D"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A2AFA" w14:textId="77777777" w:rsidR="00D1386D" w:rsidRDefault="00D1386D" w:rsidP="00A16498">
      <w:pPr>
        <w:spacing w:after="0" w:line="240" w:lineRule="auto"/>
      </w:pPr>
      <w:r>
        <w:separator/>
      </w:r>
    </w:p>
  </w:footnote>
  <w:footnote w:type="continuationSeparator" w:id="0">
    <w:p w14:paraId="79830496" w14:textId="77777777" w:rsidR="00D1386D" w:rsidRDefault="00D1386D"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0DAA2A87" w:rsidR="00A16498" w:rsidRDefault="00C950AE">
    <w:pPr>
      <w:pStyle w:val="Header"/>
    </w:pPr>
    <w:r>
      <w:rPr>
        <w:noProof/>
      </w:rPr>
      <mc:AlternateContent>
        <mc:Choice Requires="wps">
          <w:drawing>
            <wp:anchor distT="0" distB="0" distL="114300" distR="114300" simplePos="0" relativeHeight="251659264" behindDoc="0" locked="0" layoutInCell="1" allowOverlap="1" wp14:anchorId="542E2547" wp14:editId="68A96BF9">
              <wp:simplePos x="0" y="0"/>
              <wp:positionH relativeFrom="column">
                <wp:posOffset>-19746</wp:posOffset>
              </wp:positionH>
              <wp:positionV relativeFrom="paragraph">
                <wp:posOffset>-228190</wp:posOffset>
              </wp:positionV>
              <wp:extent cx="5371689" cy="457200"/>
              <wp:effectExtent l="12700" t="12700" r="13335" b="12700"/>
              <wp:wrapNone/>
              <wp:docPr id="40245314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542E2547" id="Rectangle 197" o:spid="_x0000_s1026" style="position:absolute;margin-left:-1.55pt;margin-top:-17.9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CGORGeYAAAAOAQAADwAAAGRycy9kb3ducmV2LnhtbEyPQU/DMAyF70j8h8hI3La06zpG13Sa&#13;&#10;BmgCiQMdAnHLWtNWNE7VZGvh1+Od4GLL8vPz+9L1aFpxwt41lhSE0wAEUmHLhioFr/uHyRKE85pK&#13;&#10;3VpCBd/oYJ1dXqQ6Ke1AL3jKfSXYhFyiFdTed4mUrqjRaDe1HRLvPm1vtOexr2TZ64HNTStnQbCQ&#13;&#10;RjfEH2rd4bbG4is/GgXz4qO7wZ/dPn56vt9Vb/n7YzxESl1fjXcrLpsVCI+j/7uAMwPnh4yDHeyR&#13;&#10;SidaBZMoZOW5x7cgWLCczxjooCBahCCzVP7HyH4BAAD//wMAUEsBAi0AFAAGAAgAAAAhALaDOJL+&#13;&#10;AAAA4QEAABMAAAAAAAAAAAAAAAAAAAAAAFtDb250ZW50X1R5cGVzXS54bWxQSwECLQAUAAYACAAA&#13;&#10;ACEAOP0h/9YAAACUAQAACwAAAAAAAAAAAAAAAAAvAQAAX3JlbHMvLnJlbHNQSwECLQAUAAYACAAA&#13;&#10;ACEAQ9V4og8CAAD7AwAADgAAAAAAAAAAAAAAAAAuAgAAZHJzL2Uyb0RvYy54bWxQSwECLQAUAAYA&#13;&#10;CAAAACEACGORGeYAAAAOAQAADwAAAAAAAAAAAAAAAABpBAAAZHJzL2Rvd25yZXYueG1sUEsFBgAA&#13;&#10;AAAEAAQA8wAAAHwF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73AC"/>
    <w:rsid w:val="00452576"/>
    <w:rsid w:val="0045428A"/>
    <w:rsid w:val="00550360"/>
    <w:rsid w:val="00577DC4"/>
    <w:rsid w:val="005F3158"/>
    <w:rsid w:val="00625543"/>
    <w:rsid w:val="006535AF"/>
    <w:rsid w:val="006637E7"/>
    <w:rsid w:val="006C05DD"/>
    <w:rsid w:val="00751FEE"/>
    <w:rsid w:val="007722E4"/>
    <w:rsid w:val="0077649B"/>
    <w:rsid w:val="00777D73"/>
    <w:rsid w:val="007B4CE7"/>
    <w:rsid w:val="00801D2A"/>
    <w:rsid w:val="008115C4"/>
    <w:rsid w:val="00817FE3"/>
    <w:rsid w:val="0087492A"/>
    <w:rsid w:val="008938D8"/>
    <w:rsid w:val="009462E3"/>
    <w:rsid w:val="009B1DAB"/>
    <w:rsid w:val="009E1B56"/>
    <w:rsid w:val="00A16498"/>
    <w:rsid w:val="00AB7B37"/>
    <w:rsid w:val="00AE4ADB"/>
    <w:rsid w:val="00B226B4"/>
    <w:rsid w:val="00B71AFF"/>
    <w:rsid w:val="00BA2D2D"/>
    <w:rsid w:val="00C6243D"/>
    <w:rsid w:val="00C80718"/>
    <w:rsid w:val="00C950AE"/>
    <w:rsid w:val="00CF3CDF"/>
    <w:rsid w:val="00D1386D"/>
    <w:rsid w:val="00D46241"/>
    <w:rsid w:val="00D60D08"/>
    <w:rsid w:val="00DC15FA"/>
    <w:rsid w:val="00E15391"/>
    <w:rsid w:val="00EC1345"/>
    <w:rsid w:val="00F023E6"/>
    <w:rsid w:val="00F2162A"/>
    <w:rsid w:val="00F6642C"/>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NoSpacing">
    <w:name w:val="No Spacing"/>
    <w:uiPriority w:val="1"/>
    <w:qFormat/>
    <w:rsid w:val="00C950AE"/>
    <w:pPr>
      <w:spacing w:after="0" w:line="240" w:lineRule="auto"/>
    </w:pPr>
  </w:style>
  <w:style w:type="character" w:styleId="Hyperlink">
    <w:name w:val="Hyperlink"/>
    <w:basedOn w:val="DefaultParagraphFont"/>
    <w:uiPriority w:val="99"/>
    <w:unhideWhenUsed/>
    <w:rsid w:val="00C950AE"/>
    <w:rPr>
      <w:color w:val="0000FF" w:themeColor="hyperlink"/>
      <w:u w:val="single"/>
    </w:rPr>
  </w:style>
  <w:style w:type="character" w:styleId="UnresolvedMention">
    <w:name w:val="Unresolved Mention"/>
    <w:basedOn w:val="DefaultParagraphFont"/>
    <w:uiPriority w:val="99"/>
    <w:semiHidden/>
    <w:unhideWhenUsed/>
    <w:rsid w:val="00C95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33174">
      <w:bodyDiv w:val="1"/>
      <w:marLeft w:val="0"/>
      <w:marRight w:val="0"/>
      <w:marTop w:val="0"/>
      <w:marBottom w:val="0"/>
      <w:divBdr>
        <w:top w:val="none" w:sz="0" w:space="0" w:color="auto"/>
        <w:left w:val="none" w:sz="0" w:space="0" w:color="auto"/>
        <w:bottom w:val="none" w:sz="0" w:space="0" w:color="auto"/>
        <w:right w:val="none" w:sz="0" w:space="0" w:color="auto"/>
      </w:divBdr>
      <w:divsChild>
        <w:div w:id="1458067112">
          <w:marLeft w:val="0"/>
          <w:marRight w:val="0"/>
          <w:marTop w:val="0"/>
          <w:marBottom w:val="0"/>
          <w:divBdr>
            <w:top w:val="none" w:sz="0" w:space="0" w:color="auto"/>
            <w:left w:val="none" w:sz="0" w:space="0" w:color="auto"/>
            <w:bottom w:val="none" w:sz="0" w:space="0" w:color="auto"/>
            <w:right w:val="none" w:sz="0" w:space="0" w:color="auto"/>
          </w:divBdr>
        </w:div>
        <w:div w:id="433672539">
          <w:marLeft w:val="0"/>
          <w:marRight w:val="0"/>
          <w:marTop w:val="0"/>
          <w:marBottom w:val="0"/>
          <w:divBdr>
            <w:top w:val="none" w:sz="0" w:space="0" w:color="auto"/>
            <w:left w:val="none" w:sz="0" w:space="0" w:color="auto"/>
            <w:bottom w:val="none" w:sz="0" w:space="0" w:color="auto"/>
            <w:right w:val="none" w:sz="0" w:space="0" w:color="auto"/>
          </w:divBdr>
        </w:div>
        <w:div w:id="993873689">
          <w:marLeft w:val="0"/>
          <w:marRight w:val="0"/>
          <w:marTop w:val="0"/>
          <w:marBottom w:val="0"/>
          <w:divBdr>
            <w:top w:val="none" w:sz="0" w:space="0" w:color="auto"/>
            <w:left w:val="none" w:sz="0" w:space="0" w:color="auto"/>
            <w:bottom w:val="none" w:sz="0" w:space="0" w:color="auto"/>
            <w:right w:val="none" w:sz="0" w:space="0" w:color="auto"/>
          </w:divBdr>
        </w:div>
      </w:divsChild>
    </w:div>
    <w:div w:id="359743958">
      <w:bodyDiv w:val="1"/>
      <w:marLeft w:val="0"/>
      <w:marRight w:val="0"/>
      <w:marTop w:val="0"/>
      <w:marBottom w:val="0"/>
      <w:divBdr>
        <w:top w:val="none" w:sz="0" w:space="0" w:color="auto"/>
        <w:left w:val="none" w:sz="0" w:space="0" w:color="auto"/>
        <w:bottom w:val="none" w:sz="0" w:space="0" w:color="auto"/>
        <w:right w:val="none" w:sz="0" w:space="0" w:color="auto"/>
      </w:divBdr>
      <w:divsChild>
        <w:div w:id="1305429500">
          <w:marLeft w:val="0"/>
          <w:marRight w:val="0"/>
          <w:marTop w:val="0"/>
          <w:marBottom w:val="0"/>
          <w:divBdr>
            <w:top w:val="none" w:sz="0" w:space="0" w:color="auto"/>
            <w:left w:val="none" w:sz="0" w:space="0" w:color="auto"/>
            <w:bottom w:val="none" w:sz="0" w:space="0" w:color="auto"/>
            <w:right w:val="none" w:sz="0" w:space="0" w:color="auto"/>
          </w:divBdr>
        </w:div>
        <w:div w:id="1791701813">
          <w:marLeft w:val="0"/>
          <w:marRight w:val="0"/>
          <w:marTop w:val="0"/>
          <w:marBottom w:val="0"/>
          <w:divBdr>
            <w:top w:val="none" w:sz="0" w:space="0" w:color="auto"/>
            <w:left w:val="none" w:sz="0" w:space="0" w:color="auto"/>
            <w:bottom w:val="none" w:sz="0" w:space="0" w:color="auto"/>
            <w:right w:val="none" w:sz="0" w:space="0" w:color="auto"/>
          </w:divBdr>
        </w:div>
        <w:div w:id="439103605">
          <w:marLeft w:val="0"/>
          <w:marRight w:val="0"/>
          <w:marTop w:val="0"/>
          <w:marBottom w:val="0"/>
          <w:divBdr>
            <w:top w:val="none" w:sz="0" w:space="0" w:color="auto"/>
            <w:left w:val="none" w:sz="0" w:space="0" w:color="auto"/>
            <w:bottom w:val="none" w:sz="0" w:space="0" w:color="auto"/>
            <w:right w:val="none" w:sz="0" w:space="0" w:color="auto"/>
          </w:divBdr>
        </w:div>
      </w:divsChild>
    </w:div>
    <w:div w:id="541358262">
      <w:bodyDiv w:val="1"/>
      <w:marLeft w:val="0"/>
      <w:marRight w:val="0"/>
      <w:marTop w:val="0"/>
      <w:marBottom w:val="0"/>
      <w:divBdr>
        <w:top w:val="none" w:sz="0" w:space="0" w:color="auto"/>
        <w:left w:val="none" w:sz="0" w:space="0" w:color="auto"/>
        <w:bottom w:val="none" w:sz="0" w:space="0" w:color="auto"/>
        <w:right w:val="none" w:sz="0" w:space="0" w:color="auto"/>
      </w:divBdr>
      <w:divsChild>
        <w:div w:id="200823256">
          <w:marLeft w:val="0"/>
          <w:marRight w:val="0"/>
          <w:marTop w:val="0"/>
          <w:marBottom w:val="0"/>
          <w:divBdr>
            <w:top w:val="none" w:sz="0" w:space="0" w:color="auto"/>
            <w:left w:val="none" w:sz="0" w:space="0" w:color="auto"/>
            <w:bottom w:val="none" w:sz="0" w:space="0" w:color="auto"/>
            <w:right w:val="none" w:sz="0" w:space="0" w:color="auto"/>
          </w:divBdr>
        </w:div>
        <w:div w:id="1760448075">
          <w:marLeft w:val="0"/>
          <w:marRight w:val="0"/>
          <w:marTop w:val="0"/>
          <w:marBottom w:val="0"/>
          <w:divBdr>
            <w:top w:val="none" w:sz="0" w:space="0" w:color="auto"/>
            <w:left w:val="none" w:sz="0" w:space="0" w:color="auto"/>
            <w:bottom w:val="none" w:sz="0" w:space="0" w:color="auto"/>
            <w:right w:val="none" w:sz="0" w:space="0" w:color="auto"/>
          </w:divBdr>
        </w:div>
      </w:divsChild>
    </w:div>
    <w:div w:id="1009719371">
      <w:bodyDiv w:val="1"/>
      <w:marLeft w:val="0"/>
      <w:marRight w:val="0"/>
      <w:marTop w:val="0"/>
      <w:marBottom w:val="0"/>
      <w:divBdr>
        <w:top w:val="none" w:sz="0" w:space="0" w:color="auto"/>
        <w:left w:val="none" w:sz="0" w:space="0" w:color="auto"/>
        <w:bottom w:val="none" w:sz="0" w:space="0" w:color="auto"/>
        <w:right w:val="none" w:sz="0" w:space="0" w:color="auto"/>
      </w:divBdr>
      <w:divsChild>
        <w:div w:id="1579361915">
          <w:marLeft w:val="0"/>
          <w:marRight w:val="0"/>
          <w:marTop w:val="0"/>
          <w:marBottom w:val="0"/>
          <w:divBdr>
            <w:top w:val="none" w:sz="0" w:space="0" w:color="auto"/>
            <w:left w:val="none" w:sz="0" w:space="0" w:color="auto"/>
            <w:bottom w:val="none" w:sz="0" w:space="0" w:color="auto"/>
            <w:right w:val="none" w:sz="0" w:space="0" w:color="auto"/>
          </w:divBdr>
        </w:div>
        <w:div w:id="1446927304">
          <w:marLeft w:val="0"/>
          <w:marRight w:val="0"/>
          <w:marTop w:val="0"/>
          <w:marBottom w:val="0"/>
          <w:divBdr>
            <w:top w:val="none" w:sz="0" w:space="0" w:color="auto"/>
            <w:left w:val="none" w:sz="0" w:space="0" w:color="auto"/>
            <w:bottom w:val="none" w:sz="0" w:space="0" w:color="auto"/>
            <w:right w:val="none" w:sz="0" w:space="0" w:color="auto"/>
          </w:divBdr>
        </w:div>
      </w:divsChild>
    </w:div>
    <w:div w:id="1026980442">
      <w:bodyDiv w:val="1"/>
      <w:marLeft w:val="0"/>
      <w:marRight w:val="0"/>
      <w:marTop w:val="0"/>
      <w:marBottom w:val="0"/>
      <w:divBdr>
        <w:top w:val="none" w:sz="0" w:space="0" w:color="auto"/>
        <w:left w:val="none" w:sz="0" w:space="0" w:color="auto"/>
        <w:bottom w:val="none" w:sz="0" w:space="0" w:color="auto"/>
        <w:right w:val="none" w:sz="0" w:space="0" w:color="auto"/>
      </w:divBdr>
      <w:divsChild>
        <w:div w:id="1200584047">
          <w:marLeft w:val="0"/>
          <w:marRight w:val="0"/>
          <w:marTop w:val="0"/>
          <w:marBottom w:val="0"/>
          <w:divBdr>
            <w:top w:val="none" w:sz="0" w:space="0" w:color="auto"/>
            <w:left w:val="none" w:sz="0" w:space="0" w:color="auto"/>
            <w:bottom w:val="none" w:sz="0" w:space="0" w:color="auto"/>
            <w:right w:val="none" w:sz="0" w:space="0" w:color="auto"/>
          </w:divBdr>
        </w:div>
        <w:div w:id="1037849264">
          <w:marLeft w:val="0"/>
          <w:marRight w:val="0"/>
          <w:marTop w:val="0"/>
          <w:marBottom w:val="0"/>
          <w:divBdr>
            <w:top w:val="none" w:sz="0" w:space="0" w:color="auto"/>
            <w:left w:val="none" w:sz="0" w:space="0" w:color="auto"/>
            <w:bottom w:val="none" w:sz="0" w:space="0" w:color="auto"/>
            <w:right w:val="none" w:sz="0" w:space="0" w:color="auto"/>
          </w:divBdr>
        </w:div>
      </w:divsChild>
    </w:div>
    <w:div w:id="1553729641">
      <w:bodyDiv w:val="1"/>
      <w:marLeft w:val="0"/>
      <w:marRight w:val="0"/>
      <w:marTop w:val="0"/>
      <w:marBottom w:val="0"/>
      <w:divBdr>
        <w:top w:val="none" w:sz="0" w:space="0" w:color="auto"/>
        <w:left w:val="none" w:sz="0" w:space="0" w:color="auto"/>
        <w:bottom w:val="none" w:sz="0" w:space="0" w:color="auto"/>
        <w:right w:val="none" w:sz="0" w:space="0" w:color="auto"/>
      </w:divBdr>
      <w:divsChild>
        <w:div w:id="1808232177">
          <w:marLeft w:val="0"/>
          <w:marRight w:val="0"/>
          <w:marTop w:val="0"/>
          <w:marBottom w:val="0"/>
          <w:divBdr>
            <w:top w:val="none" w:sz="0" w:space="0" w:color="auto"/>
            <w:left w:val="none" w:sz="0" w:space="0" w:color="auto"/>
            <w:bottom w:val="none" w:sz="0" w:space="0" w:color="auto"/>
            <w:right w:val="none" w:sz="0" w:space="0" w:color="auto"/>
          </w:divBdr>
        </w:div>
        <w:div w:id="1001350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oi.org/10.1186/s12913-022-07577-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Emerson, Kaleb Adam</cp:lastModifiedBy>
  <cp:revision>3</cp:revision>
  <dcterms:created xsi:type="dcterms:W3CDTF">2023-09-01T15:06:00Z</dcterms:created>
  <dcterms:modified xsi:type="dcterms:W3CDTF">2024-11-04T18:52:00Z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MSIP_Label_4044bd30-2ed7-4c9d-9d12-46200872a97b_Enabled">
    <vt:lpwstr>true</vt:lpwstr>
  </property>
  <property fmtid="{D5CDD505-2E9C-101B-9397-08002B2CF9AE}" pid="4" name="MSIP_Label_4044bd30-2ed7-4c9d-9d12-46200872a97b_SetDate">
    <vt:lpwstr>2024-11-04T18:52:38Z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49cf491d-2d2a-4afc-96eb-30737af91155</vt:lpwstr>
  </property>
  <property fmtid="{D5CDD505-2E9C-101B-9397-08002B2CF9AE}" pid="9" name="MSIP_Label_4044bd30-2ed7-4c9d-9d12-46200872a97b_ContentBits">
    <vt:lpwstr>0</vt:lpwstr>
  </property>
</Properties>
</file>