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50370" w14:textId="35D8BE61" w:rsidR="003D6244" w:rsidRPr="009E00A7" w:rsidRDefault="003D6244" w:rsidP="003D6244">
      <w:pPr>
        <w:rPr>
          <w:sz w:val="20"/>
          <w:szCs w:val="20"/>
        </w:rPr>
      </w:pPr>
      <w:r w:rsidRPr="009E00A7">
        <w:rPr>
          <w:b/>
          <w:sz w:val="20"/>
          <w:szCs w:val="20"/>
        </w:rPr>
        <w:t>Title</w:t>
      </w:r>
      <w:r w:rsidRPr="009E00A7">
        <w:rPr>
          <w:sz w:val="20"/>
          <w:szCs w:val="20"/>
        </w:rPr>
        <w:t xml:space="preserve">: </w:t>
      </w:r>
      <w:r w:rsidR="00D87CB7" w:rsidRPr="00D87CB7">
        <w:rPr>
          <w:sz w:val="20"/>
          <w:szCs w:val="20"/>
        </w:rPr>
        <w:t>Neurodivergence and Adolescent Suicidality: Autism, ADHD, and Their Co-Occurrence</w:t>
      </w:r>
    </w:p>
    <w:p w14:paraId="7AC50371" w14:textId="301439D2"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D87CB7">
        <w:rPr>
          <w:sz w:val="20"/>
          <w:szCs w:val="20"/>
        </w:rPr>
        <w:t>Kyra Fisher</w:t>
      </w:r>
      <w:r>
        <w:rPr>
          <w:sz w:val="20"/>
          <w:szCs w:val="20"/>
          <w:vertAlign w:val="superscript"/>
        </w:rPr>
        <w:t>1</w:t>
      </w:r>
      <w:r w:rsidRPr="009E00A7">
        <w:rPr>
          <w:sz w:val="20"/>
          <w:szCs w:val="20"/>
        </w:rPr>
        <w:t xml:space="preserve">, </w:t>
      </w:r>
      <w:r w:rsidR="00D87CB7">
        <w:rPr>
          <w:sz w:val="20"/>
          <w:szCs w:val="20"/>
        </w:rPr>
        <w:t>Christine Moody, PhD</w:t>
      </w:r>
      <w:r w:rsidR="005F3158">
        <w:rPr>
          <w:sz w:val="20"/>
          <w:szCs w:val="20"/>
          <w:vertAlign w:val="superscript"/>
        </w:rPr>
        <w:t xml:space="preserve"> </w:t>
      </w:r>
      <w:r>
        <w:rPr>
          <w:sz w:val="20"/>
          <w:szCs w:val="20"/>
          <w:vertAlign w:val="superscript"/>
        </w:rPr>
        <w:t>2</w:t>
      </w:r>
      <w:r>
        <w:rPr>
          <w:sz w:val="20"/>
          <w:szCs w:val="20"/>
        </w:rPr>
        <w:t xml:space="preserve">, </w:t>
      </w:r>
      <w:r w:rsidR="00D87CB7">
        <w:rPr>
          <w:sz w:val="20"/>
          <w:szCs w:val="20"/>
        </w:rPr>
        <w:t>Stephanie Gonzalez, MA</w:t>
      </w:r>
      <w:r>
        <w:rPr>
          <w:sz w:val="20"/>
          <w:szCs w:val="20"/>
          <w:vertAlign w:val="superscript"/>
        </w:rPr>
        <w:t>3</w:t>
      </w:r>
      <w:r w:rsidR="00D87CB7">
        <w:rPr>
          <w:sz w:val="20"/>
          <w:szCs w:val="20"/>
        </w:rPr>
        <w:t xml:space="preserve">, &amp; Elizabeth </w:t>
      </w:r>
      <w:proofErr w:type="spellStart"/>
      <w:r w:rsidR="00D87CB7">
        <w:rPr>
          <w:sz w:val="20"/>
          <w:szCs w:val="20"/>
        </w:rPr>
        <w:t>Laugeson</w:t>
      </w:r>
      <w:proofErr w:type="spellEnd"/>
      <w:r w:rsidR="00D87CB7">
        <w:rPr>
          <w:sz w:val="20"/>
          <w:szCs w:val="20"/>
        </w:rPr>
        <w:t>,</w:t>
      </w:r>
      <w:r w:rsidR="00D87CB7">
        <w:rPr>
          <w:sz w:val="20"/>
          <w:szCs w:val="20"/>
        </w:rPr>
        <w:t xml:space="preserve"> </w:t>
      </w:r>
      <w:r w:rsidR="00D87CB7">
        <w:rPr>
          <w:sz w:val="20"/>
          <w:szCs w:val="20"/>
        </w:rPr>
        <w:t>PsyD</w:t>
      </w:r>
      <w:r w:rsidR="00D87CB7">
        <w:rPr>
          <w:sz w:val="20"/>
          <w:szCs w:val="20"/>
          <w:vertAlign w:val="superscript"/>
        </w:rPr>
        <w:t>4</w:t>
      </w:r>
    </w:p>
    <w:p w14:paraId="77FE6733" w14:textId="10F7336E"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D87CB7" w:rsidRPr="00D87CB7">
        <w:rPr>
          <w:sz w:val="20"/>
          <w:szCs w:val="20"/>
        </w:rPr>
        <w:t>Amidst a growing adolescent mental health crisis (U.S. Surgeon General, 2021), neurodivergent teens are at high risk for experiencing mental health issues (</w:t>
      </w:r>
      <w:proofErr w:type="spellStart"/>
      <w:r w:rsidR="00D87CB7" w:rsidRPr="00D87CB7">
        <w:rPr>
          <w:sz w:val="20"/>
          <w:szCs w:val="20"/>
        </w:rPr>
        <w:t>Accardo</w:t>
      </w:r>
      <w:proofErr w:type="spellEnd"/>
      <w:r w:rsidR="00D87CB7" w:rsidRPr="00D87CB7">
        <w:rPr>
          <w:sz w:val="20"/>
          <w:szCs w:val="20"/>
        </w:rPr>
        <w:t xml:space="preserve"> et al. 2022). Particularly serious, suicidal ideation (SI) is more common in both autistic adolescents (O’Halloran et al., 2022) and adolescents with ADHD (</w:t>
      </w:r>
      <w:proofErr w:type="spellStart"/>
      <w:r w:rsidR="00D87CB7" w:rsidRPr="00D87CB7">
        <w:rPr>
          <w:sz w:val="20"/>
          <w:szCs w:val="20"/>
        </w:rPr>
        <w:t>Balazs</w:t>
      </w:r>
      <w:proofErr w:type="spellEnd"/>
      <w:r w:rsidR="00D87CB7" w:rsidRPr="00D87CB7">
        <w:rPr>
          <w:sz w:val="20"/>
          <w:szCs w:val="20"/>
        </w:rPr>
        <w:t xml:space="preserve"> &amp; </w:t>
      </w:r>
      <w:proofErr w:type="spellStart"/>
      <w:r w:rsidR="00D87CB7" w:rsidRPr="00D87CB7">
        <w:rPr>
          <w:sz w:val="20"/>
          <w:szCs w:val="20"/>
        </w:rPr>
        <w:t>Kereszteny</w:t>
      </w:r>
      <w:proofErr w:type="spellEnd"/>
      <w:r w:rsidR="00D87CB7" w:rsidRPr="00D87CB7">
        <w:rPr>
          <w:sz w:val="20"/>
          <w:szCs w:val="20"/>
        </w:rPr>
        <w:t>, 2017) than in the general adolescent population. Although limited, some data also suggest that autistic individuals with co-occurring ADHD have higher rates of suicidal ideation than autistic individuals without ADHD (</w:t>
      </w:r>
      <w:proofErr w:type="spellStart"/>
      <w:r w:rsidR="00D87CB7" w:rsidRPr="00D87CB7">
        <w:rPr>
          <w:sz w:val="20"/>
          <w:szCs w:val="20"/>
        </w:rPr>
        <w:t>Hirvikoski</w:t>
      </w:r>
      <w:proofErr w:type="spellEnd"/>
      <w:r w:rsidR="00D87CB7" w:rsidRPr="00D87CB7">
        <w:rPr>
          <w:sz w:val="20"/>
          <w:szCs w:val="20"/>
        </w:rPr>
        <w:t xml:space="preserve"> et al., 2019). Research in this area has largely been siloed by diagnosis, limiting understanding of how different forms of neurodivergence may be differentially associated with and/or accumulate risk for suicidality. Given that suicide rates for adolescents have doubled between 2000 and 2017 (Miron et al, 2017), it is critical to examine contributing factors.</w:t>
      </w:r>
      <w:r w:rsidR="00D87CB7">
        <w:rPr>
          <w:sz w:val="20"/>
          <w:szCs w:val="20"/>
        </w:rPr>
        <w:t xml:space="preserve"> </w:t>
      </w:r>
      <w:r w:rsidR="00D87CB7" w:rsidRPr="00D87CB7">
        <w:rPr>
          <w:sz w:val="20"/>
          <w:szCs w:val="20"/>
        </w:rPr>
        <w:t>The current study aims to compare the prevalence of SI in autistic adolescents, adolescents with ADHD, and adolescents with co-occurring autism and ADHD.</w:t>
      </w:r>
    </w:p>
    <w:p w14:paraId="7AC50373" w14:textId="09C1A0A9"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D87CB7" w:rsidRPr="00D87CB7">
        <w:rPr>
          <w:color w:val="000000"/>
          <w:sz w:val="20"/>
          <w:szCs w:val="20"/>
        </w:rPr>
        <w:t>Participants included 189 adolescents (</w:t>
      </w:r>
      <w:r w:rsidR="00D87CB7" w:rsidRPr="00D87CB7">
        <w:rPr>
          <w:i/>
          <w:iCs/>
          <w:color w:val="000000"/>
          <w:sz w:val="20"/>
          <w:szCs w:val="20"/>
        </w:rPr>
        <w:t>M</w:t>
      </w:r>
      <w:r w:rsidR="00D87CB7" w:rsidRPr="00D87CB7">
        <w:rPr>
          <w:i/>
          <w:iCs/>
          <w:color w:val="000000"/>
          <w:sz w:val="20"/>
          <w:szCs w:val="20"/>
          <w:vertAlign w:val="subscript"/>
        </w:rPr>
        <w:t>age</w:t>
      </w:r>
      <w:r w:rsidR="00D87CB7" w:rsidRPr="00D87CB7">
        <w:rPr>
          <w:color w:val="000000"/>
          <w:sz w:val="20"/>
          <w:szCs w:val="20"/>
        </w:rPr>
        <w:t xml:space="preserve">=13.9, </w:t>
      </w:r>
      <w:r w:rsidR="00D87CB7" w:rsidRPr="00D87CB7">
        <w:rPr>
          <w:i/>
          <w:iCs/>
          <w:color w:val="000000"/>
          <w:sz w:val="20"/>
          <w:szCs w:val="20"/>
        </w:rPr>
        <w:t>SD</w:t>
      </w:r>
      <w:r w:rsidR="00D87CB7" w:rsidRPr="00D87CB7">
        <w:rPr>
          <w:color w:val="000000"/>
          <w:sz w:val="20"/>
          <w:szCs w:val="20"/>
        </w:rPr>
        <w:t>=1.9; 75.1% male) who presented for programming</w:t>
      </w:r>
      <w:r w:rsidR="00D87CB7" w:rsidRPr="00D87CB7">
        <w:rPr>
          <w:color w:val="000000"/>
          <w:sz w:val="20"/>
          <w:szCs w:val="20"/>
        </w:rPr>
        <w:t xml:space="preserve"> </w:t>
      </w:r>
      <w:r w:rsidR="00D87CB7" w:rsidRPr="00D87CB7">
        <w:rPr>
          <w:color w:val="000000"/>
          <w:sz w:val="20"/>
          <w:szCs w:val="20"/>
        </w:rPr>
        <w:t>at the UCLA PEERS Clinic, an evidence-based friendship skills program</w:t>
      </w:r>
      <w:r w:rsidR="00D87CB7" w:rsidRPr="00D87CB7">
        <w:rPr>
          <w:color w:val="000000"/>
          <w:sz w:val="20"/>
          <w:szCs w:val="20"/>
        </w:rPr>
        <w:t xml:space="preserve"> </w:t>
      </w:r>
      <w:r w:rsidR="00D87CB7" w:rsidRPr="00D87CB7">
        <w:rPr>
          <w:color w:val="000000"/>
          <w:sz w:val="20"/>
          <w:szCs w:val="20"/>
        </w:rPr>
        <w:t>(</w:t>
      </w:r>
      <w:proofErr w:type="spellStart"/>
      <w:r w:rsidR="00D87CB7" w:rsidRPr="00D87CB7">
        <w:rPr>
          <w:color w:val="000000"/>
          <w:sz w:val="20"/>
          <w:szCs w:val="20"/>
        </w:rPr>
        <w:t>Laugeson</w:t>
      </w:r>
      <w:proofErr w:type="spellEnd"/>
      <w:r w:rsidR="00D87CB7" w:rsidRPr="00D87CB7">
        <w:rPr>
          <w:color w:val="000000"/>
          <w:sz w:val="20"/>
          <w:szCs w:val="20"/>
        </w:rPr>
        <w:t xml:space="preserve"> &amp; Frankel, 2010). Per parent report, 45.5% of participants were diagnosed with autism without ADHD, 27% had ADHD without autism, and 27.5% were diagnosed with both ADHD and autism. Suicidality was assessed prior to their first session via self-report on the Children’s Depression Inventory, 2</w:t>
      </w:r>
      <w:r w:rsidR="00D87CB7" w:rsidRPr="00D87CB7">
        <w:rPr>
          <w:color w:val="000000"/>
          <w:sz w:val="20"/>
          <w:szCs w:val="20"/>
          <w:vertAlign w:val="superscript"/>
        </w:rPr>
        <w:t>nd</w:t>
      </w:r>
      <w:r w:rsidR="00D87CB7" w:rsidRPr="00D87CB7">
        <w:rPr>
          <w:color w:val="000000"/>
          <w:sz w:val="20"/>
          <w:szCs w:val="20"/>
        </w:rPr>
        <w:t xml:space="preserve"> Edition (CDI-2; Kovacs, 2010).</w:t>
      </w:r>
    </w:p>
    <w:p w14:paraId="7AC50374" w14:textId="7E2AEA2B"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D87CB7" w:rsidRPr="00D87CB7">
        <w:rPr>
          <w:color w:val="000000"/>
          <w:sz w:val="20"/>
          <w:szCs w:val="20"/>
        </w:rPr>
        <w:t xml:space="preserve">Across the full sample, 27.1% of neurodivergent adolescents endorsed SI, including 25.6% of autistic adolescents, 23.5% of adolescents with ADHD, </w:t>
      </w:r>
      <w:commentRangeStart w:id="0"/>
      <w:r w:rsidR="00D87CB7" w:rsidRPr="00D87CB7">
        <w:rPr>
          <w:color w:val="000000"/>
          <w:sz w:val="20"/>
          <w:szCs w:val="20"/>
        </w:rPr>
        <w:t>and 33.3% of adolescents with both diagnoses</w:t>
      </w:r>
      <w:commentRangeEnd w:id="0"/>
      <w:r w:rsidR="00D87CB7" w:rsidRPr="00D87CB7">
        <w:rPr>
          <w:color w:val="000000"/>
          <w:sz w:val="20"/>
          <w:szCs w:val="20"/>
        </w:rPr>
        <w:commentReference w:id="0"/>
      </w:r>
      <w:r w:rsidR="00D87CB7" w:rsidRPr="00D87CB7">
        <w:rPr>
          <w:color w:val="000000"/>
          <w:sz w:val="20"/>
          <w:szCs w:val="20"/>
        </w:rPr>
        <w:t xml:space="preserve">. A chi square analysis revealed no significant difference in reported SI for participants by diagnosis, </w:t>
      </w:r>
      <w:r w:rsidR="00D87CB7" w:rsidRPr="00D87CB7">
        <w:rPr>
          <w:i/>
          <w:iCs/>
          <w:color w:val="000000"/>
          <w:sz w:val="20"/>
          <w:szCs w:val="20"/>
        </w:rPr>
        <w:t>X</w:t>
      </w:r>
      <w:r w:rsidR="00D87CB7" w:rsidRPr="00D87CB7">
        <w:rPr>
          <w:i/>
          <w:iCs/>
          <w:color w:val="000000"/>
          <w:sz w:val="20"/>
          <w:szCs w:val="20"/>
          <w:vertAlign w:val="superscript"/>
        </w:rPr>
        <w:t>2</w:t>
      </w:r>
      <w:r w:rsidR="00D87CB7" w:rsidRPr="00D87CB7">
        <w:rPr>
          <w:color w:val="000000"/>
          <w:sz w:val="20"/>
          <w:szCs w:val="20"/>
        </w:rPr>
        <w:t>(</w:t>
      </w:r>
      <w:proofErr w:type="gramStart"/>
      <w:r w:rsidR="00D87CB7" w:rsidRPr="00D87CB7">
        <w:rPr>
          <w:color w:val="000000"/>
          <w:sz w:val="20"/>
          <w:szCs w:val="20"/>
        </w:rPr>
        <w:t>2)=</w:t>
      </w:r>
      <w:proofErr w:type="gramEnd"/>
      <w:r w:rsidR="00D87CB7" w:rsidRPr="00D87CB7">
        <w:rPr>
          <w:color w:val="000000"/>
          <w:sz w:val="20"/>
          <w:szCs w:val="20"/>
        </w:rPr>
        <w:t>1.43,</w:t>
      </w:r>
      <w:r w:rsidR="00D87CB7" w:rsidRPr="00D87CB7">
        <w:rPr>
          <w:i/>
          <w:iCs/>
          <w:color w:val="000000"/>
          <w:sz w:val="20"/>
          <w:szCs w:val="20"/>
        </w:rPr>
        <w:t xml:space="preserve"> p</w:t>
      </w:r>
      <w:r w:rsidR="00D87CB7" w:rsidRPr="00D87CB7">
        <w:rPr>
          <w:color w:val="000000"/>
          <w:sz w:val="20"/>
          <w:szCs w:val="20"/>
        </w:rPr>
        <w:t>=.489.</w:t>
      </w:r>
    </w:p>
    <w:p w14:paraId="7AC50375" w14:textId="169DCD8F" w:rsidR="003D6244" w:rsidRPr="00D87CB7" w:rsidRDefault="003D6244" w:rsidP="003D6244">
      <w:pPr>
        <w:rPr>
          <w:bCs/>
          <w:color w:val="000000"/>
          <w:sz w:val="20"/>
          <w:szCs w:val="20"/>
          <w:lang w:val="en-GB"/>
        </w:rPr>
      </w:pPr>
      <w:r>
        <w:rPr>
          <w:b/>
          <w:iCs/>
          <w:color w:val="000000"/>
          <w:sz w:val="20"/>
          <w:szCs w:val="20"/>
          <w:lang w:val="en-GB"/>
        </w:rPr>
        <w:t xml:space="preserve">Discussion: </w:t>
      </w:r>
      <w:r w:rsidR="00D87CB7" w:rsidRPr="00D87CB7">
        <w:rPr>
          <w:bCs/>
          <w:iCs/>
          <w:color w:val="000000"/>
          <w:sz w:val="20"/>
          <w:szCs w:val="20"/>
          <w:lang w:val="en-GB"/>
        </w:rPr>
        <w:t>Findings suggest that in this treatment-seeking sample, neurodivergent participants had similar rates of SI across diagnostic presentations. As previous research has shown that loneliness predicts depression and suicidality in autistic samples (Hedley et al., 2018), it’s possible that the social struggles commonly experienced by neurodivergent teens are a more potent predictor of suicidality than neurodevelopmental diagnosis itself. Future research may examine this relationship further in a population-based sample, including both neurotypical and neurodivergent teens with and without social difficulties.</w:t>
      </w:r>
    </w:p>
    <w:p w14:paraId="7AC5037A" w14:textId="41ECACDE" w:rsidR="001C735E" w:rsidRDefault="003D6244" w:rsidP="003D6244">
      <w:pPr>
        <w:rPr>
          <w:color w:val="000000"/>
          <w:sz w:val="20"/>
          <w:szCs w:val="20"/>
          <w:lang w:val="en-GB"/>
        </w:rPr>
      </w:pPr>
      <w:r w:rsidRPr="00514B99">
        <w:rPr>
          <w:b/>
          <w:color w:val="000000"/>
          <w:sz w:val="20"/>
          <w:szCs w:val="20"/>
          <w:lang w:val="en-GB"/>
        </w:rPr>
        <w:t>References</w:t>
      </w:r>
      <w:r>
        <w:rPr>
          <w:b/>
          <w:color w:val="000000"/>
          <w:sz w:val="20"/>
          <w:szCs w:val="20"/>
          <w:lang w:val="en-GB"/>
        </w:rPr>
        <w:t xml:space="preserve">: </w:t>
      </w:r>
    </w:p>
    <w:p w14:paraId="5FBD87B3" w14:textId="0EEA0129" w:rsidR="00D87CB7" w:rsidRPr="00D87CB7" w:rsidRDefault="00D87CB7" w:rsidP="00D87CB7">
      <w:pPr>
        <w:rPr>
          <w:color w:val="000000"/>
          <w:sz w:val="20"/>
          <w:szCs w:val="20"/>
          <w:lang w:val="en-GB"/>
        </w:rPr>
      </w:pPr>
      <w:proofErr w:type="spellStart"/>
      <w:r w:rsidRPr="00D87CB7">
        <w:rPr>
          <w:color w:val="000000"/>
          <w:sz w:val="20"/>
          <w:szCs w:val="20"/>
          <w:lang w:val="en-GB"/>
        </w:rPr>
        <w:t>Accardo</w:t>
      </w:r>
      <w:proofErr w:type="spellEnd"/>
      <w:r w:rsidRPr="00D87CB7">
        <w:rPr>
          <w:color w:val="000000"/>
          <w:sz w:val="20"/>
          <w:szCs w:val="20"/>
          <w:lang w:val="en-GB"/>
        </w:rPr>
        <w:t xml:space="preserve">, A. L., Pontes, N. M. H., &amp; Pontes, M. C. F. (2022). Heightened anxiety and depression among autistic adolescents with ADHD: Findings from the national survey of children's health 2016-2019. Journal of Autism and Developmental Disorders, 1–14. Advance online publication. </w:t>
      </w:r>
    </w:p>
    <w:p w14:paraId="2D20D6C1" w14:textId="6B3DE110" w:rsidR="00D87CB7" w:rsidRPr="00D87CB7" w:rsidRDefault="00D87CB7" w:rsidP="00D87CB7">
      <w:pPr>
        <w:rPr>
          <w:color w:val="000000"/>
          <w:sz w:val="20"/>
          <w:szCs w:val="20"/>
          <w:lang w:val="en-GB"/>
        </w:rPr>
      </w:pPr>
      <w:proofErr w:type="spellStart"/>
      <w:r w:rsidRPr="00D87CB7">
        <w:rPr>
          <w:color w:val="000000"/>
          <w:sz w:val="20"/>
          <w:szCs w:val="20"/>
          <w:lang w:val="en-GB"/>
        </w:rPr>
        <w:t>Balazs</w:t>
      </w:r>
      <w:proofErr w:type="spellEnd"/>
      <w:r w:rsidRPr="00D87CB7">
        <w:rPr>
          <w:color w:val="000000"/>
          <w:sz w:val="20"/>
          <w:szCs w:val="20"/>
          <w:lang w:val="en-GB"/>
        </w:rPr>
        <w:t xml:space="preserve">, J., &amp; </w:t>
      </w:r>
      <w:proofErr w:type="spellStart"/>
      <w:r w:rsidRPr="00D87CB7">
        <w:rPr>
          <w:color w:val="000000"/>
          <w:sz w:val="20"/>
          <w:szCs w:val="20"/>
          <w:lang w:val="en-GB"/>
        </w:rPr>
        <w:t>Kereszteny</w:t>
      </w:r>
      <w:proofErr w:type="spellEnd"/>
      <w:r w:rsidRPr="00D87CB7">
        <w:rPr>
          <w:color w:val="000000"/>
          <w:sz w:val="20"/>
          <w:szCs w:val="20"/>
          <w:lang w:val="en-GB"/>
        </w:rPr>
        <w:t>, A. (2017). Attention-deficit/hyperactivity disorder and suicide: A systematic review. World Journal of Psychiatry, 7(1), 44.</w:t>
      </w:r>
      <w:r w:rsidRPr="00D87CB7">
        <w:rPr>
          <w:color w:val="000000"/>
          <w:sz w:val="20"/>
          <w:szCs w:val="20"/>
          <w:lang w:val="en-GB"/>
        </w:rPr>
        <w:tab/>
      </w:r>
    </w:p>
    <w:p w14:paraId="00821A6D" w14:textId="3FF00E7C" w:rsidR="00D87CB7" w:rsidRPr="00D87CB7" w:rsidRDefault="00D87CB7" w:rsidP="00D87CB7">
      <w:pPr>
        <w:rPr>
          <w:color w:val="000000"/>
          <w:sz w:val="20"/>
          <w:szCs w:val="20"/>
          <w:lang w:val="en-GB"/>
        </w:rPr>
      </w:pPr>
      <w:r w:rsidRPr="00D87CB7">
        <w:rPr>
          <w:color w:val="000000"/>
          <w:sz w:val="20"/>
          <w:szCs w:val="20"/>
          <w:lang w:val="en-GB"/>
        </w:rPr>
        <w:t xml:space="preserve">Hedley, D., </w:t>
      </w:r>
      <w:proofErr w:type="spellStart"/>
      <w:r w:rsidRPr="00D87CB7">
        <w:rPr>
          <w:color w:val="000000"/>
          <w:sz w:val="20"/>
          <w:szCs w:val="20"/>
          <w:lang w:val="en-GB"/>
        </w:rPr>
        <w:t>Uljarević</w:t>
      </w:r>
      <w:proofErr w:type="spellEnd"/>
      <w:r w:rsidRPr="00D87CB7">
        <w:rPr>
          <w:color w:val="000000"/>
          <w:sz w:val="20"/>
          <w:szCs w:val="20"/>
          <w:lang w:val="en-GB"/>
        </w:rPr>
        <w:t xml:space="preserve">, M., Foley, K. R., </w:t>
      </w:r>
      <w:proofErr w:type="spellStart"/>
      <w:r w:rsidRPr="00D87CB7">
        <w:rPr>
          <w:color w:val="000000"/>
          <w:sz w:val="20"/>
          <w:szCs w:val="20"/>
          <w:lang w:val="en-GB"/>
        </w:rPr>
        <w:t>Richdale</w:t>
      </w:r>
      <w:proofErr w:type="spellEnd"/>
      <w:r w:rsidRPr="00D87CB7">
        <w:rPr>
          <w:color w:val="000000"/>
          <w:sz w:val="20"/>
          <w:szCs w:val="20"/>
          <w:lang w:val="en-GB"/>
        </w:rPr>
        <w:t xml:space="preserve">, A., &amp; </w:t>
      </w:r>
      <w:proofErr w:type="spellStart"/>
      <w:r w:rsidRPr="00D87CB7">
        <w:rPr>
          <w:color w:val="000000"/>
          <w:sz w:val="20"/>
          <w:szCs w:val="20"/>
          <w:lang w:val="en-GB"/>
        </w:rPr>
        <w:t>Trollor</w:t>
      </w:r>
      <w:proofErr w:type="spellEnd"/>
      <w:r w:rsidRPr="00D87CB7">
        <w:rPr>
          <w:color w:val="000000"/>
          <w:sz w:val="20"/>
          <w:szCs w:val="20"/>
          <w:lang w:val="en-GB"/>
        </w:rPr>
        <w:t>, J. (2018). Risk and protective factors underlying depression and suicidal ideation in autism spectrum disorder. Depression and Anxiety, 35(7), 648-657.</w:t>
      </w:r>
    </w:p>
    <w:p w14:paraId="1A593B76" w14:textId="0EBFA336" w:rsidR="00D87CB7" w:rsidRPr="00D87CB7" w:rsidRDefault="00D87CB7" w:rsidP="00D87CB7">
      <w:pPr>
        <w:rPr>
          <w:color w:val="000000"/>
          <w:sz w:val="20"/>
          <w:szCs w:val="20"/>
          <w:lang w:val="en-GB"/>
        </w:rPr>
      </w:pPr>
      <w:proofErr w:type="spellStart"/>
      <w:r w:rsidRPr="00D87CB7">
        <w:rPr>
          <w:color w:val="000000"/>
          <w:sz w:val="20"/>
          <w:szCs w:val="20"/>
          <w:lang w:val="en-GB"/>
        </w:rPr>
        <w:t>Hirvikoski</w:t>
      </w:r>
      <w:proofErr w:type="spellEnd"/>
      <w:r w:rsidRPr="00D87CB7">
        <w:rPr>
          <w:color w:val="000000"/>
          <w:sz w:val="20"/>
          <w:szCs w:val="20"/>
          <w:lang w:val="en-GB"/>
        </w:rPr>
        <w:t xml:space="preserve">, T., </w:t>
      </w:r>
      <w:proofErr w:type="spellStart"/>
      <w:r w:rsidRPr="00D87CB7">
        <w:rPr>
          <w:color w:val="000000"/>
          <w:sz w:val="20"/>
          <w:szCs w:val="20"/>
          <w:lang w:val="en-GB"/>
        </w:rPr>
        <w:t>Boman</w:t>
      </w:r>
      <w:proofErr w:type="spellEnd"/>
      <w:r w:rsidRPr="00D87CB7">
        <w:rPr>
          <w:color w:val="000000"/>
          <w:sz w:val="20"/>
          <w:szCs w:val="20"/>
          <w:lang w:val="en-GB"/>
        </w:rPr>
        <w:t xml:space="preserve">, M., Chen, Q., D'Onofrio, B. M., </w:t>
      </w:r>
      <w:proofErr w:type="spellStart"/>
      <w:r w:rsidRPr="00D87CB7">
        <w:rPr>
          <w:color w:val="000000"/>
          <w:sz w:val="20"/>
          <w:szCs w:val="20"/>
          <w:lang w:val="en-GB"/>
        </w:rPr>
        <w:t>Mittendorfer-Rutz</w:t>
      </w:r>
      <w:proofErr w:type="spellEnd"/>
      <w:r w:rsidRPr="00D87CB7">
        <w:rPr>
          <w:color w:val="000000"/>
          <w:sz w:val="20"/>
          <w:szCs w:val="20"/>
          <w:lang w:val="en-GB"/>
        </w:rPr>
        <w:t>, E., Lichtenstein, P., &amp; Larsson, H. (2020). Individual risk and familial liability for suicide attempt and suicide in autism: a population-based study. Psychological Medicine, 50(9), 1463-1474.</w:t>
      </w:r>
    </w:p>
    <w:p w14:paraId="6C4AE1F0" w14:textId="77777777" w:rsidR="00D87CB7" w:rsidRPr="00D87CB7" w:rsidRDefault="00D87CB7" w:rsidP="00D87CB7">
      <w:pPr>
        <w:rPr>
          <w:color w:val="000000"/>
          <w:sz w:val="20"/>
          <w:szCs w:val="20"/>
          <w:lang w:val="en-GB"/>
        </w:rPr>
      </w:pPr>
      <w:r w:rsidRPr="00D87CB7">
        <w:rPr>
          <w:color w:val="000000"/>
          <w:sz w:val="20"/>
          <w:szCs w:val="20"/>
          <w:lang w:val="en-GB"/>
        </w:rPr>
        <w:t>Kovacs, M. (2010). Children's Depression Inventory 2 (CDI2). North Tonawanda, NY: Multi-Health Systems (MHS).</w:t>
      </w:r>
    </w:p>
    <w:p w14:paraId="0FCAA200" w14:textId="77777777" w:rsidR="00D87CB7" w:rsidRPr="00D87CB7" w:rsidRDefault="00D87CB7" w:rsidP="00D87CB7">
      <w:pPr>
        <w:rPr>
          <w:color w:val="000000"/>
          <w:sz w:val="20"/>
          <w:szCs w:val="20"/>
          <w:lang w:val="en-GB"/>
        </w:rPr>
      </w:pPr>
    </w:p>
    <w:p w14:paraId="2D40E72B" w14:textId="7FDB88D7" w:rsidR="00D87CB7" w:rsidRPr="00D87CB7" w:rsidRDefault="00D87CB7" w:rsidP="00D87CB7">
      <w:pPr>
        <w:rPr>
          <w:color w:val="000000"/>
          <w:sz w:val="20"/>
          <w:szCs w:val="20"/>
          <w:lang w:val="en-GB"/>
        </w:rPr>
      </w:pPr>
      <w:proofErr w:type="spellStart"/>
      <w:r w:rsidRPr="00D87CB7">
        <w:rPr>
          <w:color w:val="000000"/>
          <w:sz w:val="20"/>
          <w:szCs w:val="20"/>
          <w:lang w:val="en-GB"/>
        </w:rPr>
        <w:lastRenderedPageBreak/>
        <w:t>Laugeson</w:t>
      </w:r>
      <w:proofErr w:type="spellEnd"/>
      <w:r w:rsidRPr="00D87CB7">
        <w:rPr>
          <w:color w:val="000000"/>
          <w:sz w:val="20"/>
          <w:szCs w:val="20"/>
          <w:lang w:val="en-GB"/>
        </w:rPr>
        <w:t>, E. A., &amp; Frankel, F. (2011). Social skills for teenagers with developmental and autism spectrum disorders: The PEERS treatment manual. Routledge.</w:t>
      </w:r>
    </w:p>
    <w:p w14:paraId="184D6F5B" w14:textId="241D9D03" w:rsidR="00D87CB7" w:rsidRPr="00D87CB7" w:rsidRDefault="00D87CB7" w:rsidP="00D87CB7">
      <w:pPr>
        <w:rPr>
          <w:color w:val="000000"/>
          <w:sz w:val="20"/>
          <w:szCs w:val="20"/>
          <w:lang w:val="en-GB"/>
        </w:rPr>
      </w:pPr>
      <w:r w:rsidRPr="00D87CB7">
        <w:rPr>
          <w:color w:val="000000"/>
          <w:sz w:val="20"/>
          <w:szCs w:val="20"/>
          <w:lang w:val="en-GB"/>
        </w:rPr>
        <w:t xml:space="preserve">Miron, O., Yu, K. H., Wilf-Miron, R., &amp; </w:t>
      </w:r>
      <w:proofErr w:type="spellStart"/>
      <w:r w:rsidRPr="00D87CB7">
        <w:rPr>
          <w:color w:val="000000"/>
          <w:sz w:val="20"/>
          <w:szCs w:val="20"/>
          <w:lang w:val="en-GB"/>
        </w:rPr>
        <w:t>Kohane</w:t>
      </w:r>
      <w:proofErr w:type="spellEnd"/>
      <w:r w:rsidRPr="00D87CB7">
        <w:rPr>
          <w:color w:val="000000"/>
          <w:sz w:val="20"/>
          <w:szCs w:val="20"/>
          <w:lang w:val="en-GB"/>
        </w:rPr>
        <w:t>, I. S. (2019). Suicide rates among adolescents and young adults in the United States, 2000-2017. Journal of the American Medical Association, 321(23), 2362-2364.</w:t>
      </w:r>
    </w:p>
    <w:p w14:paraId="267F4F6F" w14:textId="6DB5A7BC" w:rsidR="00D87CB7" w:rsidRPr="00D87CB7" w:rsidRDefault="00D87CB7" w:rsidP="00D87CB7">
      <w:pPr>
        <w:rPr>
          <w:color w:val="000000"/>
          <w:sz w:val="20"/>
          <w:szCs w:val="20"/>
          <w:lang w:val="en-GB"/>
        </w:rPr>
      </w:pPr>
      <w:r w:rsidRPr="00D87CB7">
        <w:rPr>
          <w:color w:val="000000"/>
          <w:sz w:val="20"/>
          <w:szCs w:val="20"/>
          <w:lang w:val="en-GB"/>
        </w:rPr>
        <w:t xml:space="preserve">O'Halloran, L., </w:t>
      </w:r>
      <w:proofErr w:type="spellStart"/>
      <w:r w:rsidRPr="00D87CB7">
        <w:rPr>
          <w:color w:val="000000"/>
          <w:sz w:val="20"/>
          <w:szCs w:val="20"/>
          <w:lang w:val="en-GB"/>
        </w:rPr>
        <w:t>Coey</w:t>
      </w:r>
      <w:proofErr w:type="spellEnd"/>
      <w:r w:rsidRPr="00D87CB7">
        <w:rPr>
          <w:color w:val="000000"/>
          <w:sz w:val="20"/>
          <w:szCs w:val="20"/>
          <w:lang w:val="en-GB"/>
        </w:rPr>
        <w:t>, P., &amp; Wilson, C. (2022). Suicidality in autistic youth: A systematic review and meta-analysis. Clinical Psychology Review, 93, 102144.</w:t>
      </w:r>
    </w:p>
    <w:sectPr w:rsidR="00D87CB7" w:rsidRPr="00D87CB7" w:rsidSect="00394E2C">
      <w:headerReference w:type="default" r:id="rId15"/>
      <w:footerReference w:type="default" r:id="rId16"/>
      <w:pgSz w:w="12240" w:h="15840"/>
      <w:pgMar w:top="1440" w:right="864" w:bottom="1440" w:left="864"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geson, Elizabeth A." w:date="2023-12-14T10:20:00Z" w:initials="EL">
    <w:p w14:paraId="4F66697C" w14:textId="77777777" w:rsidR="00D87CB7" w:rsidRDefault="00D87CB7" w:rsidP="00D87CB7">
      <w:r>
        <w:rPr>
          <w:rStyle w:val="CommentReference"/>
        </w:rPr>
        <w:annotationRef/>
      </w:r>
      <w:r>
        <w:rPr>
          <w:color w:val="000000"/>
          <w:sz w:val="20"/>
          <w:szCs w:val="20"/>
        </w:rPr>
        <w:t>Is this supposed to say BOTH diagnoses? It’s unclear.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F66697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EB1ECE8" w16cex:dateUtc="2023-12-14T1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F66697C" w16cid:durableId="1EB1EC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326255" w14:textId="77777777" w:rsidR="0081183F" w:rsidRDefault="0081183F" w:rsidP="00A16498">
      <w:pPr>
        <w:spacing w:after="0" w:line="240" w:lineRule="auto"/>
      </w:pPr>
      <w:r>
        <w:separator/>
      </w:r>
    </w:p>
  </w:endnote>
  <w:endnote w:type="continuationSeparator" w:id="0">
    <w:p w14:paraId="608647A3" w14:textId="77777777" w:rsidR="0081183F" w:rsidRDefault="0081183F"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B765E" w14:textId="77777777" w:rsidR="0081183F" w:rsidRDefault="0081183F" w:rsidP="00A16498">
      <w:pPr>
        <w:spacing w:after="0" w:line="240" w:lineRule="auto"/>
      </w:pPr>
      <w:r>
        <w:separator/>
      </w:r>
    </w:p>
  </w:footnote>
  <w:footnote w:type="continuationSeparator" w:id="0">
    <w:p w14:paraId="103B2628" w14:textId="77777777" w:rsidR="0081183F" w:rsidRDefault="0081183F"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3F08DB84"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7E815E7"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59601C">
                            <w:rPr>
                              <w:rFonts w:ascii="Kefa" w:hAnsi="Kefa"/>
                              <w:b/>
                              <w:color w:val="444C6A"/>
                              <w:sz w:val="36"/>
                              <w:szCs w:val="36"/>
                            </w:rPr>
                            <w:t>5</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3F08DB84"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geson, Elizabeth A.">
    <w15:presenceInfo w15:providerId="AD" w15:userId="S::ELaugeson@mednet.ucla.edu::f911bec7-47d5-44fd-906f-9a5afd64fe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028"/>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68AF"/>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183F"/>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CF4432"/>
    <w:rsid w:val="00D46241"/>
    <w:rsid w:val="00D60D08"/>
    <w:rsid w:val="00D87CB7"/>
    <w:rsid w:val="00DC15FA"/>
    <w:rsid w:val="00E15391"/>
    <w:rsid w:val="00E34365"/>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CommentReference">
    <w:name w:val="annotation reference"/>
    <w:basedOn w:val="DefaultParagraphFont"/>
    <w:uiPriority w:val="99"/>
    <w:semiHidden/>
    <w:unhideWhenUsed/>
    <w:rsid w:val="00D87C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4.xml><?xml version="1.0" encoding="utf-8"?>
<ds:datastoreItem xmlns:ds="http://schemas.openxmlformats.org/officeDocument/2006/customXml" ds:itemID="{DFEE1DB5-B5BE-624C-9A97-C01BB4009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2025 Gatlinburg Conference Poster Submission</vt:lpstr>
    </vt:vector>
  </TitlesOfParts>
  <Company>UCDHS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Gatlinburg Conference Poster Submission</dc:title>
  <dc:creator>BSHELTON</dc:creator>
  <cp:lastModifiedBy>Fisher, Kyra</cp:lastModifiedBy>
  <cp:revision>2</cp:revision>
  <dcterms:created xsi:type="dcterms:W3CDTF">2024-11-04T17:45:00Z</dcterms:created>
  <dcterms:modified xsi:type="dcterms:W3CDTF">2024-11-04T17:45:00Z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