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027EC7B0" w:rsidR="003D6244" w:rsidRPr="00463067" w:rsidRDefault="003D6244" w:rsidP="00807DBA">
      <w:pPr>
        <w:spacing w:after="80"/>
        <w:rPr>
          <w:rFonts w:cstheme="minorHAnsi"/>
          <w:sz w:val="20"/>
          <w:szCs w:val="20"/>
        </w:rPr>
      </w:pPr>
      <w:r w:rsidRPr="00463067">
        <w:rPr>
          <w:rFonts w:cstheme="minorHAnsi"/>
          <w:b/>
          <w:sz w:val="20"/>
          <w:szCs w:val="20"/>
        </w:rPr>
        <w:t>Title</w:t>
      </w:r>
      <w:r w:rsidRPr="00463067">
        <w:rPr>
          <w:rFonts w:cstheme="minorHAnsi"/>
          <w:sz w:val="20"/>
          <w:szCs w:val="20"/>
        </w:rPr>
        <w:t xml:space="preserve">: </w:t>
      </w:r>
      <w:r w:rsidR="00550FC4" w:rsidRPr="00550FC4">
        <w:rPr>
          <w:rFonts w:cstheme="minorHAnsi"/>
          <w:sz w:val="20"/>
          <w:szCs w:val="20"/>
        </w:rPr>
        <w:t xml:space="preserve">Quantifying autistic traits in Down syndrome: an initial investigation of effects of cognitive differences and comparison with a sample at </w:t>
      </w:r>
      <w:r w:rsidR="000E7F17">
        <w:rPr>
          <w:rFonts w:cstheme="minorHAnsi"/>
          <w:sz w:val="20"/>
          <w:szCs w:val="20"/>
        </w:rPr>
        <w:t>higher</w:t>
      </w:r>
      <w:r w:rsidR="000E7F17" w:rsidRPr="00550FC4">
        <w:rPr>
          <w:rFonts w:cstheme="minorHAnsi"/>
          <w:sz w:val="20"/>
          <w:szCs w:val="20"/>
        </w:rPr>
        <w:t xml:space="preserve"> </w:t>
      </w:r>
      <w:r w:rsidR="000E7F17">
        <w:rPr>
          <w:rFonts w:cstheme="minorHAnsi"/>
          <w:sz w:val="20"/>
          <w:szCs w:val="20"/>
        </w:rPr>
        <w:t>familial</w:t>
      </w:r>
      <w:r w:rsidR="00550FC4" w:rsidRPr="00550FC4">
        <w:rPr>
          <w:rFonts w:cstheme="minorHAnsi"/>
          <w:sz w:val="20"/>
          <w:szCs w:val="20"/>
        </w:rPr>
        <w:t xml:space="preserve"> likelihood </w:t>
      </w:r>
      <w:r w:rsidR="000E7F17">
        <w:rPr>
          <w:rFonts w:cstheme="minorHAnsi"/>
          <w:sz w:val="20"/>
          <w:szCs w:val="20"/>
        </w:rPr>
        <w:t>for</w:t>
      </w:r>
      <w:r w:rsidR="00550FC4" w:rsidRPr="00550FC4">
        <w:rPr>
          <w:rFonts w:cstheme="minorHAnsi"/>
          <w:sz w:val="20"/>
          <w:szCs w:val="20"/>
        </w:rPr>
        <w:t xml:space="preserve"> ASD</w:t>
      </w:r>
    </w:p>
    <w:p w14:paraId="103A5D81" w14:textId="2DA40E54" w:rsidR="00550FC4" w:rsidRDefault="003D6244" w:rsidP="00807DBA">
      <w:pPr>
        <w:spacing w:after="80"/>
        <w:contextualSpacing/>
        <w:rPr>
          <w:rFonts w:cstheme="minorHAnsi"/>
          <w:sz w:val="20"/>
          <w:szCs w:val="20"/>
        </w:rPr>
      </w:pPr>
      <w:r w:rsidRPr="00463067">
        <w:rPr>
          <w:rFonts w:cstheme="minorHAnsi"/>
          <w:b/>
          <w:sz w:val="20"/>
          <w:szCs w:val="20"/>
        </w:rPr>
        <w:t>Authors</w:t>
      </w:r>
      <w:r w:rsidRPr="00463067">
        <w:rPr>
          <w:rFonts w:cstheme="minorHAnsi"/>
          <w:sz w:val="20"/>
          <w:szCs w:val="20"/>
        </w:rPr>
        <w:t xml:space="preserve">: </w:t>
      </w:r>
      <w:bookmarkStart w:id="0" w:name="OLE_LINK1"/>
      <w:r w:rsidR="00463067" w:rsidRPr="00463067">
        <w:rPr>
          <w:rFonts w:cstheme="minorHAnsi"/>
          <w:sz w:val="20"/>
          <w:szCs w:val="20"/>
        </w:rPr>
        <w:t>Carolyn Lasch</w:t>
      </w:r>
      <w:r w:rsidR="007A2CCC" w:rsidRPr="00E575FA">
        <w:rPr>
          <w:rFonts w:cstheme="minorHAnsi"/>
          <w:sz w:val="20"/>
          <w:szCs w:val="20"/>
          <w:vertAlign w:val="superscript"/>
        </w:rPr>
        <w:t>1</w:t>
      </w:r>
      <w:r w:rsidR="00463067" w:rsidRPr="00463067">
        <w:rPr>
          <w:rFonts w:cstheme="minorHAnsi"/>
          <w:sz w:val="20"/>
          <w:szCs w:val="20"/>
        </w:rPr>
        <w:t xml:space="preserve">, Annette </w:t>
      </w:r>
      <w:r w:rsidR="00E575FA">
        <w:rPr>
          <w:rFonts w:cstheme="minorHAnsi"/>
          <w:sz w:val="20"/>
          <w:szCs w:val="20"/>
        </w:rPr>
        <w:t xml:space="preserve">M. </w:t>
      </w:r>
      <w:r w:rsidR="00463067" w:rsidRPr="00463067">
        <w:rPr>
          <w:rFonts w:cstheme="minorHAnsi"/>
          <w:sz w:val="20"/>
          <w:szCs w:val="20"/>
        </w:rPr>
        <w:t>Estes</w:t>
      </w:r>
      <w:r w:rsidR="007A2CCC" w:rsidRPr="00E575FA">
        <w:rPr>
          <w:rFonts w:cstheme="minorHAnsi"/>
          <w:sz w:val="20"/>
          <w:szCs w:val="20"/>
          <w:vertAlign w:val="superscript"/>
        </w:rPr>
        <w:t>2</w:t>
      </w:r>
      <w:r w:rsidR="00463067" w:rsidRPr="00463067">
        <w:rPr>
          <w:rFonts w:cstheme="minorHAnsi"/>
          <w:sz w:val="20"/>
          <w:szCs w:val="20"/>
        </w:rPr>
        <w:t xml:space="preserve">, </w:t>
      </w:r>
      <w:r w:rsidR="00524478">
        <w:rPr>
          <w:rFonts w:cstheme="minorHAnsi"/>
          <w:sz w:val="20"/>
          <w:szCs w:val="20"/>
        </w:rPr>
        <w:t>Chimei M. Lee</w:t>
      </w:r>
      <w:r w:rsidR="00524478" w:rsidRPr="00524478">
        <w:rPr>
          <w:rFonts w:cstheme="minorHAnsi"/>
          <w:sz w:val="20"/>
          <w:szCs w:val="20"/>
          <w:vertAlign w:val="superscript"/>
        </w:rPr>
        <w:t>3</w:t>
      </w:r>
      <w:r w:rsidR="00524478">
        <w:rPr>
          <w:rFonts w:cstheme="minorHAnsi"/>
          <w:sz w:val="20"/>
          <w:szCs w:val="20"/>
        </w:rPr>
        <w:t xml:space="preserve">, </w:t>
      </w:r>
      <w:r w:rsidR="00463067" w:rsidRPr="00BE3F7D">
        <w:rPr>
          <w:rFonts w:cstheme="minorHAnsi"/>
          <w:sz w:val="20"/>
          <w:szCs w:val="20"/>
        </w:rPr>
        <w:t>Jed T. Elison</w:t>
      </w:r>
      <w:r w:rsidR="007A2CCC" w:rsidRPr="00BE3F7D">
        <w:rPr>
          <w:rFonts w:cstheme="minorHAnsi"/>
          <w:sz w:val="20"/>
          <w:szCs w:val="20"/>
          <w:vertAlign w:val="superscript"/>
        </w:rPr>
        <w:t>3</w:t>
      </w:r>
      <w:r w:rsidR="00463067" w:rsidRPr="00BE3F7D">
        <w:rPr>
          <w:rFonts w:cstheme="minorHAnsi"/>
          <w:sz w:val="20"/>
          <w:szCs w:val="20"/>
        </w:rPr>
        <w:t xml:space="preserve">, </w:t>
      </w:r>
      <w:r w:rsidR="00BE3F7D" w:rsidRPr="00BE3F7D">
        <w:rPr>
          <w:rFonts w:cstheme="minorHAnsi"/>
          <w:sz w:val="20"/>
          <w:szCs w:val="20"/>
        </w:rPr>
        <w:t>Jason J. Wolff</w:t>
      </w:r>
      <w:r w:rsidR="00BE3F7D" w:rsidRPr="00BE3F7D">
        <w:rPr>
          <w:rFonts w:cstheme="minorHAnsi"/>
          <w:sz w:val="20"/>
          <w:szCs w:val="20"/>
          <w:vertAlign w:val="superscript"/>
        </w:rPr>
        <w:t>3</w:t>
      </w:r>
      <w:r w:rsidR="00BE3F7D" w:rsidRPr="00BE3F7D">
        <w:rPr>
          <w:rFonts w:cstheme="minorHAnsi"/>
          <w:sz w:val="20"/>
          <w:szCs w:val="20"/>
        </w:rPr>
        <w:t xml:space="preserve">, </w:t>
      </w:r>
      <w:r w:rsidR="00D752D0" w:rsidRPr="00BE3F7D">
        <w:rPr>
          <w:rFonts w:cstheme="minorHAnsi"/>
          <w:sz w:val="20"/>
          <w:szCs w:val="20"/>
        </w:rPr>
        <w:t>Dea Garic</w:t>
      </w:r>
      <w:r w:rsidR="00D752D0" w:rsidRPr="00BE3F7D">
        <w:rPr>
          <w:rFonts w:cstheme="minorHAnsi"/>
          <w:sz w:val="20"/>
          <w:szCs w:val="20"/>
          <w:vertAlign w:val="superscript"/>
        </w:rPr>
        <w:t>6</w:t>
      </w:r>
      <w:r w:rsidR="00D752D0" w:rsidRPr="00BE3F7D">
        <w:rPr>
          <w:rFonts w:cstheme="minorHAnsi"/>
          <w:sz w:val="20"/>
          <w:szCs w:val="20"/>
        </w:rPr>
        <w:t>,</w:t>
      </w:r>
      <w:r w:rsidR="00D752D0">
        <w:rPr>
          <w:rFonts w:cstheme="minorHAnsi"/>
          <w:sz w:val="20"/>
          <w:szCs w:val="20"/>
        </w:rPr>
        <w:t xml:space="preserve"> Rebecca L. Grzadzinki</w:t>
      </w:r>
      <w:r w:rsidR="00D752D0" w:rsidRPr="00E575FA">
        <w:rPr>
          <w:rFonts w:cstheme="minorHAnsi"/>
          <w:sz w:val="20"/>
          <w:szCs w:val="20"/>
          <w:vertAlign w:val="superscript"/>
        </w:rPr>
        <w:t>6</w:t>
      </w:r>
      <w:r w:rsidR="00D752D0">
        <w:rPr>
          <w:rFonts w:cstheme="minorHAnsi"/>
          <w:sz w:val="20"/>
          <w:szCs w:val="20"/>
        </w:rPr>
        <w:t xml:space="preserve">, </w:t>
      </w:r>
      <w:r w:rsidR="00463067" w:rsidRPr="00BE3F7D">
        <w:rPr>
          <w:rFonts w:cstheme="minorHAnsi"/>
          <w:sz w:val="20"/>
          <w:szCs w:val="20"/>
        </w:rPr>
        <w:t xml:space="preserve">Stephen </w:t>
      </w:r>
      <w:r w:rsidR="00E575FA" w:rsidRPr="00BE3F7D">
        <w:rPr>
          <w:rFonts w:cstheme="minorHAnsi"/>
          <w:sz w:val="20"/>
          <w:szCs w:val="20"/>
        </w:rPr>
        <w:t xml:space="preserve">R. </w:t>
      </w:r>
      <w:r w:rsidR="00463067" w:rsidRPr="00BE3F7D">
        <w:rPr>
          <w:rFonts w:cstheme="minorHAnsi"/>
          <w:sz w:val="20"/>
          <w:szCs w:val="20"/>
        </w:rPr>
        <w:t>Dager</w:t>
      </w:r>
      <w:r w:rsidR="007A2CCC" w:rsidRPr="00BE3F7D">
        <w:rPr>
          <w:rFonts w:cstheme="minorHAnsi"/>
          <w:sz w:val="20"/>
          <w:szCs w:val="20"/>
          <w:vertAlign w:val="superscript"/>
        </w:rPr>
        <w:t>2</w:t>
      </w:r>
      <w:r w:rsidR="00463067" w:rsidRPr="00BE3F7D">
        <w:rPr>
          <w:rFonts w:cstheme="minorHAnsi"/>
          <w:sz w:val="20"/>
          <w:szCs w:val="20"/>
        </w:rPr>
        <w:t>, Juhi Pandey</w:t>
      </w:r>
      <w:r w:rsidR="007A2CCC" w:rsidRPr="00BE3F7D">
        <w:rPr>
          <w:rFonts w:cstheme="minorHAnsi"/>
          <w:sz w:val="20"/>
          <w:szCs w:val="20"/>
          <w:vertAlign w:val="superscript"/>
        </w:rPr>
        <w:t>4</w:t>
      </w:r>
      <w:r w:rsidR="00463067" w:rsidRPr="00BE3F7D">
        <w:rPr>
          <w:rFonts w:cstheme="minorHAnsi"/>
          <w:sz w:val="20"/>
          <w:szCs w:val="20"/>
        </w:rPr>
        <w:t xml:space="preserve">, </w:t>
      </w:r>
      <w:r w:rsidR="00E575FA" w:rsidRPr="00BE3F7D">
        <w:rPr>
          <w:rFonts w:cstheme="minorHAnsi"/>
          <w:sz w:val="20"/>
          <w:szCs w:val="20"/>
        </w:rPr>
        <w:t>Robert T. Schultz</w:t>
      </w:r>
      <w:r w:rsidR="00E575FA" w:rsidRPr="00BE3F7D">
        <w:rPr>
          <w:rFonts w:cstheme="minorHAnsi"/>
          <w:sz w:val="20"/>
          <w:szCs w:val="20"/>
          <w:vertAlign w:val="superscript"/>
        </w:rPr>
        <w:t>4</w:t>
      </w:r>
      <w:r w:rsidR="00463067" w:rsidRPr="00BE3F7D">
        <w:rPr>
          <w:rFonts w:cstheme="minorHAnsi"/>
          <w:sz w:val="20"/>
          <w:szCs w:val="20"/>
        </w:rPr>
        <w:t xml:space="preserve">, </w:t>
      </w:r>
      <w:r w:rsidR="00E575FA" w:rsidRPr="00BE3F7D">
        <w:rPr>
          <w:rFonts w:cstheme="minorHAnsi"/>
          <w:sz w:val="20"/>
          <w:szCs w:val="20"/>
        </w:rPr>
        <w:t>Lonnie</w:t>
      </w:r>
      <w:r w:rsidR="00463067" w:rsidRPr="00BE3F7D">
        <w:rPr>
          <w:rFonts w:cstheme="minorHAnsi"/>
          <w:sz w:val="20"/>
          <w:szCs w:val="20"/>
        </w:rPr>
        <w:t xml:space="preserve"> Zwaigenbaum</w:t>
      </w:r>
      <w:r w:rsidR="005F6290" w:rsidRPr="00BE3F7D">
        <w:rPr>
          <w:rFonts w:cstheme="minorHAnsi"/>
          <w:sz w:val="20"/>
          <w:szCs w:val="20"/>
          <w:vertAlign w:val="superscript"/>
        </w:rPr>
        <w:t>5</w:t>
      </w:r>
      <w:r w:rsidR="00463067" w:rsidRPr="00BE3F7D">
        <w:rPr>
          <w:rFonts w:cstheme="minorHAnsi"/>
          <w:sz w:val="20"/>
          <w:szCs w:val="20"/>
        </w:rPr>
        <w:t xml:space="preserve">, Heather </w:t>
      </w:r>
      <w:r w:rsidR="00E575FA" w:rsidRPr="00BE3F7D">
        <w:rPr>
          <w:rFonts w:cstheme="minorHAnsi"/>
          <w:sz w:val="20"/>
          <w:szCs w:val="20"/>
        </w:rPr>
        <w:t xml:space="preserve">C. </w:t>
      </w:r>
      <w:r w:rsidR="00463067" w:rsidRPr="00BE3F7D">
        <w:rPr>
          <w:rFonts w:cstheme="minorHAnsi"/>
          <w:sz w:val="20"/>
          <w:szCs w:val="20"/>
        </w:rPr>
        <w:t>Hazlett</w:t>
      </w:r>
      <w:r w:rsidR="00E575FA" w:rsidRPr="00BE3F7D">
        <w:rPr>
          <w:rFonts w:cstheme="minorHAnsi"/>
          <w:sz w:val="20"/>
          <w:szCs w:val="20"/>
          <w:vertAlign w:val="superscript"/>
        </w:rPr>
        <w:t>6</w:t>
      </w:r>
      <w:r w:rsidR="00463067" w:rsidRPr="00BE3F7D">
        <w:rPr>
          <w:rFonts w:cstheme="minorHAnsi"/>
          <w:sz w:val="20"/>
          <w:szCs w:val="20"/>
        </w:rPr>
        <w:t xml:space="preserve">, Kelly </w:t>
      </w:r>
      <w:r w:rsidR="00E575FA" w:rsidRPr="00BE3F7D">
        <w:rPr>
          <w:rFonts w:cstheme="minorHAnsi"/>
          <w:sz w:val="20"/>
          <w:szCs w:val="20"/>
        </w:rPr>
        <w:t xml:space="preserve">N. </w:t>
      </w:r>
      <w:r w:rsidR="00463067" w:rsidRPr="00BE3F7D">
        <w:rPr>
          <w:rFonts w:cstheme="minorHAnsi"/>
          <w:sz w:val="20"/>
          <w:szCs w:val="20"/>
        </w:rPr>
        <w:t>Botteron</w:t>
      </w:r>
      <w:r w:rsidR="00E575FA" w:rsidRPr="00BE3F7D">
        <w:rPr>
          <w:rFonts w:cstheme="minorHAnsi"/>
          <w:sz w:val="20"/>
          <w:szCs w:val="20"/>
          <w:vertAlign w:val="superscript"/>
        </w:rPr>
        <w:t>1</w:t>
      </w:r>
      <w:r w:rsidR="00463067" w:rsidRPr="00BE3F7D">
        <w:rPr>
          <w:rFonts w:cstheme="minorHAnsi"/>
          <w:sz w:val="20"/>
          <w:szCs w:val="20"/>
        </w:rPr>
        <w:t>,</w:t>
      </w:r>
      <w:r w:rsidR="00463067" w:rsidRPr="00463067">
        <w:rPr>
          <w:rFonts w:cstheme="minorHAnsi"/>
          <w:sz w:val="20"/>
          <w:szCs w:val="20"/>
        </w:rPr>
        <w:t xml:space="preserve"> Jo</w:t>
      </w:r>
      <w:r w:rsidR="002C2F2A">
        <w:rPr>
          <w:rFonts w:cstheme="minorHAnsi"/>
          <w:sz w:val="20"/>
          <w:szCs w:val="20"/>
        </w:rPr>
        <w:t>seph</w:t>
      </w:r>
      <w:r w:rsidR="00463067" w:rsidRPr="00463067">
        <w:rPr>
          <w:rFonts w:cstheme="minorHAnsi"/>
          <w:sz w:val="20"/>
          <w:szCs w:val="20"/>
        </w:rPr>
        <w:t xml:space="preserve"> Piven</w:t>
      </w:r>
      <w:r w:rsidR="00550FC4">
        <w:rPr>
          <w:rFonts w:cstheme="minorHAnsi"/>
          <w:sz w:val="20"/>
          <w:szCs w:val="20"/>
        </w:rPr>
        <w:t>*</w:t>
      </w:r>
      <w:r w:rsidR="00E575FA" w:rsidRPr="00E575FA">
        <w:rPr>
          <w:rFonts w:cstheme="minorHAnsi"/>
          <w:sz w:val="20"/>
          <w:szCs w:val="20"/>
          <w:vertAlign w:val="superscript"/>
        </w:rPr>
        <w:t>6</w:t>
      </w:r>
      <w:r w:rsidR="00463067" w:rsidRPr="00463067">
        <w:rPr>
          <w:rFonts w:cstheme="minorHAnsi"/>
          <w:sz w:val="20"/>
          <w:szCs w:val="20"/>
        </w:rPr>
        <w:t>, John R. Pruett</w:t>
      </w:r>
      <w:r w:rsidR="00E33DE6">
        <w:rPr>
          <w:rFonts w:cstheme="minorHAnsi"/>
          <w:sz w:val="20"/>
          <w:szCs w:val="20"/>
        </w:rPr>
        <w:t>,</w:t>
      </w:r>
      <w:r w:rsidR="00053A07">
        <w:rPr>
          <w:rFonts w:cstheme="minorHAnsi"/>
          <w:sz w:val="20"/>
          <w:szCs w:val="20"/>
        </w:rPr>
        <w:t xml:space="preserve"> Jr.</w:t>
      </w:r>
      <w:r w:rsidR="00550FC4">
        <w:rPr>
          <w:rFonts w:cstheme="minorHAnsi"/>
          <w:sz w:val="20"/>
          <w:szCs w:val="20"/>
        </w:rPr>
        <w:t>*</w:t>
      </w:r>
      <w:r w:rsidR="00E575FA" w:rsidRPr="00E575FA">
        <w:rPr>
          <w:rFonts w:cstheme="minorHAnsi"/>
          <w:sz w:val="20"/>
          <w:szCs w:val="20"/>
          <w:vertAlign w:val="superscript"/>
        </w:rPr>
        <w:t>1</w:t>
      </w:r>
      <w:r w:rsidR="00463067" w:rsidRPr="00463067">
        <w:rPr>
          <w:rFonts w:cstheme="minorHAnsi"/>
          <w:sz w:val="20"/>
          <w:szCs w:val="20"/>
        </w:rPr>
        <w:t>, &amp; Natasha Marrus</w:t>
      </w:r>
      <w:r w:rsidR="00550FC4">
        <w:rPr>
          <w:rFonts w:cstheme="minorHAnsi"/>
          <w:sz w:val="20"/>
          <w:szCs w:val="20"/>
        </w:rPr>
        <w:t>*</w:t>
      </w:r>
      <w:r w:rsidR="00E575FA" w:rsidRPr="00E575FA">
        <w:rPr>
          <w:rFonts w:cstheme="minorHAnsi"/>
          <w:sz w:val="20"/>
          <w:szCs w:val="20"/>
          <w:vertAlign w:val="superscript"/>
        </w:rPr>
        <w:t>1</w:t>
      </w:r>
      <w:r w:rsidR="00463067" w:rsidRPr="00463067">
        <w:rPr>
          <w:rFonts w:cstheme="minorHAnsi"/>
          <w:sz w:val="20"/>
          <w:szCs w:val="20"/>
        </w:rPr>
        <w:t xml:space="preserve"> for the IBIS Network</w:t>
      </w:r>
      <w:bookmarkEnd w:id="0"/>
    </w:p>
    <w:p w14:paraId="539935B6" w14:textId="772CE42C" w:rsidR="00550FC4" w:rsidRPr="00807DBA" w:rsidRDefault="00550FC4" w:rsidP="00807DBA">
      <w:pPr>
        <w:spacing w:after="80"/>
        <w:contextualSpacing/>
        <w:rPr>
          <w:rFonts w:cstheme="minorHAnsi"/>
          <w:sz w:val="20"/>
          <w:szCs w:val="20"/>
        </w:rPr>
      </w:pPr>
      <w:r>
        <w:rPr>
          <w:rFonts w:cstheme="minorHAnsi"/>
          <w:sz w:val="20"/>
          <w:szCs w:val="20"/>
        </w:rPr>
        <w:t>* co-senior authors</w:t>
      </w:r>
    </w:p>
    <w:p w14:paraId="77FE6733" w14:textId="733752A5" w:rsidR="00452576" w:rsidRPr="00463067" w:rsidRDefault="003D6244" w:rsidP="00807DBA">
      <w:pPr>
        <w:spacing w:after="80"/>
        <w:jc w:val="both"/>
        <w:rPr>
          <w:rFonts w:cstheme="minorHAnsi"/>
          <w:sz w:val="20"/>
          <w:szCs w:val="20"/>
        </w:rPr>
      </w:pPr>
      <w:r w:rsidRPr="00463067">
        <w:rPr>
          <w:rFonts w:cstheme="minorHAnsi"/>
          <w:b/>
          <w:sz w:val="20"/>
          <w:szCs w:val="20"/>
        </w:rPr>
        <w:t>Introduction</w:t>
      </w:r>
      <w:r w:rsidRPr="00463067">
        <w:rPr>
          <w:rFonts w:cstheme="minorHAnsi"/>
          <w:sz w:val="20"/>
          <w:szCs w:val="20"/>
        </w:rPr>
        <w:t xml:space="preserve">: </w:t>
      </w:r>
      <w:r w:rsidR="00463067" w:rsidRPr="00463067">
        <w:rPr>
          <w:rFonts w:cstheme="minorHAnsi"/>
          <w:sz w:val="20"/>
          <w:szCs w:val="20"/>
        </w:rPr>
        <w:t>Down syndrome (DS)</w:t>
      </w:r>
      <w:r w:rsidR="00434944">
        <w:rPr>
          <w:rFonts w:cstheme="minorHAnsi"/>
          <w:sz w:val="20"/>
          <w:szCs w:val="20"/>
        </w:rPr>
        <w:t xml:space="preserve"> is</w:t>
      </w:r>
      <w:r w:rsidR="00463067" w:rsidRPr="00463067">
        <w:rPr>
          <w:rFonts w:cstheme="minorHAnsi"/>
          <w:sz w:val="20"/>
          <w:szCs w:val="20"/>
        </w:rPr>
        <w:t xml:space="preserve"> the most common genetic condition associated with intellectual disabilit</w:t>
      </w:r>
      <w:r w:rsidR="00434944">
        <w:rPr>
          <w:rFonts w:cstheme="minorHAnsi"/>
          <w:sz w:val="20"/>
          <w:szCs w:val="20"/>
        </w:rPr>
        <w:t xml:space="preserve">y. It </w:t>
      </w:r>
      <w:r w:rsidR="00463067" w:rsidRPr="00463067">
        <w:rPr>
          <w:rFonts w:cstheme="minorHAnsi"/>
          <w:sz w:val="20"/>
          <w:szCs w:val="20"/>
        </w:rPr>
        <w:t>also presents with increased likelihood of autism spectrum disorder (ASD) diagnosis and subthreshold ASD-related behaviors</w:t>
      </w:r>
      <w:r w:rsidR="007E0D30">
        <w:rPr>
          <w:rFonts w:cstheme="minorHAnsi"/>
          <w:sz w:val="20"/>
          <w:szCs w:val="20"/>
        </w:rPr>
        <w:t xml:space="preserve"> (e.g., </w:t>
      </w:r>
      <w:r w:rsidR="00434944">
        <w:rPr>
          <w:rFonts w:cstheme="minorHAnsi"/>
          <w:sz w:val="20"/>
          <w:szCs w:val="20"/>
        </w:rPr>
        <w:t xml:space="preserve">differences in attention and </w:t>
      </w:r>
      <w:r w:rsidR="0038453A">
        <w:rPr>
          <w:rFonts w:cstheme="minorHAnsi"/>
          <w:sz w:val="20"/>
          <w:szCs w:val="20"/>
        </w:rPr>
        <w:t xml:space="preserve">aspects of social cognition implicating </w:t>
      </w:r>
      <w:r w:rsidR="00434944">
        <w:rPr>
          <w:rFonts w:cstheme="minorHAnsi"/>
          <w:sz w:val="20"/>
          <w:szCs w:val="20"/>
        </w:rPr>
        <w:t>executive function</w:t>
      </w:r>
      <w:r w:rsidR="000355D7">
        <w:rPr>
          <w:rFonts w:cstheme="minorHAnsi"/>
          <w:sz w:val="20"/>
          <w:szCs w:val="20"/>
        </w:rPr>
        <w:t xml:space="preserve"> [e.g., Chanell, 2020]</w:t>
      </w:r>
      <w:r w:rsidR="00434944">
        <w:rPr>
          <w:rFonts w:cstheme="minorHAnsi"/>
          <w:sz w:val="20"/>
          <w:szCs w:val="20"/>
        </w:rPr>
        <w:t>)</w:t>
      </w:r>
      <w:r w:rsidR="00463067" w:rsidRPr="00463067">
        <w:rPr>
          <w:rFonts w:cstheme="minorHAnsi"/>
          <w:sz w:val="20"/>
          <w:szCs w:val="20"/>
        </w:rPr>
        <w:t xml:space="preserve">. However, the possible impact of DS-related cognitive differences on the interpretability of ASD trait measures has not been examined across different developmental periods. Here, we examine quantitative autistic traits (QATs) in </w:t>
      </w:r>
      <w:r w:rsidR="0054650B">
        <w:rPr>
          <w:rFonts w:cstheme="minorHAnsi"/>
          <w:sz w:val="20"/>
          <w:szCs w:val="20"/>
        </w:rPr>
        <w:t xml:space="preserve">children with DS in two developmental periods: </w:t>
      </w:r>
      <w:r w:rsidR="00463067" w:rsidRPr="00463067">
        <w:rPr>
          <w:rFonts w:cstheme="minorHAnsi"/>
          <w:sz w:val="20"/>
          <w:szCs w:val="20"/>
        </w:rPr>
        <w:t>school</w:t>
      </w:r>
      <w:r w:rsidR="001A1DC8">
        <w:rPr>
          <w:rFonts w:cstheme="minorHAnsi"/>
          <w:sz w:val="20"/>
          <w:szCs w:val="20"/>
        </w:rPr>
        <w:t>-</w:t>
      </w:r>
      <w:r w:rsidR="00463067" w:rsidRPr="00463067">
        <w:rPr>
          <w:rFonts w:cstheme="minorHAnsi"/>
          <w:sz w:val="20"/>
          <w:szCs w:val="20"/>
        </w:rPr>
        <w:t>age (SA</w:t>
      </w:r>
      <w:r w:rsidR="0054650B">
        <w:rPr>
          <w:rFonts w:cstheme="minorHAnsi"/>
          <w:sz w:val="20"/>
          <w:szCs w:val="20"/>
        </w:rPr>
        <w:t xml:space="preserve">), </w:t>
      </w:r>
      <w:r w:rsidR="00463067" w:rsidRPr="00463067">
        <w:rPr>
          <w:rFonts w:cstheme="minorHAnsi"/>
          <w:sz w:val="20"/>
          <w:szCs w:val="20"/>
        </w:rPr>
        <w:t>using the clinically validated Social Responsiveness Scale-2 (</w:t>
      </w:r>
      <w:r w:rsidR="00463067" w:rsidRPr="00463067">
        <w:rPr>
          <w:rFonts w:cstheme="minorHAnsi"/>
          <w:i/>
          <w:iCs/>
          <w:sz w:val="20"/>
          <w:szCs w:val="20"/>
        </w:rPr>
        <w:t>SRS-2</w:t>
      </w:r>
      <w:r w:rsidR="00463067" w:rsidRPr="00463067">
        <w:rPr>
          <w:rFonts w:cstheme="minorHAnsi"/>
          <w:sz w:val="20"/>
          <w:szCs w:val="20"/>
        </w:rPr>
        <w:t xml:space="preserve">, Constantino &amp; Todd, 2003) </w:t>
      </w:r>
      <w:r w:rsidR="00434944">
        <w:rPr>
          <w:rFonts w:cstheme="minorHAnsi"/>
          <w:sz w:val="20"/>
          <w:szCs w:val="20"/>
        </w:rPr>
        <w:t>and</w:t>
      </w:r>
      <w:r w:rsidR="0054650B">
        <w:rPr>
          <w:rFonts w:cstheme="minorHAnsi"/>
          <w:sz w:val="20"/>
          <w:szCs w:val="20"/>
        </w:rPr>
        <w:t xml:space="preserve"> early childhood (EC), using</w:t>
      </w:r>
      <w:r w:rsidR="00434944">
        <w:rPr>
          <w:rFonts w:cstheme="minorHAnsi"/>
          <w:sz w:val="20"/>
          <w:szCs w:val="20"/>
        </w:rPr>
        <w:t xml:space="preserve"> </w:t>
      </w:r>
      <w:r w:rsidR="00463067" w:rsidRPr="00463067">
        <w:rPr>
          <w:rFonts w:cstheme="minorHAnsi"/>
          <w:sz w:val="20"/>
          <w:szCs w:val="20"/>
        </w:rPr>
        <w:t>the Video-Referenced Rating of Reciprocal Social Behavior (</w:t>
      </w:r>
      <w:r w:rsidR="00463067" w:rsidRPr="00463067">
        <w:rPr>
          <w:rFonts w:cstheme="minorHAnsi"/>
          <w:i/>
          <w:iCs/>
          <w:sz w:val="20"/>
          <w:szCs w:val="20"/>
        </w:rPr>
        <w:t>vrRSB</w:t>
      </w:r>
      <w:r w:rsidR="00463067" w:rsidRPr="00463067">
        <w:rPr>
          <w:rFonts w:cstheme="minorHAnsi"/>
          <w:sz w:val="20"/>
          <w:szCs w:val="20"/>
        </w:rPr>
        <w:t>; Marrus et al., 2015)</w:t>
      </w:r>
      <w:r w:rsidR="0089701F">
        <w:rPr>
          <w:rFonts w:cstheme="minorHAnsi"/>
          <w:sz w:val="20"/>
          <w:szCs w:val="20"/>
        </w:rPr>
        <w:t>,</w:t>
      </w:r>
      <w:r w:rsidR="00463067" w:rsidRPr="00463067">
        <w:rPr>
          <w:rFonts w:cstheme="minorHAnsi"/>
          <w:sz w:val="20"/>
          <w:szCs w:val="20"/>
        </w:rPr>
        <w:t xml:space="preserve"> a downward extension of the SRS-2 </w:t>
      </w:r>
      <w:r w:rsidR="001A1DC8">
        <w:rPr>
          <w:rFonts w:cstheme="minorHAnsi"/>
          <w:sz w:val="20"/>
          <w:szCs w:val="20"/>
        </w:rPr>
        <w:t xml:space="preserve">that has been </w:t>
      </w:r>
      <w:r w:rsidR="00463067" w:rsidRPr="00463067">
        <w:rPr>
          <w:rFonts w:cstheme="minorHAnsi"/>
          <w:sz w:val="20"/>
          <w:szCs w:val="20"/>
        </w:rPr>
        <w:t>validated in early childhood (EC) community samples</w:t>
      </w:r>
      <w:r w:rsidR="0054650B">
        <w:rPr>
          <w:rFonts w:cstheme="minorHAnsi"/>
          <w:sz w:val="20"/>
          <w:szCs w:val="20"/>
        </w:rPr>
        <w:t xml:space="preserve">. </w:t>
      </w:r>
      <w:r w:rsidR="00EE6E10">
        <w:rPr>
          <w:rFonts w:cstheme="minorHAnsi"/>
          <w:sz w:val="20"/>
          <w:szCs w:val="20"/>
        </w:rPr>
        <w:t xml:space="preserve">The objectives of our study were: </w:t>
      </w:r>
      <w:r w:rsidR="008E59DF">
        <w:rPr>
          <w:rFonts w:cstheme="minorHAnsi"/>
          <w:sz w:val="20"/>
          <w:szCs w:val="20"/>
        </w:rPr>
        <w:t xml:space="preserve">1) </w:t>
      </w:r>
      <w:r w:rsidR="00463067" w:rsidRPr="00463067">
        <w:rPr>
          <w:rFonts w:cstheme="minorHAnsi"/>
          <w:sz w:val="20"/>
          <w:szCs w:val="20"/>
        </w:rPr>
        <w:t xml:space="preserve">Compare vrRSB and SRS-2 scores in children with DS to groups of children at low and high familial likelihood (LL/HL) </w:t>
      </w:r>
      <w:r w:rsidR="008E59DF">
        <w:rPr>
          <w:rFonts w:cstheme="minorHAnsi"/>
          <w:sz w:val="20"/>
          <w:szCs w:val="20"/>
        </w:rPr>
        <w:t>for</w:t>
      </w:r>
      <w:r w:rsidR="00463067" w:rsidRPr="00463067">
        <w:rPr>
          <w:rFonts w:cstheme="minorHAnsi"/>
          <w:sz w:val="20"/>
          <w:szCs w:val="20"/>
        </w:rPr>
        <w:t xml:space="preserve"> ASD, including HL children with and without </w:t>
      </w:r>
      <w:r w:rsidR="008E59DF">
        <w:rPr>
          <w:rFonts w:cstheme="minorHAnsi"/>
          <w:sz w:val="20"/>
          <w:szCs w:val="20"/>
        </w:rPr>
        <w:t xml:space="preserve">an </w:t>
      </w:r>
      <w:r w:rsidR="00463067" w:rsidRPr="00463067">
        <w:rPr>
          <w:rFonts w:cstheme="minorHAnsi"/>
          <w:sz w:val="20"/>
          <w:szCs w:val="20"/>
        </w:rPr>
        <w:t>ASD</w:t>
      </w:r>
      <w:r w:rsidR="008E59DF">
        <w:rPr>
          <w:rFonts w:cstheme="minorHAnsi"/>
          <w:sz w:val="20"/>
          <w:szCs w:val="20"/>
        </w:rPr>
        <w:t xml:space="preserve"> diagnosis</w:t>
      </w:r>
      <w:r w:rsidR="00463067" w:rsidRPr="00463067">
        <w:rPr>
          <w:rFonts w:cstheme="minorHAnsi"/>
          <w:sz w:val="20"/>
          <w:szCs w:val="20"/>
        </w:rPr>
        <w:t>.</w:t>
      </w:r>
      <w:r w:rsidR="008E59DF">
        <w:rPr>
          <w:rFonts w:cstheme="minorHAnsi"/>
          <w:sz w:val="20"/>
          <w:szCs w:val="20"/>
        </w:rPr>
        <w:t xml:space="preserve"> 2)</w:t>
      </w:r>
      <w:r w:rsidR="00463067" w:rsidRPr="00463067">
        <w:rPr>
          <w:rFonts w:cstheme="minorHAnsi"/>
          <w:sz w:val="20"/>
          <w:szCs w:val="20"/>
        </w:rPr>
        <w:t xml:space="preserve"> Evaluate the performance of these QAT metrics in </w:t>
      </w:r>
      <w:r w:rsidR="00053A07">
        <w:rPr>
          <w:rFonts w:cstheme="minorHAnsi"/>
          <w:sz w:val="20"/>
          <w:szCs w:val="20"/>
        </w:rPr>
        <w:t>participants</w:t>
      </w:r>
      <w:r w:rsidR="00463067" w:rsidRPr="00463067">
        <w:rPr>
          <w:rFonts w:cstheme="minorHAnsi"/>
          <w:sz w:val="20"/>
          <w:szCs w:val="20"/>
        </w:rPr>
        <w:t xml:space="preserve"> with DS when controlling for developmental/cognitive level.</w:t>
      </w:r>
      <w:r w:rsidR="0054650B">
        <w:rPr>
          <w:rFonts w:cstheme="minorHAnsi"/>
          <w:sz w:val="20"/>
          <w:szCs w:val="20"/>
        </w:rPr>
        <w:t xml:space="preserve"> HL-noASD children serve as reference group to better compare effect of ‘elevated ASD likelihood’ between DS and HL-noASD groups. </w:t>
      </w:r>
    </w:p>
    <w:p w14:paraId="7AC50373" w14:textId="2C6A7A08" w:rsidR="003D6244" w:rsidRPr="00463067" w:rsidRDefault="003D6244" w:rsidP="00807DBA">
      <w:pPr>
        <w:spacing w:after="80"/>
        <w:jc w:val="both"/>
        <w:rPr>
          <w:rFonts w:cstheme="minorHAnsi"/>
          <w:sz w:val="20"/>
          <w:szCs w:val="20"/>
        </w:rPr>
      </w:pPr>
      <w:r w:rsidRPr="00463067">
        <w:rPr>
          <w:rFonts w:cstheme="minorHAnsi"/>
          <w:b/>
          <w:color w:val="000000"/>
          <w:sz w:val="20"/>
          <w:szCs w:val="20"/>
          <w:lang w:val="en-GB"/>
        </w:rPr>
        <w:t>Method</w:t>
      </w:r>
      <w:r w:rsidR="00EE6E10">
        <w:rPr>
          <w:rFonts w:cstheme="minorHAnsi"/>
          <w:b/>
          <w:color w:val="000000"/>
          <w:sz w:val="20"/>
          <w:szCs w:val="20"/>
          <w:lang w:val="en-GB"/>
        </w:rPr>
        <w:t>s</w:t>
      </w:r>
      <w:r w:rsidRPr="00463067">
        <w:rPr>
          <w:rFonts w:cstheme="minorHAnsi"/>
          <w:color w:val="000000"/>
          <w:sz w:val="20"/>
          <w:szCs w:val="20"/>
          <w:lang w:val="en-GB"/>
        </w:rPr>
        <w:t xml:space="preserve">: </w:t>
      </w:r>
      <w:r w:rsidR="00463067" w:rsidRPr="00463067">
        <w:rPr>
          <w:rFonts w:cstheme="minorHAnsi"/>
          <w:sz w:val="20"/>
          <w:szCs w:val="20"/>
        </w:rPr>
        <w:t>Participants were recruited via the Infant Brain Imaging Study (IBIS). This multisite, longitudinal study includes infant siblings at high and low familial likelihood for ASD (HL by virtue of an older sibling with ASD)</w:t>
      </w:r>
      <w:r w:rsidR="0089701F">
        <w:rPr>
          <w:rFonts w:cstheme="minorHAnsi"/>
          <w:sz w:val="20"/>
          <w:szCs w:val="20"/>
        </w:rPr>
        <w:t>,</w:t>
      </w:r>
      <w:r w:rsidR="00463067" w:rsidRPr="00463067">
        <w:rPr>
          <w:rFonts w:cstheme="minorHAnsi"/>
          <w:sz w:val="20"/>
          <w:szCs w:val="20"/>
        </w:rPr>
        <w:t xml:space="preserve"> as well as samples of infants and SA children with DS. ASD diagnoses were based on clinical best estimate</w:t>
      </w:r>
      <w:r w:rsidR="001A1DC8">
        <w:rPr>
          <w:rFonts w:cstheme="minorHAnsi"/>
          <w:sz w:val="20"/>
          <w:szCs w:val="20"/>
        </w:rPr>
        <w:t>s,</w:t>
      </w:r>
      <w:r w:rsidR="00463067" w:rsidRPr="00463067">
        <w:rPr>
          <w:rFonts w:cstheme="minorHAnsi"/>
          <w:sz w:val="20"/>
          <w:szCs w:val="20"/>
        </w:rPr>
        <w:t xml:space="preserve"> including ADOS and ADI-R at 24m (EC visit) or SA visit (6-1</w:t>
      </w:r>
      <w:r w:rsidR="0054650B">
        <w:rPr>
          <w:rFonts w:cstheme="minorHAnsi"/>
          <w:sz w:val="20"/>
          <w:szCs w:val="20"/>
        </w:rPr>
        <w:t>4</w:t>
      </w:r>
      <w:r w:rsidR="00463067" w:rsidRPr="00463067">
        <w:rPr>
          <w:rFonts w:cstheme="minorHAnsi"/>
          <w:sz w:val="20"/>
          <w:szCs w:val="20"/>
        </w:rPr>
        <w:t xml:space="preserve"> years). The EC sub-sample included 33 HL-noASD (19 F), 28 HL-ASD (11 F), and 23 LL-noASD (9 F) toddlers and 23 (15 F) with DS and noASD. The SA sample included 18 DS-noASD (11F), 106 HL-noASD (47F), 45 HL-ASD (13F) and 76 LL-noASD (31F). Children with comorbid DS and ASD (2 at EC, 3 at SA) were excluded to prevent over-fitting models. In EC, participants completed the Bayley Scales of Infant and Toddler Development, 4</w:t>
      </w:r>
      <w:r w:rsidR="00463067" w:rsidRPr="00463067">
        <w:rPr>
          <w:rFonts w:cstheme="minorHAnsi"/>
          <w:sz w:val="20"/>
          <w:szCs w:val="20"/>
          <w:vertAlign w:val="superscript"/>
        </w:rPr>
        <w:t>th</w:t>
      </w:r>
      <w:r w:rsidR="00463067" w:rsidRPr="00463067">
        <w:rPr>
          <w:rFonts w:cstheme="minorHAnsi"/>
          <w:sz w:val="20"/>
          <w:szCs w:val="20"/>
        </w:rPr>
        <w:t xml:space="preserve"> edition (Bayley), and parents completed the vrRSB at 24.9 months </w:t>
      </w:r>
      <w:r w:rsidR="00463067" w:rsidRPr="007E0D30">
        <w:rPr>
          <w:rFonts w:cstheme="minorHAnsi"/>
          <w:i/>
          <w:iCs/>
          <w:sz w:val="20"/>
          <w:szCs w:val="20"/>
        </w:rPr>
        <w:t>(</w:t>
      </w:r>
      <w:r w:rsidR="008E59DF">
        <w:rPr>
          <w:rFonts w:cstheme="minorHAnsi"/>
          <w:i/>
          <w:iCs/>
          <w:sz w:val="20"/>
          <w:szCs w:val="20"/>
        </w:rPr>
        <w:t>SD</w:t>
      </w:r>
      <w:r w:rsidR="00463067" w:rsidRPr="00463067">
        <w:rPr>
          <w:rFonts w:cstheme="minorHAnsi"/>
          <w:sz w:val="20"/>
          <w:szCs w:val="20"/>
        </w:rPr>
        <w:t xml:space="preserve">=0.96). At SA, participants completed the Differential Ability Scales (DAS) </w:t>
      </w:r>
      <w:r w:rsidR="0054650B">
        <w:rPr>
          <w:rFonts w:cstheme="minorHAnsi"/>
          <w:sz w:val="20"/>
          <w:szCs w:val="20"/>
        </w:rPr>
        <w:t>at</w:t>
      </w:r>
      <w:r w:rsidR="002052BF">
        <w:rPr>
          <w:rFonts w:cstheme="minorHAnsi"/>
          <w:sz w:val="20"/>
          <w:szCs w:val="20"/>
        </w:rPr>
        <w:t xml:space="preserve"> </w:t>
      </w:r>
      <w:r w:rsidR="00DF1E64">
        <w:rPr>
          <w:rFonts w:cstheme="minorHAnsi"/>
          <w:sz w:val="20"/>
          <w:szCs w:val="20"/>
        </w:rPr>
        <w:t>5-14</w:t>
      </w:r>
      <w:r w:rsidR="002052BF">
        <w:rPr>
          <w:rFonts w:cstheme="minorHAnsi"/>
          <w:sz w:val="20"/>
          <w:szCs w:val="20"/>
        </w:rPr>
        <w:t xml:space="preserve"> years old</w:t>
      </w:r>
      <w:r w:rsidR="00463067" w:rsidRPr="00463067">
        <w:rPr>
          <w:rFonts w:cstheme="minorHAnsi"/>
          <w:sz w:val="20"/>
          <w:szCs w:val="20"/>
        </w:rPr>
        <w:t xml:space="preserve"> </w:t>
      </w:r>
      <w:r w:rsidR="002052BF">
        <w:rPr>
          <w:rFonts w:cstheme="minorHAnsi"/>
          <w:sz w:val="20"/>
          <w:szCs w:val="20"/>
        </w:rPr>
        <w:t>(</w:t>
      </w:r>
      <w:r w:rsidR="002052BF" w:rsidRPr="0054650B">
        <w:rPr>
          <w:rFonts w:cstheme="minorHAnsi"/>
          <w:sz w:val="20"/>
          <w:szCs w:val="20"/>
        </w:rPr>
        <w:t>M</w:t>
      </w:r>
      <w:r w:rsidR="002052BF">
        <w:rPr>
          <w:rFonts w:cstheme="minorHAnsi"/>
          <w:sz w:val="20"/>
          <w:szCs w:val="20"/>
        </w:rPr>
        <w:t>=</w:t>
      </w:r>
      <w:r w:rsidR="00463067" w:rsidRPr="002052BF">
        <w:rPr>
          <w:rFonts w:cstheme="minorHAnsi"/>
          <w:sz w:val="20"/>
          <w:szCs w:val="20"/>
        </w:rPr>
        <w:t>9</w:t>
      </w:r>
      <w:r w:rsidR="00463067" w:rsidRPr="00463067">
        <w:rPr>
          <w:rFonts w:cstheme="minorHAnsi"/>
          <w:sz w:val="20"/>
          <w:szCs w:val="20"/>
        </w:rPr>
        <w:t>.8</w:t>
      </w:r>
      <w:r w:rsidR="002052BF">
        <w:rPr>
          <w:rFonts w:cstheme="minorHAnsi"/>
          <w:sz w:val="20"/>
          <w:szCs w:val="20"/>
        </w:rPr>
        <w:t>,</w:t>
      </w:r>
      <w:r w:rsidR="00DF1E64">
        <w:rPr>
          <w:rFonts w:cstheme="minorHAnsi"/>
          <w:sz w:val="20"/>
          <w:szCs w:val="20"/>
        </w:rPr>
        <w:t xml:space="preserve"> </w:t>
      </w:r>
      <w:r w:rsidR="008E59DF">
        <w:rPr>
          <w:rFonts w:cstheme="minorHAnsi"/>
          <w:i/>
          <w:iCs/>
          <w:sz w:val="20"/>
          <w:szCs w:val="20"/>
        </w:rPr>
        <w:t>SD</w:t>
      </w:r>
      <w:r w:rsidR="00463067" w:rsidRPr="00463067">
        <w:rPr>
          <w:rFonts w:cstheme="minorHAnsi"/>
          <w:sz w:val="20"/>
          <w:szCs w:val="20"/>
        </w:rPr>
        <w:t>=1.8), and parents completed the SRS-2. Separate EC and SA regressions examined how DS predicted QATs in comparison to</w:t>
      </w:r>
      <w:r w:rsidR="00277F6E">
        <w:rPr>
          <w:rFonts w:cstheme="minorHAnsi"/>
          <w:sz w:val="20"/>
          <w:szCs w:val="20"/>
        </w:rPr>
        <w:t xml:space="preserve"> </w:t>
      </w:r>
      <w:r w:rsidR="00463067" w:rsidRPr="00463067">
        <w:rPr>
          <w:rFonts w:cstheme="minorHAnsi"/>
          <w:sz w:val="20"/>
          <w:szCs w:val="20"/>
        </w:rPr>
        <w:t>reference group of HL-noASD participants</w:t>
      </w:r>
      <w:r w:rsidR="0054650B">
        <w:rPr>
          <w:rFonts w:cstheme="minorHAnsi"/>
          <w:sz w:val="20"/>
          <w:szCs w:val="20"/>
        </w:rPr>
        <w:t>,</w:t>
      </w:r>
      <w:r w:rsidR="00463067" w:rsidRPr="00463067">
        <w:rPr>
          <w:rFonts w:cstheme="minorHAnsi"/>
          <w:sz w:val="20"/>
          <w:szCs w:val="20"/>
        </w:rPr>
        <w:t xml:space="preserve"> and </w:t>
      </w:r>
      <w:r w:rsidR="00463067" w:rsidRPr="007E0D30">
        <w:rPr>
          <w:bCs/>
          <w:sz w:val="20"/>
        </w:rPr>
        <w:t xml:space="preserve">how </w:t>
      </w:r>
      <w:r w:rsidR="007E0D30">
        <w:rPr>
          <w:bCs/>
          <w:sz w:val="20"/>
        </w:rPr>
        <w:t>inclusion</w:t>
      </w:r>
      <w:r w:rsidR="007E0D30" w:rsidRPr="007E0D30">
        <w:rPr>
          <w:bCs/>
          <w:sz w:val="20"/>
        </w:rPr>
        <w:t xml:space="preserve"> of </w:t>
      </w:r>
      <w:r w:rsidR="00463067" w:rsidRPr="007E0D30">
        <w:rPr>
          <w:bCs/>
          <w:sz w:val="20"/>
        </w:rPr>
        <w:t>developmental/cognitive level alters the effect of DS</w:t>
      </w:r>
      <w:r w:rsidR="00463067" w:rsidRPr="0054650B">
        <w:rPr>
          <w:b/>
          <w:sz w:val="20"/>
        </w:rPr>
        <w:t xml:space="preserve"> </w:t>
      </w:r>
      <w:r w:rsidR="00053A07">
        <w:rPr>
          <w:rFonts w:cstheme="minorHAnsi"/>
          <w:sz w:val="20"/>
          <w:szCs w:val="20"/>
        </w:rPr>
        <w:t>on</w:t>
      </w:r>
      <w:r w:rsidR="0054650B">
        <w:rPr>
          <w:rFonts w:cstheme="minorHAnsi"/>
          <w:sz w:val="20"/>
          <w:szCs w:val="20"/>
        </w:rPr>
        <w:t xml:space="preserve"> </w:t>
      </w:r>
      <w:r w:rsidR="00053A07">
        <w:rPr>
          <w:rFonts w:cstheme="minorHAnsi"/>
          <w:sz w:val="20"/>
          <w:szCs w:val="20"/>
        </w:rPr>
        <w:t>QATs</w:t>
      </w:r>
      <w:r w:rsidR="00463067" w:rsidRPr="00463067">
        <w:rPr>
          <w:rFonts w:cstheme="minorHAnsi"/>
          <w:sz w:val="20"/>
          <w:szCs w:val="20"/>
        </w:rPr>
        <w:t xml:space="preserve">. Chronological age was included as </w:t>
      </w:r>
      <w:r w:rsidR="0038453A">
        <w:rPr>
          <w:rFonts w:cstheme="minorHAnsi"/>
          <w:sz w:val="20"/>
          <w:szCs w:val="20"/>
        </w:rPr>
        <w:t xml:space="preserve">a </w:t>
      </w:r>
      <w:r w:rsidR="00463067" w:rsidRPr="00463067">
        <w:rPr>
          <w:rFonts w:cstheme="minorHAnsi"/>
          <w:sz w:val="20"/>
          <w:szCs w:val="20"/>
        </w:rPr>
        <w:t xml:space="preserve">control variable in EC models based on previously observed developmental change in QATs during EC. </w:t>
      </w:r>
    </w:p>
    <w:p w14:paraId="6868F058" w14:textId="7B374627" w:rsidR="00463067" w:rsidRPr="00463067" w:rsidRDefault="003D6244" w:rsidP="00807DBA">
      <w:pPr>
        <w:spacing w:after="80"/>
        <w:jc w:val="both"/>
        <w:rPr>
          <w:rFonts w:cstheme="minorHAnsi"/>
          <w:sz w:val="20"/>
          <w:szCs w:val="20"/>
        </w:rPr>
      </w:pPr>
      <w:r w:rsidRPr="00463067">
        <w:rPr>
          <w:rFonts w:cstheme="minorHAnsi"/>
          <w:b/>
          <w:color w:val="000000"/>
          <w:sz w:val="20"/>
          <w:szCs w:val="20"/>
          <w:lang w:val="en-GB"/>
        </w:rPr>
        <w:t>Results</w:t>
      </w:r>
      <w:r w:rsidRPr="00463067">
        <w:rPr>
          <w:rFonts w:cstheme="minorHAnsi"/>
          <w:color w:val="000000"/>
          <w:sz w:val="20"/>
          <w:szCs w:val="20"/>
          <w:lang w:val="en-GB"/>
        </w:rPr>
        <w:t xml:space="preserve">: </w:t>
      </w:r>
      <w:r w:rsidR="00463067" w:rsidRPr="00463067">
        <w:rPr>
          <w:rFonts w:cstheme="minorHAnsi"/>
          <w:sz w:val="20"/>
          <w:szCs w:val="20"/>
        </w:rPr>
        <w:t>In the EC sample, Bayley scores were significantly lower in infants with DS (</w:t>
      </w:r>
      <w:r w:rsidR="008E59DF">
        <w:rPr>
          <w:rFonts w:cstheme="minorHAnsi"/>
          <w:sz w:val="20"/>
          <w:szCs w:val="20"/>
        </w:rPr>
        <w:t>M</w:t>
      </w:r>
      <w:r w:rsidR="00463067" w:rsidRPr="00463067">
        <w:rPr>
          <w:rFonts w:cstheme="minorHAnsi"/>
          <w:sz w:val="20"/>
          <w:szCs w:val="20"/>
        </w:rPr>
        <w:t>=65.7) than all other participants (</w:t>
      </w:r>
      <w:r w:rsidR="008E59DF">
        <w:rPr>
          <w:rFonts w:cstheme="minorHAnsi"/>
          <w:sz w:val="20"/>
          <w:szCs w:val="20"/>
        </w:rPr>
        <w:t>M</w:t>
      </w:r>
      <w:r w:rsidR="00463067" w:rsidRPr="00463067">
        <w:rPr>
          <w:rFonts w:cstheme="minorHAnsi"/>
          <w:sz w:val="20"/>
          <w:szCs w:val="20"/>
        </w:rPr>
        <w:t xml:space="preserve">=100.1), t(57) =11.14, B=2.02, </w:t>
      </w:r>
      <w:r w:rsidR="00463067" w:rsidRPr="007E0D30">
        <w:rPr>
          <w:rFonts w:cstheme="minorHAnsi"/>
          <w:i/>
          <w:iCs/>
          <w:sz w:val="20"/>
          <w:szCs w:val="20"/>
        </w:rPr>
        <w:t>p</w:t>
      </w:r>
      <w:r w:rsidR="00463067" w:rsidRPr="00463067">
        <w:rPr>
          <w:rFonts w:cstheme="minorHAnsi"/>
          <w:sz w:val="20"/>
          <w:szCs w:val="20"/>
        </w:rPr>
        <w:t>&lt;.001. vrRSB scores of participants with DS were not differentiable from HL-noASD infants (</w:t>
      </w:r>
      <w:r w:rsidR="00463067" w:rsidRPr="007E0D30">
        <w:rPr>
          <w:rFonts w:cstheme="minorHAnsi"/>
          <w:i/>
          <w:iCs/>
          <w:sz w:val="20"/>
          <w:szCs w:val="20"/>
        </w:rPr>
        <w:t>p</w:t>
      </w:r>
      <w:r w:rsidR="00463067" w:rsidRPr="00463067">
        <w:rPr>
          <w:rFonts w:cstheme="minorHAnsi"/>
          <w:sz w:val="20"/>
          <w:szCs w:val="20"/>
        </w:rPr>
        <w:t xml:space="preserve">=.33; Model 1a). However, after adding Bayley Cognitive scores to the model (Model 1b), DS </w:t>
      </w:r>
      <w:r w:rsidR="002A03E7">
        <w:rPr>
          <w:rFonts w:cstheme="minorHAnsi"/>
          <w:sz w:val="20"/>
          <w:szCs w:val="20"/>
        </w:rPr>
        <w:t xml:space="preserve">diagnosis was associated with </w:t>
      </w:r>
      <w:r w:rsidR="00463067" w:rsidRPr="00463067">
        <w:rPr>
          <w:rFonts w:cstheme="minorHAnsi"/>
          <w:sz w:val="20"/>
          <w:szCs w:val="20"/>
        </w:rPr>
        <w:t>lower vrRSB scores (lower QATs) compared to HL-noASD</w:t>
      </w:r>
      <w:r w:rsidR="007E0D30">
        <w:rPr>
          <w:rFonts w:cstheme="minorHAnsi"/>
          <w:sz w:val="20"/>
          <w:szCs w:val="20"/>
        </w:rPr>
        <w:t xml:space="preserve"> participants</w:t>
      </w:r>
      <w:r w:rsidR="00463067" w:rsidRPr="00463067">
        <w:rPr>
          <w:rFonts w:cstheme="minorHAnsi"/>
          <w:sz w:val="20"/>
          <w:szCs w:val="20"/>
        </w:rPr>
        <w:t xml:space="preserve"> (B=-0.39, </w:t>
      </w:r>
      <w:r w:rsidR="00463067" w:rsidRPr="007E0D30">
        <w:rPr>
          <w:rFonts w:cstheme="minorHAnsi"/>
          <w:i/>
          <w:iCs/>
          <w:sz w:val="20"/>
          <w:szCs w:val="20"/>
        </w:rPr>
        <w:t>p</w:t>
      </w:r>
      <w:r w:rsidR="00463067" w:rsidRPr="00463067">
        <w:rPr>
          <w:rFonts w:cstheme="minorHAnsi"/>
          <w:sz w:val="20"/>
          <w:szCs w:val="20"/>
        </w:rPr>
        <w:t xml:space="preserve">&lt;.001). </w:t>
      </w:r>
    </w:p>
    <w:p w14:paraId="7AC50374" w14:textId="42022FC5" w:rsidR="003D6244" w:rsidRPr="00463067" w:rsidRDefault="00463067" w:rsidP="00807DBA">
      <w:pPr>
        <w:spacing w:after="80"/>
        <w:jc w:val="both"/>
        <w:rPr>
          <w:rFonts w:cstheme="minorHAnsi"/>
          <w:sz w:val="20"/>
          <w:szCs w:val="20"/>
        </w:rPr>
      </w:pPr>
      <w:r w:rsidRPr="00463067">
        <w:rPr>
          <w:rFonts w:cstheme="minorHAnsi"/>
          <w:sz w:val="20"/>
          <w:szCs w:val="20"/>
        </w:rPr>
        <w:t xml:space="preserve">In the SA sample, DAS </w:t>
      </w:r>
      <w:r w:rsidR="00053A07">
        <w:rPr>
          <w:rFonts w:cstheme="minorHAnsi"/>
          <w:sz w:val="20"/>
          <w:szCs w:val="20"/>
        </w:rPr>
        <w:t>General Cognitive Ability (</w:t>
      </w:r>
      <w:r w:rsidRPr="00463067">
        <w:rPr>
          <w:rFonts w:cstheme="minorHAnsi"/>
          <w:sz w:val="20"/>
          <w:szCs w:val="20"/>
        </w:rPr>
        <w:t>GCA</w:t>
      </w:r>
      <w:r w:rsidR="00053A07">
        <w:rPr>
          <w:rFonts w:cstheme="minorHAnsi"/>
          <w:sz w:val="20"/>
          <w:szCs w:val="20"/>
        </w:rPr>
        <w:t>)</w:t>
      </w:r>
      <w:r w:rsidRPr="00463067">
        <w:rPr>
          <w:rFonts w:cstheme="minorHAnsi"/>
          <w:sz w:val="20"/>
          <w:szCs w:val="20"/>
        </w:rPr>
        <w:t xml:space="preserve"> standard scores were significantly lower in children with DS (</w:t>
      </w:r>
      <w:r w:rsidR="008E59DF">
        <w:rPr>
          <w:rFonts w:cstheme="minorHAnsi"/>
          <w:sz w:val="20"/>
          <w:szCs w:val="20"/>
        </w:rPr>
        <w:t>M</w:t>
      </w:r>
      <w:r w:rsidRPr="00463067">
        <w:rPr>
          <w:rFonts w:cstheme="minorHAnsi"/>
          <w:sz w:val="20"/>
          <w:szCs w:val="20"/>
        </w:rPr>
        <w:t>=53.4) vs. all other participants (</w:t>
      </w:r>
      <w:r w:rsidR="008E59DF">
        <w:rPr>
          <w:rFonts w:cstheme="minorHAnsi"/>
          <w:sz w:val="20"/>
          <w:szCs w:val="20"/>
        </w:rPr>
        <w:t>M</w:t>
      </w:r>
      <w:r w:rsidRPr="00463067">
        <w:rPr>
          <w:rFonts w:cstheme="minorHAnsi"/>
          <w:sz w:val="20"/>
          <w:szCs w:val="20"/>
        </w:rPr>
        <w:t xml:space="preserve">=108.9), t(32) =26.9, B=3.21, </w:t>
      </w:r>
      <w:r w:rsidRPr="007E0D30">
        <w:rPr>
          <w:rFonts w:cstheme="minorHAnsi"/>
          <w:i/>
          <w:iCs/>
          <w:sz w:val="20"/>
          <w:szCs w:val="20"/>
        </w:rPr>
        <w:t>p</w:t>
      </w:r>
      <w:r w:rsidRPr="00463067">
        <w:rPr>
          <w:rFonts w:cstheme="minorHAnsi"/>
          <w:sz w:val="20"/>
          <w:szCs w:val="20"/>
        </w:rPr>
        <w:t xml:space="preserve">&lt;.001. Participants with DS had significantly higher SRS-2 scores (higher QATs) than HL-noASD children (B=0.253, </w:t>
      </w:r>
      <w:r w:rsidRPr="007E0D30">
        <w:rPr>
          <w:rFonts w:cstheme="minorHAnsi"/>
          <w:i/>
          <w:iCs/>
          <w:sz w:val="20"/>
          <w:szCs w:val="20"/>
        </w:rPr>
        <w:t>p</w:t>
      </w:r>
      <w:r w:rsidRPr="00463067">
        <w:rPr>
          <w:rFonts w:cstheme="minorHAnsi"/>
          <w:sz w:val="20"/>
          <w:szCs w:val="20"/>
        </w:rPr>
        <w:t>&lt;.001; Model 2a). However, after adding DAS GCA scores to the model (Model 2b), SRS-2 scores of children with DS were not differentiable from HL-noASD children (</w:t>
      </w:r>
      <w:r w:rsidRPr="007E0D30">
        <w:rPr>
          <w:rFonts w:cstheme="minorHAnsi"/>
          <w:i/>
          <w:iCs/>
          <w:sz w:val="20"/>
          <w:szCs w:val="20"/>
        </w:rPr>
        <w:t>p</w:t>
      </w:r>
      <w:r w:rsidRPr="00463067">
        <w:rPr>
          <w:rFonts w:cstheme="minorHAnsi"/>
          <w:sz w:val="20"/>
          <w:szCs w:val="20"/>
        </w:rPr>
        <w:t>=</w:t>
      </w:r>
      <w:r w:rsidR="00FA681D">
        <w:rPr>
          <w:rFonts w:cstheme="minorHAnsi"/>
          <w:sz w:val="20"/>
          <w:szCs w:val="20"/>
        </w:rPr>
        <w:t>.</w:t>
      </w:r>
      <w:r w:rsidRPr="00463067">
        <w:rPr>
          <w:rFonts w:cstheme="minorHAnsi"/>
          <w:sz w:val="20"/>
          <w:szCs w:val="20"/>
        </w:rPr>
        <w:t xml:space="preserve">36). See Table for full comparisons of models in both samples, and Figure for associations between cognitive level and QAT scores in each subsample.    </w:t>
      </w:r>
    </w:p>
    <w:p w14:paraId="4605E384" w14:textId="0FD92B3A" w:rsidR="00463067" w:rsidRDefault="003D6244" w:rsidP="00807DBA">
      <w:pPr>
        <w:spacing w:after="80"/>
        <w:jc w:val="both"/>
        <w:rPr>
          <w:rFonts w:cstheme="minorHAnsi"/>
          <w:sz w:val="20"/>
          <w:szCs w:val="20"/>
        </w:rPr>
      </w:pPr>
      <w:r w:rsidRPr="00463067">
        <w:rPr>
          <w:rFonts w:cstheme="minorHAnsi"/>
          <w:b/>
          <w:iCs/>
          <w:color w:val="000000"/>
          <w:sz w:val="20"/>
          <w:szCs w:val="20"/>
          <w:lang w:val="en-GB"/>
        </w:rPr>
        <w:t>Discussion</w:t>
      </w:r>
      <w:r w:rsidRPr="00434944">
        <w:rPr>
          <w:rFonts w:cstheme="minorHAnsi"/>
          <w:b/>
          <w:iCs/>
          <w:color w:val="000000"/>
          <w:sz w:val="20"/>
          <w:szCs w:val="20"/>
          <w:lang w:val="en-GB"/>
        </w:rPr>
        <w:t xml:space="preserve">: </w:t>
      </w:r>
      <w:r w:rsidR="00463067" w:rsidRPr="00434944">
        <w:rPr>
          <w:rFonts w:cstheme="minorHAnsi"/>
          <w:sz w:val="20"/>
          <w:szCs w:val="20"/>
        </w:rPr>
        <w:t xml:space="preserve">In both EC and SA samples, </w:t>
      </w:r>
      <w:r w:rsidR="007E0D30">
        <w:rPr>
          <w:rFonts w:cstheme="minorHAnsi"/>
          <w:sz w:val="20"/>
          <w:szCs w:val="20"/>
        </w:rPr>
        <w:t>inclusion</w:t>
      </w:r>
      <w:r w:rsidR="007E0D30" w:rsidRPr="00434944">
        <w:rPr>
          <w:rFonts w:cstheme="minorHAnsi"/>
          <w:sz w:val="20"/>
          <w:szCs w:val="20"/>
        </w:rPr>
        <w:t xml:space="preserve"> </w:t>
      </w:r>
      <w:r w:rsidR="00463067" w:rsidRPr="00434944">
        <w:rPr>
          <w:rFonts w:cstheme="minorHAnsi"/>
          <w:sz w:val="20"/>
          <w:szCs w:val="20"/>
        </w:rPr>
        <w:t>of developmental/cognitive level</w:t>
      </w:r>
      <w:r w:rsidR="007E0D30">
        <w:rPr>
          <w:rFonts w:cstheme="minorHAnsi"/>
          <w:sz w:val="20"/>
          <w:szCs w:val="20"/>
        </w:rPr>
        <w:t xml:space="preserve"> in predictive models</w:t>
      </w:r>
      <w:r w:rsidR="00463067" w:rsidRPr="00434944">
        <w:rPr>
          <w:rFonts w:cstheme="minorHAnsi"/>
          <w:sz w:val="20"/>
          <w:szCs w:val="20"/>
        </w:rPr>
        <w:t xml:space="preserve"> alters interpretation of </w:t>
      </w:r>
      <w:r w:rsidR="00C91695">
        <w:rPr>
          <w:rFonts w:cstheme="minorHAnsi"/>
          <w:sz w:val="20"/>
          <w:szCs w:val="20"/>
        </w:rPr>
        <w:t>group</w:t>
      </w:r>
      <w:r w:rsidR="00463067" w:rsidRPr="00434944">
        <w:rPr>
          <w:rFonts w:cstheme="minorHAnsi"/>
          <w:sz w:val="20"/>
          <w:szCs w:val="20"/>
        </w:rPr>
        <w:t xml:space="preserve"> differences </w:t>
      </w:r>
      <w:r w:rsidR="00434944" w:rsidRPr="00434944">
        <w:rPr>
          <w:rFonts w:cstheme="minorHAnsi"/>
          <w:sz w:val="20"/>
          <w:szCs w:val="20"/>
        </w:rPr>
        <w:t>in</w:t>
      </w:r>
      <w:r w:rsidR="00463067" w:rsidRPr="00434944">
        <w:rPr>
          <w:rFonts w:cstheme="minorHAnsi"/>
          <w:sz w:val="20"/>
          <w:szCs w:val="20"/>
        </w:rPr>
        <w:t xml:space="preserve"> QAT</w:t>
      </w:r>
      <w:r w:rsidR="00434944" w:rsidRPr="00434944">
        <w:rPr>
          <w:rFonts w:cstheme="minorHAnsi"/>
          <w:sz w:val="20"/>
          <w:szCs w:val="20"/>
        </w:rPr>
        <w:t>s</w:t>
      </w:r>
      <w:r w:rsidR="00C91695">
        <w:rPr>
          <w:rFonts w:cstheme="minorHAnsi"/>
          <w:sz w:val="20"/>
          <w:szCs w:val="20"/>
        </w:rPr>
        <w:t xml:space="preserve"> for samples with varying cognitive abilities and ASD li</w:t>
      </w:r>
      <w:r w:rsidR="00C22168">
        <w:rPr>
          <w:rFonts w:cstheme="minorHAnsi"/>
          <w:sz w:val="20"/>
          <w:szCs w:val="20"/>
        </w:rPr>
        <w:t>kelihood</w:t>
      </w:r>
      <w:r w:rsidR="00463067" w:rsidRPr="00434944">
        <w:rPr>
          <w:rFonts w:cstheme="minorHAnsi"/>
          <w:sz w:val="20"/>
          <w:szCs w:val="20"/>
        </w:rPr>
        <w:t xml:space="preserve">. </w:t>
      </w:r>
      <w:r w:rsidR="00434944" w:rsidRPr="00434944">
        <w:rPr>
          <w:rFonts w:cstheme="minorHAnsi"/>
          <w:sz w:val="20"/>
          <w:szCs w:val="20"/>
        </w:rPr>
        <w:t xml:space="preserve">Unlike in LL and HL participants, </w:t>
      </w:r>
      <w:r w:rsidR="00FA681D">
        <w:rPr>
          <w:rFonts w:cstheme="minorHAnsi"/>
          <w:sz w:val="20"/>
          <w:szCs w:val="20"/>
        </w:rPr>
        <w:t xml:space="preserve">at both EC and SA, </w:t>
      </w:r>
      <w:r w:rsidR="00434944" w:rsidRPr="00434944">
        <w:rPr>
          <w:rFonts w:cstheme="minorHAnsi"/>
          <w:sz w:val="20"/>
          <w:szCs w:val="20"/>
        </w:rPr>
        <w:t xml:space="preserve">interpretation of QATs in children with DS varies </w:t>
      </w:r>
      <w:r w:rsidR="00FA681D">
        <w:rPr>
          <w:rFonts w:cstheme="minorHAnsi"/>
          <w:sz w:val="20"/>
          <w:szCs w:val="20"/>
        </w:rPr>
        <w:t>when accounting for</w:t>
      </w:r>
      <w:r w:rsidR="00434944" w:rsidRPr="00434944">
        <w:rPr>
          <w:rFonts w:cstheme="minorHAnsi"/>
          <w:sz w:val="20"/>
          <w:szCs w:val="20"/>
        </w:rPr>
        <w:t xml:space="preserve"> cognitive level. </w:t>
      </w:r>
      <w:r w:rsidR="00E20BC3">
        <w:rPr>
          <w:rFonts w:cstheme="minorHAnsi"/>
          <w:sz w:val="20"/>
          <w:szCs w:val="20"/>
        </w:rPr>
        <w:t>For the DS group, t</w:t>
      </w:r>
      <w:r w:rsidR="00434944" w:rsidRPr="00434944">
        <w:rPr>
          <w:rFonts w:cstheme="minorHAnsi"/>
          <w:sz w:val="20"/>
          <w:szCs w:val="20"/>
        </w:rPr>
        <w:t xml:space="preserve">his </w:t>
      </w:r>
      <w:r w:rsidR="00E20BC3">
        <w:rPr>
          <w:rFonts w:cstheme="minorHAnsi"/>
          <w:sz w:val="20"/>
          <w:szCs w:val="20"/>
        </w:rPr>
        <w:t xml:space="preserve">effect </w:t>
      </w:r>
      <w:r w:rsidR="00434944" w:rsidRPr="00434944">
        <w:rPr>
          <w:rFonts w:cstheme="minorHAnsi"/>
          <w:sz w:val="20"/>
          <w:szCs w:val="20"/>
        </w:rPr>
        <w:t>is especially pr</w:t>
      </w:r>
      <w:r w:rsidR="0038453A">
        <w:rPr>
          <w:rFonts w:cstheme="minorHAnsi"/>
          <w:sz w:val="20"/>
          <w:szCs w:val="20"/>
        </w:rPr>
        <w:t>onounced</w:t>
      </w:r>
      <w:r w:rsidR="00434944" w:rsidRPr="00434944">
        <w:rPr>
          <w:rFonts w:cstheme="minorHAnsi"/>
          <w:sz w:val="20"/>
          <w:szCs w:val="20"/>
        </w:rPr>
        <w:t xml:space="preserve"> in early development (EC), when QAT traits and overall cognitive profiles are still consolidating</w:t>
      </w:r>
      <w:r w:rsidR="00434944">
        <w:rPr>
          <w:rFonts w:cstheme="minorHAnsi"/>
          <w:sz w:val="20"/>
          <w:szCs w:val="20"/>
        </w:rPr>
        <w:t xml:space="preserve"> in all sub-samples. </w:t>
      </w:r>
      <w:r w:rsidR="00463067" w:rsidRPr="00463067">
        <w:rPr>
          <w:rFonts w:cstheme="minorHAnsi"/>
          <w:sz w:val="20"/>
          <w:szCs w:val="20"/>
        </w:rPr>
        <w:t xml:space="preserve">When measuring QATs in children with DS or other conditions associated with </w:t>
      </w:r>
      <w:r w:rsidR="00D524AD">
        <w:rPr>
          <w:rFonts w:cstheme="minorHAnsi"/>
          <w:sz w:val="20"/>
          <w:szCs w:val="20"/>
        </w:rPr>
        <w:t>intellectual disability</w:t>
      </w:r>
      <w:r w:rsidR="00463067" w:rsidRPr="00463067">
        <w:rPr>
          <w:rFonts w:cstheme="minorHAnsi"/>
          <w:sz w:val="20"/>
          <w:szCs w:val="20"/>
        </w:rPr>
        <w:t xml:space="preserve">, </w:t>
      </w:r>
      <w:r w:rsidR="00434944">
        <w:rPr>
          <w:rFonts w:cstheme="minorHAnsi"/>
          <w:sz w:val="20"/>
          <w:szCs w:val="20"/>
        </w:rPr>
        <w:t xml:space="preserve">accounting for </w:t>
      </w:r>
      <w:r w:rsidR="00463067" w:rsidRPr="00463067">
        <w:rPr>
          <w:rFonts w:cstheme="minorHAnsi"/>
          <w:sz w:val="20"/>
          <w:szCs w:val="20"/>
        </w:rPr>
        <w:t xml:space="preserve">developmental appropriateness of a screening tool such as vrRSB or SRS-2 may be prudent. </w:t>
      </w:r>
    </w:p>
    <w:p w14:paraId="7AC50376" w14:textId="58FFE877" w:rsidR="003D6244" w:rsidRPr="00550FC4" w:rsidRDefault="003D6244" w:rsidP="00807DBA">
      <w:pPr>
        <w:spacing w:after="0" w:line="240" w:lineRule="auto"/>
        <w:contextualSpacing/>
        <w:rPr>
          <w:rFonts w:cstheme="minorHAnsi"/>
          <w:color w:val="000000"/>
          <w:sz w:val="20"/>
          <w:szCs w:val="20"/>
        </w:rPr>
      </w:pPr>
      <w:r w:rsidRPr="00550FC4">
        <w:rPr>
          <w:rFonts w:cstheme="minorHAnsi"/>
          <w:b/>
          <w:color w:val="000000"/>
          <w:sz w:val="20"/>
          <w:szCs w:val="20"/>
          <w:lang w:val="en-GB"/>
        </w:rPr>
        <w:lastRenderedPageBreak/>
        <w:t xml:space="preserve">References: </w:t>
      </w:r>
    </w:p>
    <w:p w14:paraId="1067E0D9" w14:textId="33CE8E94" w:rsidR="000355D7" w:rsidRDefault="000355D7" w:rsidP="00807DBA">
      <w:pPr>
        <w:pStyle w:val="ListParagraph"/>
        <w:numPr>
          <w:ilvl w:val="0"/>
          <w:numId w:val="2"/>
        </w:numPr>
        <w:spacing w:after="0" w:line="240" w:lineRule="auto"/>
        <w:ind w:left="180" w:hanging="180"/>
        <w:rPr>
          <w:rFonts w:cstheme="minorHAnsi"/>
          <w:color w:val="000000"/>
          <w:sz w:val="20"/>
          <w:szCs w:val="20"/>
        </w:rPr>
      </w:pPr>
      <w:r>
        <w:rPr>
          <w:rFonts w:cstheme="minorHAnsi"/>
          <w:color w:val="000000"/>
          <w:sz w:val="20"/>
          <w:szCs w:val="20"/>
        </w:rPr>
        <w:t xml:space="preserve">Channell, M.M. (2020). The Social Responsiveness Scales (SRS-2) in school-age children with Down syndrome at low risk for autism spectrum disorder. </w:t>
      </w:r>
      <w:r>
        <w:rPr>
          <w:rFonts w:cstheme="minorHAnsi"/>
          <w:i/>
          <w:iCs/>
          <w:color w:val="000000"/>
          <w:sz w:val="20"/>
          <w:szCs w:val="20"/>
        </w:rPr>
        <w:t>Autism and developmental language impairments</w:t>
      </w:r>
      <w:r>
        <w:rPr>
          <w:rFonts w:cstheme="minorHAnsi"/>
          <w:color w:val="000000"/>
          <w:sz w:val="20"/>
          <w:szCs w:val="20"/>
        </w:rPr>
        <w:t xml:space="preserve">, 5(1-12). </w:t>
      </w:r>
    </w:p>
    <w:p w14:paraId="2392ADD7" w14:textId="17FE4348" w:rsidR="007E0D30" w:rsidRPr="00807DBA" w:rsidRDefault="00E575FA" w:rsidP="00807DBA">
      <w:pPr>
        <w:pStyle w:val="ListParagraph"/>
        <w:numPr>
          <w:ilvl w:val="0"/>
          <w:numId w:val="2"/>
        </w:numPr>
        <w:spacing w:after="0" w:line="240" w:lineRule="auto"/>
        <w:ind w:left="180" w:hanging="180"/>
        <w:rPr>
          <w:rFonts w:cstheme="minorHAnsi"/>
          <w:color w:val="000000"/>
          <w:sz w:val="20"/>
          <w:szCs w:val="20"/>
        </w:rPr>
      </w:pPr>
      <w:r w:rsidRPr="00807DBA">
        <w:rPr>
          <w:rFonts w:cstheme="minorHAnsi"/>
          <w:color w:val="000000"/>
          <w:sz w:val="20"/>
          <w:szCs w:val="20"/>
        </w:rPr>
        <w:t xml:space="preserve">Constantino, J. N., &amp; Todd, R. D. (2003). Autistic traits in the general population: A twin study. </w:t>
      </w:r>
      <w:r w:rsidRPr="00807DBA">
        <w:rPr>
          <w:rFonts w:cstheme="minorHAnsi"/>
          <w:i/>
          <w:iCs/>
          <w:color w:val="000000"/>
          <w:sz w:val="20"/>
          <w:szCs w:val="20"/>
        </w:rPr>
        <w:t>Archives of General Psychiatry,</w:t>
      </w:r>
      <w:r w:rsidRPr="00807DBA">
        <w:rPr>
          <w:rFonts w:cstheme="minorHAnsi"/>
          <w:color w:val="000000"/>
          <w:sz w:val="20"/>
          <w:szCs w:val="20"/>
        </w:rPr>
        <w:t xml:space="preserve"> </w:t>
      </w:r>
      <w:r w:rsidRPr="00807DBA">
        <w:rPr>
          <w:rFonts w:cstheme="minorHAnsi"/>
          <w:i/>
          <w:iCs/>
          <w:color w:val="000000"/>
          <w:sz w:val="20"/>
          <w:szCs w:val="20"/>
        </w:rPr>
        <w:t>60</w:t>
      </w:r>
      <w:r w:rsidRPr="00807DBA">
        <w:rPr>
          <w:rFonts w:cstheme="minorHAnsi"/>
          <w:color w:val="000000"/>
          <w:sz w:val="20"/>
          <w:szCs w:val="20"/>
        </w:rPr>
        <w:t>(5), 524–530.</w:t>
      </w:r>
    </w:p>
    <w:p w14:paraId="07DD7D46" w14:textId="750BF550" w:rsidR="00D307A7" w:rsidRPr="007E0D30" w:rsidRDefault="000355D7" w:rsidP="005F3DB5">
      <w:pPr>
        <w:pStyle w:val="ListParagraph"/>
        <w:numPr>
          <w:ilvl w:val="0"/>
          <w:numId w:val="2"/>
        </w:numPr>
        <w:spacing w:after="0" w:line="240" w:lineRule="auto"/>
        <w:ind w:left="180" w:hanging="180"/>
        <w:rPr>
          <w:rFonts w:cstheme="minorHAnsi"/>
        </w:rPr>
      </w:pPr>
      <w:r>
        <w:rPr>
          <w:noProof/>
        </w:rPr>
        <w:drawing>
          <wp:anchor distT="0" distB="0" distL="114300" distR="114300" simplePos="0" relativeHeight="251661312" behindDoc="0" locked="0" layoutInCell="1" allowOverlap="1" wp14:anchorId="627526EE" wp14:editId="605BA2FE">
            <wp:simplePos x="0" y="0"/>
            <wp:positionH relativeFrom="column">
              <wp:posOffset>-15240</wp:posOffset>
            </wp:positionH>
            <wp:positionV relativeFrom="paragraph">
              <wp:posOffset>3828415</wp:posOffset>
            </wp:positionV>
            <wp:extent cx="6675120" cy="2973705"/>
            <wp:effectExtent l="0" t="0" r="5080" b="0"/>
            <wp:wrapSquare wrapText="bothSides"/>
            <wp:docPr id="256436385" name="Picture 2" descr="A comparison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36385" name="Picture 2" descr="A comparison of a graph&#10;&#10;Description automatically generated with medium confidence"/>
                    <pic:cNvPicPr/>
                  </pic:nvPicPr>
                  <pic:blipFill rotWithShape="1">
                    <a:blip r:embed="rId10">
                      <a:extLst>
                        <a:ext uri="{28A0092B-C50C-407E-A947-70E740481C1C}">
                          <a14:useLocalDpi xmlns:a14="http://schemas.microsoft.com/office/drawing/2010/main" val="0"/>
                        </a:ext>
                      </a:extLst>
                    </a:blip>
                    <a:srcRect t="3304"/>
                    <a:stretch/>
                  </pic:blipFill>
                  <pic:spPr bwMode="auto">
                    <a:xfrm>
                      <a:off x="0" y="0"/>
                      <a:ext cx="6675120" cy="297370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cstheme="minorHAnsi"/>
          <w:noProof/>
        </w:rPr>
        <w:drawing>
          <wp:anchor distT="0" distB="0" distL="114300" distR="114300" simplePos="0" relativeHeight="251663360" behindDoc="0" locked="0" layoutInCell="1" allowOverlap="1" wp14:anchorId="1FB93559" wp14:editId="37914AD0">
            <wp:simplePos x="0" y="0"/>
            <wp:positionH relativeFrom="column">
              <wp:posOffset>-15240</wp:posOffset>
            </wp:positionH>
            <wp:positionV relativeFrom="paragraph">
              <wp:posOffset>561975</wp:posOffset>
            </wp:positionV>
            <wp:extent cx="6675120" cy="3206115"/>
            <wp:effectExtent l="0" t="0" r="5080" b="0"/>
            <wp:wrapTopAndBottom/>
            <wp:docPr id="1408760495" name="Picture 1" descr="A table with numb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60495" name="Picture 1" descr="A table with numbers and number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675120" cy="3206115"/>
                    </a:xfrm>
                    <a:prstGeom prst="rect">
                      <a:avLst/>
                    </a:prstGeom>
                  </pic:spPr>
                </pic:pic>
              </a:graphicData>
            </a:graphic>
          </wp:anchor>
        </w:drawing>
      </w:r>
      <w:r w:rsidR="00D72D2E" w:rsidRPr="005F3DB5">
        <w:rPr>
          <w:rFonts w:cstheme="minorHAnsi"/>
          <w:color w:val="000000"/>
          <w:sz w:val="20"/>
          <w:szCs w:val="20"/>
        </w:rPr>
        <w:t xml:space="preserve">Marrus, N., Glowinski, A. L., Jacob, T., Klin, A., Jones, W., Drain, C. E., Holzhauer, K. E., Hariprasad, V., Fitzgerald, R. T., Mortenson, E. L., Sant, S. M., Cole, L., Siegel, S. A., Zhang, Y., Agrawal, A., Heath, A. C., &amp; Constantino, J. N. (2015). Rapid video-referenced ratings of reciprocal social behavior in toddlers: a twin study. </w:t>
      </w:r>
      <w:r w:rsidR="00D72D2E" w:rsidRPr="005F3DB5">
        <w:rPr>
          <w:rFonts w:cstheme="minorHAnsi"/>
          <w:i/>
          <w:iCs/>
          <w:color w:val="000000"/>
          <w:sz w:val="20"/>
          <w:szCs w:val="20"/>
        </w:rPr>
        <w:t>J</w:t>
      </w:r>
      <w:r>
        <w:rPr>
          <w:rFonts w:cstheme="minorHAnsi"/>
          <w:i/>
          <w:iCs/>
          <w:color w:val="000000"/>
          <w:sz w:val="20"/>
          <w:szCs w:val="20"/>
        </w:rPr>
        <w:t xml:space="preserve"> Child Psychol Psychiatry</w:t>
      </w:r>
      <w:r w:rsidR="00D72D2E" w:rsidRPr="005F3DB5">
        <w:rPr>
          <w:rFonts w:cstheme="minorHAnsi"/>
          <w:color w:val="000000"/>
          <w:sz w:val="20"/>
          <w:szCs w:val="20"/>
        </w:rPr>
        <w:t xml:space="preserve">, </w:t>
      </w:r>
      <w:r w:rsidR="00D72D2E" w:rsidRPr="005F3DB5">
        <w:rPr>
          <w:rFonts w:cstheme="minorHAnsi"/>
          <w:i/>
          <w:iCs/>
          <w:color w:val="000000"/>
          <w:sz w:val="20"/>
          <w:szCs w:val="20"/>
        </w:rPr>
        <w:t>56</w:t>
      </w:r>
      <w:r w:rsidR="00D72D2E" w:rsidRPr="005F3DB5">
        <w:rPr>
          <w:rFonts w:cstheme="minorHAnsi"/>
          <w:color w:val="000000"/>
          <w:sz w:val="20"/>
          <w:szCs w:val="20"/>
        </w:rPr>
        <w:t xml:space="preserve">(12), 1338–1346. </w:t>
      </w:r>
    </w:p>
    <w:p w14:paraId="1AD31CC3" w14:textId="77777777" w:rsidR="00D307A7" w:rsidRDefault="00D307A7" w:rsidP="00550FC4">
      <w:pPr>
        <w:pStyle w:val="FootnoteText"/>
        <w:contextualSpacing/>
        <w:rPr>
          <w:rFonts w:asciiTheme="minorHAnsi" w:hAnsiTheme="minorHAnsi" w:cstheme="minorHAnsi"/>
        </w:rPr>
        <w:sectPr w:rsidR="00D307A7" w:rsidSect="00394E2C">
          <w:headerReference w:type="default" r:id="rId12"/>
          <w:footerReference w:type="default" r:id="rId13"/>
          <w:pgSz w:w="12240" w:h="15840"/>
          <w:pgMar w:top="1440" w:right="864" w:bottom="1440" w:left="864" w:header="720" w:footer="720" w:gutter="0"/>
          <w:cols w:space="720"/>
          <w:docGrid w:linePitch="360"/>
        </w:sectPr>
      </w:pPr>
    </w:p>
    <w:p w14:paraId="7AC50377" w14:textId="3112802C" w:rsidR="003D6244" w:rsidRPr="00550FC4" w:rsidRDefault="003D6244" w:rsidP="00807DBA">
      <w:pPr>
        <w:pStyle w:val="FootnoteText"/>
        <w:contextualSpacing/>
        <w:rPr>
          <w:rFonts w:asciiTheme="minorHAnsi" w:hAnsiTheme="minorHAnsi" w:cstheme="minorHAnsi"/>
          <w:lang w:val="en-CA"/>
        </w:rPr>
      </w:pPr>
      <w:r w:rsidRPr="00550FC4">
        <w:rPr>
          <w:rStyle w:val="FootnoteReference"/>
          <w:rFonts w:asciiTheme="minorHAnsi" w:hAnsiTheme="minorHAnsi" w:cstheme="minorHAnsi"/>
        </w:rPr>
        <w:footnoteRef/>
      </w:r>
      <w:r w:rsidRPr="00550FC4">
        <w:rPr>
          <w:rFonts w:asciiTheme="minorHAnsi" w:hAnsiTheme="minorHAnsi" w:cstheme="minorHAnsi"/>
        </w:rPr>
        <w:t xml:space="preserve"> </w:t>
      </w:r>
      <w:r w:rsidR="007A2CCC" w:rsidRPr="00550FC4">
        <w:rPr>
          <w:rFonts w:asciiTheme="minorHAnsi" w:hAnsiTheme="minorHAnsi" w:cstheme="minorHAnsi"/>
          <w:lang w:val="en-CA"/>
        </w:rPr>
        <w:t xml:space="preserve">Washington University in St. Louis </w:t>
      </w:r>
    </w:p>
    <w:p w14:paraId="7AC50378" w14:textId="41F7355A" w:rsidR="003D6244" w:rsidRPr="00550FC4" w:rsidRDefault="003D6244" w:rsidP="00807DBA">
      <w:pPr>
        <w:pStyle w:val="FootnoteText"/>
        <w:contextualSpacing/>
        <w:rPr>
          <w:rFonts w:asciiTheme="minorHAnsi" w:hAnsiTheme="minorHAnsi" w:cstheme="minorHAnsi"/>
          <w:lang w:val="en-CA"/>
        </w:rPr>
      </w:pPr>
      <w:r w:rsidRPr="00550FC4">
        <w:rPr>
          <w:rStyle w:val="FootnoteReference"/>
          <w:rFonts w:asciiTheme="minorHAnsi" w:hAnsiTheme="minorHAnsi" w:cstheme="minorHAnsi"/>
        </w:rPr>
        <w:t>2</w:t>
      </w:r>
      <w:r w:rsidR="007A2CCC" w:rsidRPr="00550FC4">
        <w:rPr>
          <w:rFonts w:asciiTheme="minorHAnsi" w:hAnsiTheme="minorHAnsi" w:cstheme="minorHAnsi"/>
        </w:rPr>
        <w:t xml:space="preserve"> University of Washington</w:t>
      </w:r>
    </w:p>
    <w:p w14:paraId="7AC50379" w14:textId="341F75BA" w:rsidR="003D6244" w:rsidRPr="00550FC4" w:rsidRDefault="003D6244" w:rsidP="00807DBA">
      <w:pPr>
        <w:pStyle w:val="Footer"/>
        <w:contextualSpacing/>
        <w:rPr>
          <w:rFonts w:cstheme="minorHAnsi"/>
          <w:sz w:val="20"/>
          <w:szCs w:val="20"/>
          <w:lang w:val="en-CA"/>
        </w:rPr>
      </w:pPr>
      <w:r w:rsidRPr="00550FC4">
        <w:rPr>
          <w:rStyle w:val="FootnoteReference"/>
          <w:rFonts w:cstheme="minorHAnsi"/>
          <w:sz w:val="20"/>
          <w:szCs w:val="20"/>
        </w:rPr>
        <w:t>3</w:t>
      </w:r>
      <w:r w:rsidRPr="00550FC4">
        <w:rPr>
          <w:rFonts w:cstheme="minorHAnsi"/>
          <w:sz w:val="20"/>
          <w:szCs w:val="20"/>
        </w:rPr>
        <w:t xml:space="preserve"> </w:t>
      </w:r>
      <w:r w:rsidRPr="00550FC4">
        <w:rPr>
          <w:rFonts w:cstheme="minorHAnsi"/>
          <w:sz w:val="20"/>
          <w:szCs w:val="20"/>
          <w:lang w:val="en-CA"/>
        </w:rPr>
        <w:t xml:space="preserve">University of </w:t>
      </w:r>
      <w:r w:rsidR="007A2CCC" w:rsidRPr="00550FC4">
        <w:rPr>
          <w:rFonts w:cstheme="minorHAnsi"/>
          <w:sz w:val="20"/>
          <w:szCs w:val="20"/>
          <w:lang w:val="en-CA"/>
        </w:rPr>
        <w:t>Minnesota, Twin Cities</w:t>
      </w:r>
    </w:p>
    <w:p w14:paraId="047A37D6" w14:textId="566AC477" w:rsidR="007A2CCC" w:rsidRPr="00550FC4" w:rsidRDefault="007A2CCC" w:rsidP="00807DBA">
      <w:pPr>
        <w:pStyle w:val="FootnoteText"/>
        <w:contextualSpacing/>
        <w:rPr>
          <w:rFonts w:asciiTheme="minorHAnsi" w:hAnsiTheme="minorHAnsi" w:cstheme="minorHAnsi"/>
          <w:lang w:val="en-CA"/>
        </w:rPr>
      </w:pPr>
      <w:r w:rsidRPr="00550FC4">
        <w:rPr>
          <w:rFonts w:asciiTheme="minorHAnsi" w:hAnsiTheme="minorHAnsi" w:cstheme="minorHAnsi"/>
          <w:vertAlign w:val="superscript"/>
        </w:rPr>
        <w:t>4</w:t>
      </w:r>
      <w:r w:rsidRPr="00550FC4">
        <w:rPr>
          <w:rFonts w:asciiTheme="minorHAnsi" w:hAnsiTheme="minorHAnsi" w:cstheme="minorHAnsi"/>
        </w:rPr>
        <w:t xml:space="preserve"> </w:t>
      </w:r>
      <w:r w:rsidR="00E575FA" w:rsidRPr="00550FC4">
        <w:rPr>
          <w:rFonts w:asciiTheme="minorHAnsi" w:hAnsiTheme="minorHAnsi" w:cstheme="minorHAnsi"/>
        </w:rPr>
        <w:t>Children’s Hospital of Philadelphia</w:t>
      </w:r>
    </w:p>
    <w:p w14:paraId="5FBCC0AA" w14:textId="55210047" w:rsidR="007A2CCC" w:rsidRPr="00550FC4" w:rsidRDefault="007A2CCC" w:rsidP="00807DBA">
      <w:pPr>
        <w:pStyle w:val="Footer"/>
        <w:contextualSpacing/>
        <w:rPr>
          <w:rFonts w:cstheme="minorHAnsi"/>
          <w:sz w:val="20"/>
          <w:szCs w:val="20"/>
        </w:rPr>
      </w:pPr>
      <w:r w:rsidRPr="00550FC4">
        <w:rPr>
          <w:rFonts w:cstheme="minorHAnsi"/>
          <w:sz w:val="20"/>
          <w:szCs w:val="20"/>
          <w:vertAlign w:val="superscript"/>
        </w:rPr>
        <w:t xml:space="preserve">5 </w:t>
      </w:r>
      <w:r w:rsidRPr="00550FC4">
        <w:rPr>
          <w:rFonts w:cstheme="minorHAnsi"/>
          <w:sz w:val="20"/>
          <w:szCs w:val="20"/>
          <w:lang w:val="en-CA"/>
        </w:rPr>
        <w:t xml:space="preserve">University of </w:t>
      </w:r>
      <w:r w:rsidR="00E575FA" w:rsidRPr="00550FC4">
        <w:rPr>
          <w:rFonts w:cstheme="minorHAnsi"/>
          <w:sz w:val="20"/>
          <w:szCs w:val="20"/>
          <w:lang w:val="en-CA"/>
        </w:rPr>
        <w:t>Alberta</w:t>
      </w:r>
    </w:p>
    <w:p w14:paraId="30031A91" w14:textId="5630A0EE" w:rsidR="00D307A7" w:rsidRDefault="00E575FA" w:rsidP="00550FC4">
      <w:pPr>
        <w:pStyle w:val="Footer"/>
        <w:contextualSpacing/>
        <w:rPr>
          <w:rFonts w:cstheme="minorHAnsi"/>
          <w:sz w:val="20"/>
          <w:szCs w:val="20"/>
        </w:rPr>
        <w:sectPr w:rsidR="00D307A7" w:rsidSect="00807DBA">
          <w:type w:val="continuous"/>
          <w:pgSz w:w="12240" w:h="15840"/>
          <w:pgMar w:top="1440" w:right="864" w:bottom="1440" w:left="864" w:header="720" w:footer="720" w:gutter="0"/>
          <w:cols w:num="2" w:space="720"/>
          <w:docGrid w:linePitch="360"/>
        </w:sectPr>
      </w:pPr>
      <w:r w:rsidRPr="00550FC4">
        <w:rPr>
          <w:rFonts w:cstheme="minorHAnsi"/>
          <w:sz w:val="20"/>
          <w:szCs w:val="20"/>
          <w:vertAlign w:val="superscript"/>
        </w:rPr>
        <w:t xml:space="preserve">6 </w:t>
      </w:r>
      <w:r w:rsidRPr="00550FC4">
        <w:rPr>
          <w:rFonts w:cstheme="minorHAnsi"/>
          <w:sz w:val="20"/>
          <w:szCs w:val="20"/>
          <w:lang w:val="en-CA"/>
        </w:rPr>
        <w:t>University of North Carolina, Chapel Hil</w:t>
      </w:r>
      <w:r w:rsidR="00D307A7">
        <w:rPr>
          <w:rFonts w:cstheme="minorHAnsi"/>
          <w:sz w:val="20"/>
          <w:szCs w:val="20"/>
          <w:lang w:val="en-CA"/>
        </w:rPr>
        <w:t>l</w:t>
      </w:r>
    </w:p>
    <w:p w14:paraId="544032C9" w14:textId="5DD6DA97" w:rsidR="00E142B1" w:rsidRPr="00550FC4" w:rsidRDefault="00E142B1" w:rsidP="00550FC4">
      <w:pPr>
        <w:spacing w:after="0" w:line="240" w:lineRule="auto"/>
        <w:contextualSpacing/>
        <w:rPr>
          <w:rFonts w:cstheme="minorHAnsi"/>
          <w:sz w:val="20"/>
          <w:szCs w:val="20"/>
        </w:rPr>
      </w:pPr>
    </w:p>
    <w:sectPr w:rsidR="00E142B1" w:rsidRPr="00550FC4" w:rsidSect="00D307A7">
      <w:type w:val="continuous"/>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E2EBF" w14:textId="77777777" w:rsidR="000A1602" w:rsidRDefault="000A1602" w:rsidP="00A16498">
      <w:pPr>
        <w:spacing w:after="0" w:line="240" w:lineRule="auto"/>
      </w:pPr>
      <w:r>
        <w:separator/>
      </w:r>
    </w:p>
  </w:endnote>
  <w:endnote w:type="continuationSeparator" w:id="0">
    <w:p w14:paraId="4CDB8E8E" w14:textId="77777777" w:rsidR="000A1602" w:rsidRDefault="000A1602" w:rsidP="00A16498">
      <w:pPr>
        <w:spacing w:after="0" w:line="240" w:lineRule="auto"/>
      </w:pPr>
      <w:r>
        <w:continuationSeparator/>
      </w:r>
    </w:p>
  </w:endnote>
  <w:endnote w:type="continuationNotice" w:id="1">
    <w:p w14:paraId="6C28652B" w14:textId="77777777" w:rsidR="000A1602" w:rsidRDefault="000A1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D3A0C" w14:textId="77777777" w:rsidR="000A1602" w:rsidRDefault="000A1602" w:rsidP="00A16498">
      <w:pPr>
        <w:spacing w:after="0" w:line="240" w:lineRule="auto"/>
      </w:pPr>
      <w:r>
        <w:separator/>
      </w:r>
    </w:p>
  </w:footnote>
  <w:footnote w:type="continuationSeparator" w:id="0">
    <w:p w14:paraId="673DDF36" w14:textId="77777777" w:rsidR="000A1602" w:rsidRDefault="000A1602" w:rsidP="00A16498">
      <w:pPr>
        <w:spacing w:after="0" w:line="240" w:lineRule="auto"/>
      </w:pPr>
      <w:r>
        <w:continuationSeparator/>
      </w:r>
    </w:p>
  </w:footnote>
  <w:footnote w:type="continuationNotice" w:id="1">
    <w:p w14:paraId="31782BEF" w14:textId="77777777" w:rsidR="000A1602" w:rsidRDefault="000A16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27F0DF9C" w:rsidR="00A16498" w:rsidRDefault="00434944">
    <w:pPr>
      <w:pStyle w:val="Header"/>
    </w:pPr>
    <w:r>
      <w:rPr>
        <w:noProof/>
      </w:rPr>
      <mc:AlternateContent>
        <mc:Choice Requires="wps">
          <w:drawing>
            <wp:anchor distT="0" distB="0" distL="114300" distR="114300" simplePos="0" relativeHeight="251659264" behindDoc="0" locked="0" layoutInCell="1" allowOverlap="1" wp14:anchorId="5EBF3D5C" wp14:editId="47C26290">
              <wp:simplePos x="0" y="0"/>
              <wp:positionH relativeFrom="column">
                <wp:posOffset>-15079</wp:posOffset>
              </wp:positionH>
              <wp:positionV relativeFrom="paragraph">
                <wp:posOffset>-224581</wp:posOffset>
              </wp:positionV>
              <wp:extent cx="5371689" cy="457200"/>
              <wp:effectExtent l="12700" t="12700" r="13335" b="12700"/>
              <wp:wrapNone/>
              <wp:docPr id="25121485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5EBF3D5C" id="Rectangle 197" o:spid="_x0000_s1026" style="position:absolute;margin-left:-1.2pt;margin-top:-17.7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75CD9"/>
    <w:multiLevelType w:val="hybridMultilevel"/>
    <w:tmpl w:val="6B5A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 w:numId="2" w16cid:durableId="1371421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2BE0"/>
    <w:rsid w:val="000130DA"/>
    <w:rsid w:val="000355D7"/>
    <w:rsid w:val="00053A07"/>
    <w:rsid w:val="00057A52"/>
    <w:rsid w:val="000A1602"/>
    <w:rsid w:val="000A2C01"/>
    <w:rsid w:val="000C1A6D"/>
    <w:rsid w:val="000D0162"/>
    <w:rsid w:val="000E7F17"/>
    <w:rsid w:val="00101608"/>
    <w:rsid w:val="00115405"/>
    <w:rsid w:val="00182D3E"/>
    <w:rsid w:val="001930C4"/>
    <w:rsid w:val="00195E45"/>
    <w:rsid w:val="001A1DC8"/>
    <w:rsid w:val="001B5407"/>
    <w:rsid w:val="001C735E"/>
    <w:rsid w:val="002052BF"/>
    <w:rsid w:val="00226854"/>
    <w:rsid w:val="00244C29"/>
    <w:rsid w:val="00257F13"/>
    <w:rsid w:val="00277E69"/>
    <w:rsid w:val="00277F6E"/>
    <w:rsid w:val="002872AA"/>
    <w:rsid w:val="002A03E7"/>
    <w:rsid w:val="002C2F2A"/>
    <w:rsid w:val="002F6538"/>
    <w:rsid w:val="00300310"/>
    <w:rsid w:val="00307849"/>
    <w:rsid w:val="00312417"/>
    <w:rsid w:val="00313B5E"/>
    <w:rsid w:val="00316B3B"/>
    <w:rsid w:val="0032171F"/>
    <w:rsid w:val="00324E6F"/>
    <w:rsid w:val="0033415B"/>
    <w:rsid w:val="00374A85"/>
    <w:rsid w:val="0038453A"/>
    <w:rsid w:val="003942C6"/>
    <w:rsid w:val="00394E2C"/>
    <w:rsid w:val="003B0285"/>
    <w:rsid w:val="003C2A0A"/>
    <w:rsid w:val="003C4D59"/>
    <w:rsid w:val="003D1BA3"/>
    <w:rsid w:val="003D6244"/>
    <w:rsid w:val="003F558A"/>
    <w:rsid w:val="00412A17"/>
    <w:rsid w:val="0041502D"/>
    <w:rsid w:val="00434944"/>
    <w:rsid w:val="004473AC"/>
    <w:rsid w:val="00452576"/>
    <w:rsid w:val="0045428A"/>
    <w:rsid w:val="00463067"/>
    <w:rsid w:val="0049719E"/>
    <w:rsid w:val="004E7B43"/>
    <w:rsid w:val="00524478"/>
    <w:rsid w:val="00535031"/>
    <w:rsid w:val="0054650B"/>
    <w:rsid w:val="00550360"/>
    <w:rsid w:val="00550FC4"/>
    <w:rsid w:val="00555E1A"/>
    <w:rsid w:val="00565972"/>
    <w:rsid w:val="00577DC4"/>
    <w:rsid w:val="005848D9"/>
    <w:rsid w:val="005A05C4"/>
    <w:rsid w:val="005F3158"/>
    <w:rsid w:val="005F3DB5"/>
    <w:rsid w:val="005F6290"/>
    <w:rsid w:val="00625543"/>
    <w:rsid w:val="00643305"/>
    <w:rsid w:val="00652D01"/>
    <w:rsid w:val="006535AF"/>
    <w:rsid w:val="006637E7"/>
    <w:rsid w:val="006C05DD"/>
    <w:rsid w:val="0072788B"/>
    <w:rsid w:val="00751FEE"/>
    <w:rsid w:val="00754539"/>
    <w:rsid w:val="00765ED5"/>
    <w:rsid w:val="007722E4"/>
    <w:rsid w:val="0077649B"/>
    <w:rsid w:val="00777D73"/>
    <w:rsid w:val="007A2CCC"/>
    <w:rsid w:val="007B1C4E"/>
    <w:rsid w:val="007B4CE7"/>
    <w:rsid w:val="007B531C"/>
    <w:rsid w:val="007C7BD0"/>
    <w:rsid w:val="007E0D30"/>
    <w:rsid w:val="00801D2A"/>
    <w:rsid w:val="00807DBA"/>
    <w:rsid w:val="00817FE3"/>
    <w:rsid w:val="0087492A"/>
    <w:rsid w:val="008938D8"/>
    <w:rsid w:val="0089701F"/>
    <w:rsid w:val="008A022C"/>
    <w:rsid w:val="008E59DF"/>
    <w:rsid w:val="009462E3"/>
    <w:rsid w:val="0099078E"/>
    <w:rsid w:val="009B1DAB"/>
    <w:rsid w:val="009C0C98"/>
    <w:rsid w:val="009C63FF"/>
    <w:rsid w:val="009E1B56"/>
    <w:rsid w:val="00A11A86"/>
    <w:rsid w:val="00A16498"/>
    <w:rsid w:val="00AA0A2E"/>
    <w:rsid w:val="00AA11B9"/>
    <w:rsid w:val="00AB2C1F"/>
    <w:rsid w:val="00AB7B37"/>
    <w:rsid w:val="00AD3100"/>
    <w:rsid w:val="00AE4ADB"/>
    <w:rsid w:val="00B07164"/>
    <w:rsid w:val="00B226B4"/>
    <w:rsid w:val="00B71AFF"/>
    <w:rsid w:val="00BA2D2D"/>
    <w:rsid w:val="00BD1204"/>
    <w:rsid w:val="00BE3F7D"/>
    <w:rsid w:val="00C22168"/>
    <w:rsid w:val="00C43F05"/>
    <w:rsid w:val="00C535EE"/>
    <w:rsid w:val="00C6243D"/>
    <w:rsid w:val="00C63AF5"/>
    <w:rsid w:val="00C80718"/>
    <w:rsid w:val="00C856B3"/>
    <w:rsid w:val="00C91695"/>
    <w:rsid w:val="00CA3BF4"/>
    <w:rsid w:val="00CB4F83"/>
    <w:rsid w:val="00CD1923"/>
    <w:rsid w:val="00CD2D05"/>
    <w:rsid w:val="00CF3CDF"/>
    <w:rsid w:val="00D305BA"/>
    <w:rsid w:val="00D307A7"/>
    <w:rsid w:val="00D46241"/>
    <w:rsid w:val="00D524AD"/>
    <w:rsid w:val="00D60D08"/>
    <w:rsid w:val="00D72D2E"/>
    <w:rsid w:val="00D752D0"/>
    <w:rsid w:val="00D77D54"/>
    <w:rsid w:val="00D9121D"/>
    <w:rsid w:val="00DA47EE"/>
    <w:rsid w:val="00DC15FA"/>
    <w:rsid w:val="00DF1E64"/>
    <w:rsid w:val="00E142B1"/>
    <w:rsid w:val="00E15391"/>
    <w:rsid w:val="00E20BC3"/>
    <w:rsid w:val="00E33DE6"/>
    <w:rsid w:val="00E575FA"/>
    <w:rsid w:val="00E773B8"/>
    <w:rsid w:val="00EC1345"/>
    <w:rsid w:val="00EE6E10"/>
    <w:rsid w:val="00F023E6"/>
    <w:rsid w:val="00F2162A"/>
    <w:rsid w:val="00FA681D"/>
    <w:rsid w:val="00FF1A44"/>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Revision">
    <w:name w:val="Revision"/>
    <w:hidden/>
    <w:uiPriority w:val="99"/>
    <w:semiHidden/>
    <w:rsid w:val="00643305"/>
    <w:pPr>
      <w:spacing w:after="0" w:line="240" w:lineRule="auto"/>
    </w:pPr>
  </w:style>
  <w:style w:type="character" w:styleId="CommentReference">
    <w:name w:val="annotation reference"/>
    <w:basedOn w:val="DefaultParagraphFont"/>
    <w:uiPriority w:val="99"/>
    <w:semiHidden/>
    <w:unhideWhenUsed/>
    <w:rsid w:val="00307849"/>
    <w:rPr>
      <w:sz w:val="16"/>
      <w:szCs w:val="16"/>
    </w:rPr>
  </w:style>
  <w:style w:type="paragraph" w:styleId="CommentText">
    <w:name w:val="annotation text"/>
    <w:basedOn w:val="Normal"/>
    <w:link w:val="CommentTextChar"/>
    <w:uiPriority w:val="99"/>
    <w:unhideWhenUsed/>
    <w:rsid w:val="00307849"/>
    <w:pPr>
      <w:spacing w:line="240" w:lineRule="auto"/>
    </w:pPr>
    <w:rPr>
      <w:sz w:val="20"/>
      <w:szCs w:val="20"/>
    </w:rPr>
  </w:style>
  <w:style w:type="character" w:customStyle="1" w:styleId="CommentTextChar">
    <w:name w:val="Comment Text Char"/>
    <w:basedOn w:val="DefaultParagraphFont"/>
    <w:link w:val="CommentText"/>
    <w:uiPriority w:val="99"/>
    <w:rsid w:val="00307849"/>
    <w:rPr>
      <w:sz w:val="20"/>
      <w:szCs w:val="20"/>
    </w:rPr>
  </w:style>
  <w:style w:type="paragraph" w:styleId="CommentSubject">
    <w:name w:val="annotation subject"/>
    <w:basedOn w:val="CommentText"/>
    <w:next w:val="CommentText"/>
    <w:link w:val="CommentSubjectChar"/>
    <w:uiPriority w:val="99"/>
    <w:semiHidden/>
    <w:unhideWhenUsed/>
    <w:rsid w:val="00307849"/>
    <w:rPr>
      <w:b/>
      <w:bCs/>
    </w:rPr>
  </w:style>
  <w:style w:type="character" w:customStyle="1" w:styleId="CommentSubjectChar">
    <w:name w:val="Comment Subject Char"/>
    <w:basedOn w:val="CommentTextChar"/>
    <w:link w:val="CommentSubject"/>
    <w:uiPriority w:val="99"/>
    <w:semiHidden/>
    <w:rsid w:val="003078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443846">
      <w:bodyDiv w:val="1"/>
      <w:marLeft w:val="0"/>
      <w:marRight w:val="0"/>
      <w:marTop w:val="0"/>
      <w:marBottom w:val="0"/>
      <w:divBdr>
        <w:top w:val="none" w:sz="0" w:space="0" w:color="auto"/>
        <w:left w:val="none" w:sz="0" w:space="0" w:color="auto"/>
        <w:bottom w:val="none" w:sz="0" w:space="0" w:color="auto"/>
        <w:right w:val="none" w:sz="0" w:space="0" w:color="auto"/>
      </w:divBdr>
      <w:divsChild>
        <w:div w:id="146288327">
          <w:marLeft w:val="0"/>
          <w:marRight w:val="0"/>
          <w:marTop w:val="0"/>
          <w:marBottom w:val="0"/>
          <w:divBdr>
            <w:top w:val="none" w:sz="0" w:space="0" w:color="auto"/>
            <w:left w:val="none" w:sz="0" w:space="0" w:color="auto"/>
            <w:bottom w:val="none" w:sz="0" w:space="0" w:color="auto"/>
            <w:right w:val="none" w:sz="0" w:space="0" w:color="auto"/>
          </w:divBdr>
        </w:div>
      </w:divsChild>
    </w:div>
    <w:div w:id="1370452646">
      <w:bodyDiv w:val="1"/>
      <w:marLeft w:val="0"/>
      <w:marRight w:val="0"/>
      <w:marTop w:val="0"/>
      <w:marBottom w:val="0"/>
      <w:divBdr>
        <w:top w:val="none" w:sz="0" w:space="0" w:color="auto"/>
        <w:left w:val="none" w:sz="0" w:space="0" w:color="auto"/>
        <w:bottom w:val="none" w:sz="0" w:space="0" w:color="auto"/>
        <w:right w:val="none" w:sz="0" w:space="0" w:color="auto"/>
      </w:divBdr>
      <w:divsChild>
        <w:div w:id="1782218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Lasch, Carolyn</cp:lastModifiedBy>
  <cp:revision>2</cp:revision>
  <dcterms:created xsi:type="dcterms:W3CDTF">2024-11-04T17:05:00Z</dcterms:created>
  <dcterms:modified xsi:type="dcterms:W3CDTF">2024-11-04T17:05:00Z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