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24247CCA" w:rsidR="003D6244" w:rsidRPr="009E00A7" w:rsidRDefault="003D6244" w:rsidP="003D6244">
      <w:pPr>
        <w:rPr>
          <w:sz w:val="20"/>
          <w:szCs w:val="20"/>
          <w:lang w:eastAsia="zh-CN"/>
        </w:rPr>
      </w:pPr>
      <w:r w:rsidRPr="009E00A7">
        <w:rPr>
          <w:b/>
          <w:sz w:val="20"/>
          <w:szCs w:val="20"/>
        </w:rPr>
        <w:t>Title</w:t>
      </w:r>
      <w:r w:rsidRPr="009E00A7">
        <w:rPr>
          <w:sz w:val="20"/>
          <w:szCs w:val="20"/>
        </w:rPr>
        <w:t xml:space="preserve">: </w:t>
      </w:r>
      <w:r w:rsidR="00016B35" w:rsidRPr="00016B35">
        <w:rPr>
          <w:sz w:val="20"/>
          <w:szCs w:val="20"/>
        </w:rPr>
        <w:t>Longitudinal Trajectories of Maternal Stress for Mothers with Intellectual Disabilities and Borderline Intellectual Functioning</w:t>
      </w:r>
    </w:p>
    <w:p w14:paraId="7AC50371" w14:textId="0293BA60" w:rsidR="003D6244" w:rsidRPr="008B1E03" w:rsidRDefault="003D6244" w:rsidP="003D6244">
      <w:pPr>
        <w:rPr>
          <w:sz w:val="20"/>
          <w:szCs w:val="20"/>
          <w:vertAlign w:val="superscript"/>
        </w:rPr>
      </w:pPr>
      <w:r w:rsidRPr="009E00A7">
        <w:rPr>
          <w:b/>
          <w:sz w:val="20"/>
          <w:szCs w:val="20"/>
        </w:rPr>
        <w:t>Authors</w:t>
      </w:r>
      <w:r w:rsidRPr="009E00A7">
        <w:rPr>
          <w:sz w:val="20"/>
          <w:szCs w:val="20"/>
        </w:rPr>
        <w:t xml:space="preserve">: </w:t>
      </w:r>
      <w:proofErr w:type="spellStart"/>
      <w:r w:rsidR="00B25603">
        <w:rPr>
          <w:sz w:val="20"/>
          <w:szCs w:val="20"/>
        </w:rPr>
        <w:t>Weiwen</w:t>
      </w:r>
      <w:proofErr w:type="spellEnd"/>
      <w:r w:rsidR="00B25603">
        <w:rPr>
          <w:sz w:val="20"/>
          <w:szCs w:val="20"/>
        </w:rPr>
        <w:t xml:space="preserve"> Zeng</w:t>
      </w:r>
      <w:r w:rsidR="00C64154">
        <w:rPr>
          <w:sz w:val="20"/>
          <w:szCs w:val="20"/>
        </w:rPr>
        <w:t>, PhD, MSSW</w:t>
      </w:r>
      <w:r>
        <w:rPr>
          <w:sz w:val="20"/>
          <w:szCs w:val="20"/>
          <w:vertAlign w:val="superscript"/>
        </w:rPr>
        <w:t>1</w:t>
      </w:r>
      <w:r w:rsidR="00B25603">
        <w:rPr>
          <w:sz w:val="20"/>
          <w:szCs w:val="20"/>
          <w:vertAlign w:val="superscript"/>
        </w:rPr>
        <w:t>,2</w:t>
      </w:r>
      <w:r w:rsidRPr="009E00A7">
        <w:rPr>
          <w:sz w:val="20"/>
          <w:szCs w:val="20"/>
        </w:rPr>
        <w:t xml:space="preserve">, </w:t>
      </w:r>
      <w:r w:rsidR="004559CC">
        <w:rPr>
          <w:sz w:val="20"/>
          <w:szCs w:val="20"/>
        </w:rPr>
        <w:t xml:space="preserve">&amp; </w:t>
      </w:r>
      <w:r w:rsidR="00016B35">
        <w:rPr>
          <w:sz w:val="20"/>
          <w:szCs w:val="20"/>
        </w:rPr>
        <w:t>Miriam Heyman</w:t>
      </w:r>
      <w:r w:rsidR="00C64154">
        <w:rPr>
          <w:sz w:val="20"/>
          <w:szCs w:val="20"/>
        </w:rPr>
        <w:t>, PhD</w:t>
      </w:r>
      <w:r>
        <w:rPr>
          <w:sz w:val="20"/>
          <w:szCs w:val="20"/>
          <w:vertAlign w:val="superscript"/>
        </w:rPr>
        <w:t>2</w:t>
      </w:r>
    </w:p>
    <w:p w14:paraId="77FE6733" w14:textId="3F55BA24" w:rsidR="00452576" w:rsidRDefault="003D6244" w:rsidP="003D6244">
      <w:pPr>
        <w:rPr>
          <w:b/>
          <w:iCs/>
          <w:color w:val="000000"/>
          <w:sz w:val="20"/>
          <w:szCs w:val="20"/>
          <w:lang w:val="en-GB"/>
        </w:rPr>
      </w:pPr>
      <w:r w:rsidRPr="009E00A7">
        <w:rPr>
          <w:b/>
          <w:sz w:val="20"/>
          <w:szCs w:val="20"/>
        </w:rPr>
        <w:t>Introduction</w:t>
      </w:r>
      <w:r w:rsidRPr="009E00A7">
        <w:rPr>
          <w:sz w:val="20"/>
          <w:szCs w:val="20"/>
        </w:rPr>
        <w:t xml:space="preserve">: </w:t>
      </w:r>
      <w:r w:rsidR="00016B35">
        <w:rPr>
          <w:sz w:val="20"/>
          <w:szCs w:val="20"/>
        </w:rPr>
        <w:t>Despite decades of research documenting health disparities faced by adults with intellectual disabilities (ID), t</w:t>
      </w:r>
      <w:r w:rsidR="00016B35" w:rsidRPr="00016B35">
        <w:rPr>
          <w:sz w:val="20"/>
          <w:szCs w:val="20"/>
        </w:rPr>
        <w:t>here are few longitudinal studies on the</w:t>
      </w:r>
      <w:r w:rsidR="00016B35">
        <w:rPr>
          <w:sz w:val="20"/>
          <w:szCs w:val="20"/>
        </w:rPr>
        <w:t xml:space="preserve"> </w:t>
      </w:r>
      <w:r w:rsidR="00016B35" w:rsidRPr="00016B35">
        <w:rPr>
          <w:sz w:val="20"/>
          <w:szCs w:val="20"/>
        </w:rPr>
        <w:t xml:space="preserve">mental health </w:t>
      </w:r>
      <w:r w:rsidR="00016B35">
        <w:rPr>
          <w:sz w:val="20"/>
          <w:szCs w:val="20"/>
        </w:rPr>
        <w:t>of</w:t>
      </w:r>
      <w:r w:rsidR="00016B35" w:rsidRPr="00016B35">
        <w:rPr>
          <w:sz w:val="20"/>
          <w:szCs w:val="20"/>
        </w:rPr>
        <w:t xml:space="preserve"> parents with ID. </w:t>
      </w:r>
      <w:r w:rsidR="00016B35">
        <w:rPr>
          <w:sz w:val="20"/>
          <w:szCs w:val="20"/>
        </w:rPr>
        <w:t xml:space="preserve">In addition, past research primarily relied on samples derived from service populations. As such, </w:t>
      </w:r>
      <w:r w:rsidR="00016B35" w:rsidRPr="00016B35">
        <w:rPr>
          <w:sz w:val="20"/>
          <w:szCs w:val="20"/>
        </w:rPr>
        <w:t>l</w:t>
      </w:r>
      <w:r w:rsidR="00016B35">
        <w:rPr>
          <w:sz w:val="20"/>
          <w:szCs w:val="20"/>
        </w:rPr>
        <w:t>ittle</w:t>
      </w:r>
      <w:r w:rsidR="00016B35" w:rsidRPr="00016B35">
        <w:rPr>
          <w:sz w:val="20"/>
          <w:szCs w:val="20"/>
        </w:rPr>
        <w:t xml:space="preserve"> is known about </w:t>
      </w:r>
      <w:r w:rsidR="00016B35">
        <w:rPr>
          <w:sz w:val="20"/>
          <w:szCs w:val="20"/>
        </w:rPr>
        <w:t>those</w:t>
      </w:r>
      <w:r w:rsidR="00016B35" w:rsidRPr="00016B35">
        <w:rPr>
          <w:sz w:val="20"/>
          <w:szCs w:val="20"/>
        </w:rPr>
        <w:t xml:space="preserve"> with ID</w:t>
      </w:r>
      <w:r w:rsidR="00016B35">
        <w:rPr>
          <w:sz w:val="20"/>
          <w:szCs w:val="20"/>
        </w:rPr>
        <w:t xml:space="preserve"> or borderline intellectual functioning (IF)</w:t>
      </w:r>
      <w:r w:rsidR="00016B35" w:rsidRPr="00016B35">
        <w:rPr>
          <w:sz w:val="20"/>
          <w:szCs w:val="20"/>
        </w:rPr>
        <w:t xml:space="preserve"> who perhaps </w:t>
      </w:r>
      <w:r w:rsidR="00016B35">
        <w:rPr>
          <w:sz w:val="20"/>
          <w:szCs w:val="20"/>
        </w:rPr>
        <w:t>were</w:t>
      </w:r>
      <w:r w:rsidR="00016B35" w:rsidRPr="00016B35">
        <w:rPr>
          <w:sz w:val="20"/>
          <w:szCs w:val="20"/>
        </w:rPr>
        <w:t xml:space="preserve"> not identified, and </w:t>
      </w:r>
      <w:r w:rsidR="00016B35">
        <w:rPr>
          <w:sz w:val="20"/>
          <w:szCs w:val="20"/>
        </w:rPr>
        <w:t xml:space="preserve">thus </w:t>
      </w:r>
      <w:r w:rsidR="00016B35" w:rsidRPr="00016B35">
        <w:rPr>
          <w:sz w:val="20"/>
          <w:szCs w:val="20"/>
        </w:rPr>
        <w:t>d</w:t>
      </w:r>
      <w:r w:rsidR="00016B35">
        <w:rPr>
          <w:sz w:val="20"/>
          <w:szCs w:val="20"/>
        </w:rPr>
        <w:t>id</w:t>
      </w:r>
      <w:r w:rsidR="00016B35" w:rsidRPr="00016B35">
        <w:rPr>
          <w:sz w:val="20"/>
          <w:szCs w:val="20"/>
        </w:rPr>
        <w:t xml:space="preserve"> not receive </w:t>
      </w:r>
      <w:r w:rsidR="00016B35">
        <w:rPr>
          <w:sz w:val="20"/>
          <w:szCs w:val="20"/>
        </w:rPr>
        <w:t xml:space="preserve">research attention. </w:t>
      </w:r>
      <w:r w:rsidR="00016B35" w:rsidRPr="00016B35">
        <w:rPr>
          <w:sz w:val="20"/>
          <w:szCs w:val="20"/>
        </w:rPr>
        <w:t>This study examine</w:t>
      </w:r>
      <w:r w:rsidR="00016B35">
        <w:rPr>
          <w:sz w:val="20"/>
          <w:szCs w:val="20"/>
        </w:rPr>
        <w:t>s</w:t>
      </w:r>
      <w:r w:rsidR="00016B35" w:rsidRPr="00016B35">
        <w:rPr>
          <w:sz w:val="20"/>
          <w:szCs w:val="20"/>
        </w:rPr>
        <w:t xml:space="preserve"> longitudinal trajectories of maternal stress for mothers with ID and borderline IF compared to their peers without ID, over their children’s ages</w:t>
      </w:r>
      <w:r w:rsidR="00016B35">
        <w:rPr>
          <w:sz w:val="20"/>
          <w:szCs w:val="20"/>
        </w:rPr>
        <w:t xml:space="preserve"> across a period of 15 years</w:t>
      </w:r>
      <w:r w:rsidR="00016B35" w:rsidRPr="00016B35">
        <w:rPr>
          <w:sz w:val="20"/>
          <w:szCs w:val="20"/>
        </w:rPr>
        <w:t>. Additionally, it aim</w:t>
      </w:r>
      <w:r w:rsidR="00016B35">
        <w:rPr>
          <w:sz w:val="20"/>
          <w:szCs w:val="20"/>
        </w:rPr>
        <w:t>s</w:t>
      </w:r>
      <w:r w:rsidR="00016B35" w:rsidRPr="00016B35">
        <w:rPr>
          <w:sz w:val="20"/>
          <w:szCs w:val="20"/>
        </w:rPr>
        <w:t xml:space="preserve"> to </w:t>
      </w:r>
      <w:r w:rsidR="00016B35">
        <w:rPr>
          <w:sz w:val="20"/>
          <w:szCs w:val="20"/>
        </w:rPr>
        <w:t>estimate</w:t>
      </w:r>
      <w:r w:rsidR="00016B35" w:rsidRPr="00016B35">
        <w:rPr>
          <w:sz w:val="20"/>
          <w:szCs w:val="20"/>
        </w:rPr>
        <w:t xml:space="preserve"> the impact of various</w:t>
      </w:r>
      <w:r w:rsidR="00016B35">
        <w:rPr>
          <w:sz w:val="20"/>
          <w:szCs w:val="20"/>
        </w:rPr>
        <w:t xml:space="preserve"> individual and socioeconomic (SES)</w:t>
      </w:r>
      <w:r w:rsidR="00016B35" w:rsidRPr="00016B35">
        <w:rPr>
          <w:sz w:val="20"/>
          <w:szCs w:val="20"/>
        </w:rPr>
        <w:t xml:space="preserve"> factors on maternal stress</w:t>
      </w:r>
      <w:r w:rsidR="00016B35">
        <w:rPr>
          <w:sz w:val="20"/>
          <w:szCs w:val="20"/>
        </w:rPr>
        <w:t xml:space="preserve"> over time including race/ethnicity, income, education, marital status, receipt of supplemental security income (SSI), material hardship, social support, and child factors (e.g., child age, gender, and number of children in the household)</w:t>
      </w:r>
      <w:r w:rsidR="00016B35" w:rsidRPr="00016B35">
        <w:rPr>
          <w:sz w:val="20"/>
          <w:szCs w:val="20"/>
        </w:rPr>
        <w:t>.</w:t>
      </w:r>
    </w:p>
    <w:p w14:paraId="7AC50373" w14:textId="7861A281" w:rsidR="003D6244" w:rsidRPr="008A2BAF" w:rsidRDefault="003D6244" w:rsidP="003D6244">
      <w:pPr>
        <w:rPr>
          <w:color w:val="000000"/>
          <w:sz w:val="20"/>
          <w:szCs w:val="20"/>
          <w:lang w:eastAsia="zh-CN"/>
        </w:rPr>
      </w:pPr>
      <w:r>
        <w:rPr>
          <w:b/>
          <w:color w:val="000000"/>
          <w:sz w:val="20"/>
          <w:szCs w:val="20"/>
          <w:lang w:val="en-GB"/>
        </w:rPr>
        <w:t>Method</w:t>
      </w:r>
      <w:r>
        <w:rPr>
          <w:color w:val="000000"/>
          <w:sz w:val="20"/>
          <w:szCs w:val="20"/>
          <w:lang w:val="en-GB"/>
        </w:rPr>
        <w:t xml:space="preserve">: </w:t>
      </w:r>
      <w:r w:rsidR="00016B35" w:rsidRPr="00016B35">
        <w:rPr>
          <w:color w:val="000000"/>
          <w:sz w:val="20"/>
          <w:szCs w:val="20"/>
          <w:lang w:val="en-GB"/>
        </w:rPr>
        <w:t xml:space="preserve">We used </w:t>
      </w:r>
      <w:r w:rsidR="00016B35">
        <w:rPr>
          <w:color w:val="000000"/>
          <w:sz w:val="20"/>
          <w:szCs w:val="20"/>
          <w:lang w:val="en-GB"/>
        </w:rPr>
        <w:t xml:space="preserve">longitudinal </w:t>
      </w:r>
      <w:r w:rsidR="00016B35" w:rsidRPr="00016B35">
        <w:rPr>
          <w:color w:val="000000"/>
          <w:sz w:val="20"/>
          <w:szCs w:val="20"/>
          <w:lang w:val="en-GB"/>
        </w:rPr>
        <w:t>data from the Future of Families and Child Wellbeing Study (FFCWS) between Years 1–15. Using mixed-effects multilevel modelling</w:t>
      </w:r>
      <w:r w:rsidR="00016B35">
        <w:rPr>
          <w:color w:val="000000"/>
          <w:sz w:val="20"/>
          <w:szCs w:val="20"/>
          <w:lang w:val="en-GB"/>
        </w:rPr>
        <w:t xml:space="preserve"> (MLM)</w:t>
      </w:r>
      <w:r w:rsidR="00016B35" w:rsidRPr="00016B35">
        <w:rPr>
          <w:color w:val="000000"/>
          <w:sz w:val="20"/>
          <w:szCs w:val="20"/>
          <w:lang w:val="en-GB"/>
        </w:rPr>
        <w:t xml:space="preserve">, we </w:t>
      </w:r>
      <w:proofErr w:type="spellStart"/>
      <w:r w:rsidR="00016B35" w:rsidRPr="00016B35">
        <w:rPr>
          <w:color w:val="000000"/>
          <w:sz w:val="20"/>
          <w:szCs w:val="20"/>
          <w:lang w:val="en-GB"/>
        </w:rPr>
        <w:t>analyzed</w:t>
      </w:r>
      <w:proofErr w:type="spellEnd"/>
      <w:r w:rsidR="00016B35" w:rsidRPr="00016B35">
        <w:rPr>
          <w:color w:val="000000"/>
          <w:sz w:val="20"/>
          <w:szCs w:val="20"/>
          <w:lang w:val="en-GB"/>
        </w:rPr>
        <w:t xml:space="preserve"> changes in, and predictors of maternal stress over time for mothers with ID (n=89), borderline IF (n=346), and without ID (n=1,898).</w:t>
      </w:r>
      <w:r w:rsidR="00016B35">
        <w:rPr>
          <w:color w:val="000000"/>
          <w:sz w:val="20"/>
          <w:szCs w:val="20"/>
          <w:lang w:val="en-GB"/>
        </w:rPr>
        <w:t xml:space="preserve"> A two-step MLM </w:t>
      </w:r>
      <w:r w:rsidR="00016B35" w:rsidRPr="00016B35">
        <w:rPr>
          <w:color w:val="000000"/>
          <w:sz w:val="20"/>
          <w:szCs w:val="20"/>
        </w:rPr>
        <w:t>model-building process</w:t>
      </w:r>
      <w:r w:rsidR="00016B35">
        <w:rPr>
          <w:color w:val="000000"/>
          <w:sz w:val="20"/>
          <w:szCs w:val="20"/>
        </w:rPr>
        <w:t xml:space="preserve"> was employed in which 1) maternal ID was first entered in the unadjusted model to understand the crude differences between mothers with ID, borderline IF, and without ID, and 2) all other variables were then added in the final model to estimate their effects on maternal stress over time. </w:t>
      </w:r>
      <w:r w:rsidR="00016B35" w:rsidRPr="00016B35">
        <w:rPr>
          <w:color w:val="000000"/>
          <w:sz w:val="20"/>
          <w:szCs w:val="20"/>
        </w:rPr>
        <w:t xml:space="preserve">We </w:t>
      </w:r>
      <w:r w:rsidR="00016B35">
        <w:rPr>
          <w:color w:val="000000"/>
          <w:sz w:val="20"/>
          <w:szCs w:val="20"/>
        </w:rPr>
        <w:t>compared</w:t>
      </w:r>
      <w:r w:rsidR="00016B35" w:rsidRPr="00016B35">
        <w:rPr>
          <w:color w:val="000000"/>
          <w:sz w:val="20"/>
          <w:szCs w:val="20"/>
        </w:rPr>
        <w:t xml:space="preserve"> the log-likelihood (LL), Akaike’s information criterion (AIC), Bayesian information criterion (BIC), and the intraclass correlation coefficient (ICC)</w:t>
      </w:r>
      <w:r w:rsidR="00016B35">
        <w:rPr>
          <w:color w:val="000000"/>
          <w:sz w:val="20"/>
          <w:szCs w:val="20"/>
        </w:rPr>
        <w:t xml:space="preserve"> statistics</w:t>
      </w:r>
      <w:r w:rsidR="00016B35" w:rsidRPr="00016B35">
        <w:rPr>
          <w:color w:val="000000"/>
          <w:sz w:val="20"/>
          <w:szCs w:val="20"/>
        </w:rPr>
        <w:t xml:space="preserve"> to assess the goodness-of-fit from the unadjusted to the final model</w:t>
      </w:r>
      <w:r w:rsidR="00016B35">
        <w:rPr>
          <w:color w:val="000000"/>
          <w:sz w:val="20"/>
          <w:szCs w:val="20"/>
        </w:rPr>
        <w:t xml:space="preserve">. </w:t>
      </w:r>
    </w:p>
    <w:p w14:paraId="1891B8CE" w14:textId="2C979043" w:rsidR="00EA58F9" w:rsidRPr="00DA21E1" w:rsidRDefault="003D6244" w:rsidP="00DA21E1">
      <w:pPr>
        <w:rPr>
          <w:color w:val="000000"/>
          <w:sz w:val="20"/>
          <w:szCs w:val="20"/>
          <w:lang w:val="en-GB"/>
        </w:rPr>
      </w:pPr>
      <w:r>
        <w:rPr>
          <w:b/>
          <w:color w:val="000000"/>
          <w:sz w:val="20"/>
          <w:szCs w:val="20"/>
          <w:lang w:val="en-GB"/>
        </w:rPr>
        <w:t>Results</w:t>
      </w:r>
      <w:r>
        <w:rPr>
          <w:color w:val="000000"/>
          <w:sz w:val="20"/>
          <w:szCs w:val="20"/>
          <w:lang w:val="en-GB"/>
        </w:rPr>
        <w:t>:</w:t>
      </w:r>
      <w:r w:rsidR="00016B35">
        <w:rPr>
          <w:color w:val="000000"/>
          <w:sz w:val="20"/>
          <w:szCs w:val="20"/>
          <w:lang w:val="en-GB"/>
        </w:rPr>
        <w:t xml:space="preserve"> </w:t>
      </w:r>
      <w:r w:rsidR="00016B35" w:rsidRPr="00016B35">
        <w:rPr>
          <w:color w:val="000000"/>
          <w:sz w:val="20"/>
          <w:szCs w:val="20"/>
          <w:lang w:val="en-GB"/>
        </w:rPr>
        <w:t xml:space="preserve">Across Years 1–15, mothers with ID and borderline IF reported </w:t>
      </w:r>
      <w:r w:rsidR="00016B35">
        <w:rPr>
          <w:color w:val="000000"/>
          <w:sz w:val="20"/>
          <w:szCs w:val="20"/>
          <w:lang w:val="en-GB"/>
        </w:rPr>
        <w:t xml:space="preserve">significantly </w:t>
      </w:r>
      <w:r w:rsidR="00016B35" w:rsidRPr="00016B35">
        <w:rPr>
          <w:color w:val="000000"/>
          <w:sz w:val="20"/>
          <w:szCs w:val="20"/>
          <w:lang w:val="en-GB"/>
        </w:rPr>
        <w:t>higher levels of maternal stress compared to mothers without ID</w:t>
      </w:r>
      <w:r w:rsidR="00A509B9">
        <w:rPr>
          <w:color w:val="000000"/>
          <w:sz w:val="20"/>
          <w:szCs w:val="20"/>
          <w:lang w:val="en-GB"/>
        </w:rPr>
        <w:t xml:space="preserve"> (also see Figure 1)</w:t>
      </w:r>
      <w:r w:rsidR="00016B35" w:rsidRPr="00016B35">
        <w:rPr>
          <w:color w:val="000000"/>
          <w:sz w:val="20"/>
          <w:szCs w:val="20"/>
          <w:lang w:val="en-GB"/>
        </w:rPr>
        <w:t>. Maternal stress was especially high for mothers with ID and borderline IF when their children were age</w:t>
      </w:r>
      <w:r w:rsidR="004559CC">
        <w:rPr>
          <w:color w:val="000000"/>
          <w:sz w:val="20"/>
          <w:szCs w:val="20"/>
          <w:lang w:val="en-GB"/>
        </w:rPr>
        <w:t>d</w:t>
      </w:r>
      <w:r w:rsidR="00016B35" w:rsidRPr="00016B35">
        <w:rPr>
          <w:color w:val="000000"/>
          <w:sz w:val="20"/>
          <w:szCs w:val="20"/>
          <w:lang w:val="en-GB"/>
        </w:rPr>
        <w:t xml:space="preserve"> 1–3.</w:t>
      </w:r>
      <w:r w:rsidR="00016B35">
        <w:rPr>
          <w:color w:val="000000"/>
          <w:sz w:val="20"/>
          <w:szCs w:val="20"/>
          <w:lang w:val="en-GB"/>
        </w:rPr>
        <w:t xml:space="preserve"> The differences in maternal stress between mothers with ID/borderline IF and those without ID cannot be </w:t>
      </w:r>
      <w:r w:rsidR="004559CC">
        <w:rPr>
          <w:color w:val="000000"/>
          <w:sz w:val="20"/>
          <w:szCs w:val="20"/>
          <w:lang w:val="en-GB"/>
        </w:rPr>
        <w:t xml:space="preserve">fully </w:t>
      </w:r>
      <w:r w:rsidR="00016B35">
        <w:rPr>
          <w:color w:val="000000"/>
          <w:sz w:val="20"/>
          <w:szCs w:val="20"/>
          <w:lang w:val="en-GB"/>
        </w:rPr>
        <w:t>accounted for by the factors included in the final model.</w:t>
      </w:r>
      <w:r w:rsidR="00016B35" w:rsidRPr="00016B35">
        <w:rPr>
          <w:color w:val="000000"/>
          <w:sz w:val="20"/>
          <w:szCs w:val="20"/>
          <w:lang w:val="en-GB"/>
        </w:rPr>
        <w:t xml:space="preserve"> </w:t>
      </w:r>
      <w:r w:rsidR="00016B35">
        <w:rPr>
          <w:color w:val="000000"/>
          <w:sz w:val="20"/>
          <w:szCs w:val="20"/>
          <w:lang w:val="en-GB"/>
        </w:rPr>
        <w:t>After controlling for maternal ID and child age, the final model shows that m</w:t>
      </w:r>
      <w:r w:rsidR="00016B35" w:rsidRPr="00016B35">
        <w:rPr>
          <w:color w:val="000000"/>
          <w:sz w:val="20"/>
          <w:szCs w:val="20"/>
          <w:lang w:val="en-GB"/>
        </w:rPr>
        <w:t>others who reported receipt of SSI</w:t>
      </w:r>
      <w:r w:rsidR="00016B35">
        <w:rPr>
          <w:color w:val="000000"/>
          <w:sz w:val="20"/>
          <w:szCs w:val="20"/>
          <w:lang w:val="en-GB"/>
        </w:rPr>
        <w:t xml:space="preserve"> </w:t>
      </w:r>
      <w:r w:rsidR="00016B35" w:rsidRPr="00016B35">
        <w:rPr>
          <w:color w:val="000000"/>
          <w:sz w:val="20"/>
          <w:szCs w:val="20"/>
          <w:lang w:val="en-GB"/>
        </w:rPr>
        <w:t>(p=0.04), greater levels of material hardship</w:t>
      </w:r>
      <w:r w:rsidR="00016B35">
        <w:rPr>
          <w:color w:val="000000"/>
          <w:sz w:val="20"/>
          <w:szCs w:val="20"/>
          <w:lang w:val="en-GB"/>
        </w:rPr>
        <w:t xml:space="preserve"> </w:t>
      </w:r>
      <w:r w:rsidR="00016B35" w:rsidRPr="00016B35">
        <w:rPr>
          <w:color w:val="000000"/>
          <w:sz w:val="20"/>
          <w:szCs w:val="20"/>
          <w:lang w:val="en-GB"/>
        </w:rPr>
        <w:t>(p&lt;0.001), and more children in the household</w:t>
      </w:r>
      <w:r w:rsidR="00016B35">
        <w:rPr>
          <w:color w:val="000000"/>
          <w:sz w:val="20"/>
          <w:szCs w:val="20"/>
          <w:lang w:val="en-GB"/>
        </w:rPr>
        <w:t xml:space="preserve"> </w:t>
      </w:r>
      <w:r w:rsidR="00016B35" w:rsidRPr="00016B35">
        <w:rPr>
          <w:color w:val="000000"/>
          <w:sz w:val="20"/>
          <w:szCs w:val="20"/>
          <w:lang w:val="en-GB"/>
        </w:rPr>
        <w:t>(p&lt;0.001) reported higher maternal stress, whereas those who identified as Hispanic</w:t>
      </w:r>
      <w:r w:rsidR="00016B35">
        <w:rPr>
          <w:color w:val="000000"/>
          <w:sz w:val="20"/>
          <w:szCs w:val="20"/>
          <w:lang w:val="en-GB"/>
        </w:rPr>
        <w:t xml:space="preserve"> </w:t>
      </w:r>
      <w:r w:rsidR="00016B35" w:rsidRPr="00016B35">
        <w:rPr>
          <w:color w:val="000000"/>
          <w:sz w:val="20"/>
          <w:szCs w:val="20"/>
          <w:lang w:val="en-GB"/>
        </w:rPr>
        <w:t>(p=0.01), were employed</w:t>
      </w:r>
      <w:r w:rsidR="00016B35">
        <w:rPr>
          <w:color w:val="000000"/>
          <w:sz w:val="20"/>
          <w:szCs w:val="20"/>
          <w:lang w:val="en-GB"/>
        </w:rPr>
        <w:t xml:space="preserve"> </w:t>
      </w:r>
      <w:r w:rsidR="00016B35" w:rsidRPr="00016B35">
        <w:rPr>
          <w:color w:val="000000"/>
          <w:sz w:val="20"/>
          <w:szCs w:val="20"/>
          <w:lang w:val="en-GB"/>
        </w:rPr>
        <w:t>(p&lt;0.001), married/partnered</w:t>
      </w:r>
      <w:r w:rsidR="00016B35">
        <w:rPr>
          <w:color w:val="000000"/>
          <w:sz w:val="20"/>
          <w:szCs w:val="20"/>
          <w:lang w:val="en-GB"/>
        </w:rPr>
        <w:t xml:space="preserve"> </w:t>
      </w:r>
      <w:r w:rsidR="00016B35" w:rsidRPr="00016B35">
        <w:rPr>
          <w:color w:val="000000"/>
          <w:sz w:val="20"/>
          <w:szCs w:val="20"/>
          <w:lang w:val="en-GB"/>
        </w:rPr>
        <w:t>with child’s father (p=0.002), and had greater social support (p&lt;0.001)</w:t>
      </w:r>
      <w:r w:rsidR="00016B35">
        <w:rPr>
          <w:color w:val="000000"/>
          <w:sz w:val="20"/>
          <w:szCs w:val="20"/>
          <w:lang w:val="en-GB"/>
        </w:rPr>
        <w:t xml:space="preserve"> </w:t>
      </w:r>
      <w:r w:rsidR="00016B35" w:rsidRPr="00016B35">
        <w:rPr>
          <w:color w:val="000000"/>
          <w:sz w:val="20"/>
          <w:szCs w:val="20"/>
          <w:lang w:val="en-GB"/>
        </w:rPr>
        <w:t>reported lower maternal stress.</w:t>
      </w:r>
      <w:r w:rsidR="00016B35">
        <w:rPr>
          <w:color w:val="000000"/>
          <w:sz w:val="20"/>
          <w:szCs w:val="20"/>
          <w:lang w:val="en-GB"/>
        </w:rPr>
        <w:t xml:space="preserve"> All model fit statistics improve from the unadjusted to the final model, demonstrating the strength and utility of the MLM. </w:t>
      </w:r>
    </w:p>
    <w:p w14:paraId="025AFE15" w14:textId="36FA6134" w:rsidR="00016B35" w:rsidRPr="00016B35" w:rsidRDefault="003D6244" w:rsidP="003D6244">
      <w:pPr>
        <w:rPr>
          <w:bCs/>
          <w:iCs/>
          <w:color w:val="000000"/>
          <w:sz w:val="20"/>
          <w:szCs w:val="20"/>
        </w:rPr>
      </w:pPr>
      <w:r>
        <w:rPr>
          <w:b/>
          <w:iCs/>
          <w:color w:val="000000"/>
          <w:sz w:val="20"/>
          <w:szCs w:val="20"/>
          <w:lang w:val="en-GB"/>
        </w:rPr>
        <w:t xml:space="preserve">Discussion: </w:t>
      </w:r>
      <w:r w:rsidR="00016B35" w:rsidRPr="00016B35">
        <w:rPr>
          <w:bCs/>
          <w:iCs/>
          <w:color w:val="000000"/>
          <w:sz w:val="20"/>
          <w:szCs w:val="20"/>
        </w:rPr>
        <w:t>To our knowledge, this study is the first longitudinal investigation of maternal stress for mothers with ID</w:t>
      </w:r>
      <w:r w:rsidR="00016B35" w:rsidRPr="00016B35">
        <w:rPr>
          <w:rFonts w:hint="eastAsia"/>
          <w:bCs/>
          <w:iCs/>
          <w:color w:val="000000"/>
          <w:sz w:val="20"/>
          <w:szCs w:val="20"/>
        </w:rPr>
        <w:t xml:space="preserve"> and borderline IF using a large, national longitudinal dataset </w:t>
      </w:r>
      <w:r w:rsidR="00016B35" w:rsidRPr="00016B35">
        <w:rPr>
          <w:bCs/>
          <w:iCs/>
          <w:color w:val="000000"/>
          <w:sz w:val="20"/>
          <w:szCs w:val="20"/>
        </w:rPr>
        <w:t>in the United States.</w:t>
      </w:r>
      <w:r w:rsidR="00016B35">
        <w:rPr>
          <w:bCs/>
          <w:iCs/>
          <w:color w:val="000000"/>
          <w:sz w:val="20"/>
          <w:szCs w:val="20"/>
        </w:rPr>
        <w:t xml:space="preserve"> </w:t>
      </w:r>
      <w:r w:rsidR="00016B35" w:rsidRPr="00016B35">
        <w:rPr>
          <w:bCs/>
          <w:iCs/>
          <w:color w:val="000000"/>
          <w:sz w:val="20"/>
          <w:szCs w:val="20"/>
        </w:rPr>
        <w:t>The consistently elevated levels of maternal stress for mothers with ID and borderline IF compared to mothers without ID may reflect their unique experiences</w:t>
      </w:r>
      <w:r w:rsidR="00016B35">
        <w:rPr>
          <w:bCs/>
          <w:iCs/>
          <w:color w:val="000000"/>
          <w:sz w:val="20"/>
          <w:szCs w:val="20"/>
        </w:rPr>
        <w:t xml:space="preserve"> as parents. It </w:t>
      </w:r>
      <w:r w:rsidR="00016B35" w:rsidRPr="00016B35">
        <w:rPr>
          <w:bCs/>
          <w:iCs/>
          <w:color w:val="000000"/>
          <w:sz w:val="20"/>
          <w:szCs w:val="20"/>
        </w:rPr>
        <w:t>indicate</w:t>
      </w:r>
      <w:r w:rsidR="00016B35">
        <w:rPr>
          <w:bCs/>
          <w:iCs/>
          <w:color w:val="000000"/>
          <w:sz w:val="20"/>
          <w:szCs w:val="20"/>
        </w:rPr>
        <w:t>s</w:t>
      </w:r>
      <w:r w:rsidR="00016B35" w:rsidRPr="00016B35">
        <w:rPr>
          <w:bCs/>
          <w:iCs/>
          <w:color w:val="000000"/>
          <w:sz w:val="20"/>
          <w:szCs w:val="20"/>
        </w:rPr>
        <w:t xml:space="preserve"> the need for developmentally relevant supportive programs and policies </w:t>
      </w:r>
      <w:r w:rsidR="00016B35" w:rsidRPr="00016B35">
        <w:rPr>
          <w:rFonts w:hint="eastAsia"/>
          <w:bCs/>
          <w:iCs/>
          <w:color w:val="000000"/>
          <w:sz w:val="20"/>
          <w:szCs w:val="20"/>
        </w:rPr>
        <w:t>for mothers with ID.</w:t>
      </w:r>
      <w:r w:rsidR="00016B35">
        <w:rPr>
          <w:bCs/>
          <w:iCs/>
          <w:color w:val="000000"/>
          <w:sz w:val="20"/>
          <w:szCs w:val="20"/>
        </w:rPr>
        <w:t xml:space="preserve"> The finding that maternal stress peaked for mothers with ID/borderline IF when their children were aged 1-3 may also signify the importance of providing </w:t>
      </w:r>
      <w:r w:rsidR="004559CC">
        <w:rPr>
          <w:bCs/>
          <w:iCs/>
          <w:color w:val="000000"/>
          <w:sz w:val="20"/>
          <w:szCs w:val="20"/>
        </w:rPr>
        <w:t xml:space="preserve">early </w:t>
      </w:r>
      <w:r w:rsidR="00016B35">
        <w:rPr>
          <w:bCs/>
          <w:iCs/>
          <w:color w:val="000000"/>
          <w:sz w:val="20"/>
          <w:szCs w:val="20"/>
        </w:rPr>
        <w:t>interventions</w:t>
      </w:r>
      <w:r w:rsidR="004559CC">
        <w:rPr>
          <w:bCs/>
          <w:iCs/>
          <w:color w:val="000000"/>
          <w:sz w:val="20"/>
          <w:szCs w:val="20"/>
        </w:rPr>
        <w:t xml:space="preserve"> for parents with ID</w:t>
      </w:r>
      <w:r w:rsidR="00016B35">
        <w:rPr>
          <w:bCs/>
          <w:iCs/>
          <w:color w:val="000000"/>
          <w:sz w:val="20"/>
          <w:szCs w:val="20"/>
        </w:rPr>
        <w:t xml:space="preserve"> during early childhood. In this study, </w:t>
      </w:r>
      <w:r w:rsidR="00016B35" w:rsidRPr="00016B35">
        <w:rPr>
          <w:bCs/>
          <w:iCs/>
          <w:color w:val="000000"/>
          <w:sz w:val="20"/>
          <w:szCs w:val="20"/>
        </w:rPr>
        <w:t>we found that mothers with ID</w:t>
      </w:r>
      <w:r w:rsidR="00016B35">
        <w:rPr>
          <w:bCs/>
          <w:iCs/>
          <w:color w:val="000000"/>
          <w:sz w:val="20"/>
          <w:szCs w:val="20"/>
        </w:rPr>
        <w:t>/</w:t>
      </w:r>
      <w:r w:rsidR="00016B35" w:rsidRPr="00016B35">
        <w:rPr>
          <w:bCs/>
          <w:iCs/>
          <w:color w:val="000000"/>
          <w:sz w:val="20"/>
          <w:szCs w:val="20"/>
        </w:rPr>
        <w:t>borderline IF may experience chronic unemployment/under-employment.</w:t>
      </w:r>
      <w:r w:rsidR="00016B35">
        <w:rPr>
          <w:bCs/>
          <w:iCs/>
          <w:color w:val="000000"/>
          <w:sz w:val="20"/>
          <w:szCs w:val="20"/>
        </w:rPr>
        <w:t xml:space="preserve"> </w:t>
      </w:r>
      <w:r w:rsidR="00016B35" w:rsidRPr="00016B35">
        <w:rPr>
          <w:bCs/>
          <w:iCs/>
          <w:color w:val="000000"/>
          <w:sz w:val="20"/>
          <w:szCs w:val="20"/>
        </w:rPr>
        <w:t>Policies that decrease economic marginalization, including universal basic income programs, job training, and employment opportunities for adults with ID, may have positive impacts on families led by mothers with ID.</w:t>
      </w:r>
      <w:r w:rsidR="00016B35">
        <w:rPr>
          <w:bCs/>
          <w:iCs/>
          <w:color w:val="000000"/>
          <w:sz w:val="20"/>
          <w:szCs w:val="20"/>
        </w:rPr>
        <w:t xml:space="preserve"> Finally, </w:t>
      </w:r>
      <w:r w:rsidR="00016B35" w:rsidRPr="00016B35">
        <w:rPr>
          <w:bCs/>
          <w:iCs/>
          <w:color w:val="000000"/>
          <w:sz w:val="20"/>
          <w:szCs w:val="20"/>
        </w:rPr>
        <w:t>this study identifies marriage/partnership and social support as correlates of better mental health</w:t>
      </w:r>
      <w:r w:rsidR="00016B35">
        <w:rPr>
          <w:bCs/>
          <w:iCs/>
          <w:color w:val="000000"/>
          <w:sz w:val="20"/>
          <w:szCs w:val="20"/>
        </w:rPr>
        <w:t xml:space="preserve"> longitudinally. These findings have important implications for policy and practice to provide long-term support for parents with ID. </w:t>
      </w:r>
    </w:p>
    <w:p w14:paraId="7AC50376" w14:textId="4B5F2CED" w:rsidR="003D6244" w:rsidRPr="001F2FE6" w:rsidRDefault="00510520" w:rsidP="004C2119">
      <w:pPr>
        <w:spacing w:after="0"/>
        <w:rPr>
          <w:color w:val="000000"/>
          <w:sz w:val="20"/>
          <w:szCs w:val="20"/>
          <w:lang w:eastAsia="zh-CN"/>
        </w:rPr>
      </w:pPr>
      <w:r>
        <w:rPr>
          <w:b/>
          <w:color w:val="000000"/>
          <w:sz w:val="20"/>
          <w:szCs w:val="20"/>
          <w:lang w:val="en-GB"/>
        </w:rPr>
        <w:t>Author affiliations</w:t>
      </w:r>
      <w:r w:rsidR="003D6244">
        <w:rPr>
          <w:b/>
          <w:color w:val="000000"/>
          <w:sz w:val="20"/>
          <w:szCs w:val="20"/>
          <w:lang w:val="en-GB"/>
        </w:rPr>
        <w:t xml:space="preserve">: </w:t>
      </w:r>
    </w:p>
    <w:p w14:paraId="7AC50377" w14:textId="35AD3706" w:rsidR="003D6244" w:rsidRPr="008B1E03" w:rsidRDefault="003D6244" w:rsidP="003D6244">
      <w:pPr>
        <w:pStyle w:val="FootnoteText"/>
        <w:rPr>
          <w:lang w:val="en-CA"/>
        </w:rPr>
      </w:pPr>
      <w:r w:rsidRPr="008B1E03">
        <w:rPr>
          <w:rStyle w:val="FootnoteReference"/>
        </w:rPr>
        <w:footnoteRef/>
      </w:r>
      <w:r w:rsidRPr="008B1E03">
        <w:t xml:space="preserve"> </w:t>
      </w:r>
      <w:r w:rsidR="00C64154">
        <w:t>School of Social Work, t</w:t>
      </w:r>
      <w:r w:rsidR="00016B35">
        <w:t xml:space="preserve">he </w:t>
      </w:r>
      <w:r w:rsidR="00016B35" w:rsidRPr="008B1E03">
        <w:rPr>
          <w:lang w:val="en-CA"/>
        </w:rPr>
        <w:t xml:space="preserve">University of </w:t>
      </w:r>
      <w:r w:rsidR="00016B35">
        <w:rPr>
          <w:lang w:val="en-CA"/>
        </w:rPr>
        <w:t xml:space="preserve">Texas at Arlington, TX, USA </w:t>
      </w:r>
    </w:p>
    <w:p w14:paraId="493A274F" w14:textId="4919DB35" w:rsidR="00016B35" w:rsidRPr="008B1E03" w:rsidRDefault="003D6244" w:rsidP="00016B35">
      <w:pPr>
        <w:pStyle w:val="FootnoteText"/>
        <w:rPr>
          <w:lang w:val="en-CA"/>
        </w:rPr>
      </w:pPr>
      <w:r>
        <w:rPr>
          <w:rStyle w:val="FootnoteReference"/>
        </w:rPr>
        <w:t>2</w:t>
      </w:r>
      <w:r w:rsidRPr="008B1E03">
        <w:t xml:space="preserve"> </w:t>
      </w:r>
      <w:r w:rsidR="00C64154">
        <w:t xml:space="preserve">Lurie Institute for Disability Policy, </w:t>
      </w:r>
      <w:r w:rsidR="00016B35">
        <w:rPr>
          <w:lang w:val="en-CA"/>
        </w:rPr>
        <w:t>Brandeis</w:t>
      </w:r>
      <w:r w:rsidR="00016B35" w:rsidRPr="008B1E03">
        <w:rPr>
          <w:lang w:val="en-CA"/>
        </w:rPr>
        <w:t xml:space="preserve"> University</w:t>
      </w:r>
      <w:r w:rsidR="00016B35">
        <w:rPr>
          <w:lang w:val="en-CA"/>
        </w:rPr>
        <w:t>, MA, USA</w:t>
      </w:r>
    </w:p>
    <w:p w14:paraId="5EB3F312" w14:textId="58C94327" w:rsidR="00016B35" w:rsidRDefault="00016B35">
      <w:pPr>
        <w:rPr>
          <w:rFonts w:ascii="Calibri" w:eastAsia="Calibri" w:hAnsi="Calibri" w:cs="Times New Roman"/>
          <w:sz w:val="20"/>
          <w:szCs w:val="20"/>
          <w:lang w:val="en-CA"/>
        </w:rPr>
      </w:pPr>
      <w:r>
        <w:rPr>
          <w:lang w:val="en-CA"/>
        </w:rPr>
        <w:br w:type="page"/>
      </w:r>
    </w:p>
    <w:p w14:paraId="11A0D4A1" w14:textId="6064F2D7" w:rsidR="00016B35" w:rsidRPr="00016B35" w:rsidRDefault="00016B35" w:rsidP="00016B35">
      <w:pPr>
        <w:rPr>
          <w:bCs/>
          <w:iCs/>
          <w:color w:val="000000"/>
          <w:sz w:val="20"/>
          <w:szCs w:val="20"/>
        </w:rPr>
      </w:pPr>
      <w:r w:rsidRPr="00016B35">
        <w:rPr>
          <w:bCs/>
          <w:iCs/>
          <w:color w:val="000000"/>
          <w:sz w:val="20"/>
          <w:szCs w:val="20"/>
        </w:rPr>
        <w:lastRenderedPageBreak/>
        <w:t xml:space="preserve">Figure 1. Unadjusted </w:t>
      </w:r>
      <w:r w:rsidRPr="00016B35">
        <w:rPr>
          <w:rFonts w:hint="eastAsia"/>
          <w:bCs/>
          <w:iCs/>
          <w:color w:val="000000"/>
          <w:sz w:val="20"/>
          <w:szCs w:val="20"/>
        </w:rPr>
        <w:t>means</w:t>
      </w:r>
      <w:r w:rsidRPr="00016B35">
        <w:rPr>
          <w:bCs/>
          <w:iCs/>
          <w:color w:val="000000"/>
          <w:sz w:val="20"/>
          <w:szCs w:val="20"/>
        </w:rPr>
        <w:t xml:space="preserve"> and differences in maternal stress Years 1–15</w:t>
      </w:r>
    </w:p>
    <w:p w14:paraId="3C22246E" w14:textId="0ECEA0B9" w:rsidR="00FD3264" w:rsidRPr="00016B35" w:rsidRDefault="00016B35" w:rsidP="00016B35">
      <w:pPr>
        <w:rPr>
          <w:rFonts w:ascii="Times New Roman" w:hAnsi="Times New Roman" w:cs="Times New Roman"/>
          <w:sz w:val="24"/>
          <w:szCs w:val="24"/>
        </w:rPr>
      </w:pPr>
      <w:r w:rsidRPr="00477349">
        <w:rPr>
          <w:rFonts w:ascii="Times New Roman" w:hAnsi="Times New Roman" w:cs="Times New Roman"/>
          <w:noProof/>
          <w:sz w:val="24"/>
          <w:szCs w:val="24"/>
        </w:rPr>
        <w:drawing>
          <wp:inline distT="0" distB="0" distL="0" distR="0" wp14:anchorId="7CAD0976" wp14:editId="17870EB9">
            <wp:extent cx="4572000" cy="3608705"/>
            <wp:effectExtent l="0" t="0" r="12700" b="10795"/>
            <wp:docPr id="755654340" name="Chart 1">
              <a:extLst xmlns:a="http://schemas.openxmlformats.org/drawingml/2006/main">
                <a:ext uri="{FF2B5EF4-FFF2-40B4-BE49-F238E27FC236}">
                  <a16:creationId xmlns:a16="http://schemas.microsoft.com/office/drawing/2014/main" id="{9AF9AD2A-E02F-440B-BC42-B18DEF0C27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sectPr w:rsidR="00FD3264" w:rsidRPr="00016B35" w:rsidSect="00394E2C">
      <w:headerReference w:type="default" r:id="rId11"/>
      <w:footerReference w:type="default" r:id="rId12"/>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280C6" w14:textId="77777777" w:rsidR="009B69A8" w:rsidRDefault="009B69A8" w:rsidP="00A16498">
      <w:pPr>
        <w:spacing w:after="0" w:line="240" w:lineRule="auto"/>
      </w:pPr>
      <w:r>
        <w:separator/>
      </w:r>
    </w:p>
  </w:endnote>
  <w:endnote w:type="continuationSeparator" w:id="0">
    <w:p w14:paraId="216E8A96" w14:textId="77777777" w:rsidR="009B69A8" w:rsidRDefault="009B69A8"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278A0" w14:textId="77777777" w:rsidR="009B69A8" w:rsidRDefault="009B69A8" w:rsidP="00A16498">
      <w:pPr>
        <w:spacing w:after="0" w:line="240" w:lineRule="auto"/>
      </w:pPr>
      <w:r>
        <w:separator/>
      </w:r>
    </w:p>
  </w:footnote>
  <w:footnote w:type="continuationSeparator" w:id="0">
    <w:p w14:paraId="46147C5D" w14:textId="77777777" w:rsidR="009B69A8" w:rsidRDefault="009B69A8"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0479BBB8"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1233B">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" o:allowincell="f">
              <v:rect id="Rectangle 197" o:spid="_x0000_s1027" style="position:absolute;left:377;top:360;width:925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0479BBB8"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1233B">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" fillcolor="#76923c [2406]" stroked="f" strokecolor="white" strokeweight="2pt">
                <v:textbo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04C1E"/>
    <w:rsid w:val="000130DA"/>
    <w:rsid w:val="00016B35"/>
    <w:rsid w:val="00024EF5"/>
    <w:rsid w:val="00074F4B"/>
    <w:rsid w:val="000C358F"/>
    <w:rsid w:val="000D0162"/>
    <w:rsid w:val="000D2E5A"/>
    <w:rsid w:val="000D2F11"/>
    <w:rsid w:val="000F27EB"/>
    <w:rsid w:val="00192E68"/>
    <w:rsid w:val="00197849"/>
    <w:rsid w:val="001C5B22"/>
    <w:rsid w:val="001C5F66"/>
    <w:rsid w:val="001C735E"/>
    <w:rsid w:val="001F2FE6"/>
    <w:rsid w:val="001F6369"/>
    <w:rsid w:val="00226854"/>
    <w:rsid w:val="00244C29"/>
    <w:rsid w:val="002872AA"/>
    <w:rsid w:val="00300310"/>
    <w:rsid w:val="00312417"/>
    <w:rsid w:val="00316B3B"/>
    <w:rsid w:val="0032171F"/>
    <w:rsid w:val="00324E6F"/>
    <w:rsid w:val="0033415B"/>
    <w:rsid w:val="00350532"/>
    <w:rsid w:val="003535FC"/>
    <w:rsid w:val="00394E2C"/>
    <w:rsid w:val="003B0285"/>
    <w:rsid w:val="003C2A0A"/>
    <w:rsid w:val="003C4D59"/>
    <w:rsid w:val="003D6244"/>
    <w:rsid w:val="003F558A"/>
    <w:rsid w:val="003F6C6A"/>
    <w:rsid w:val="00412A17"/>
    <w:rsid w:val="004446E4"/>
    <w:rsid w:val="004473AC"/>
    <w:rsid w:val="00452576"/>
    <w:rsid w:val="0045428A"/>
    <w:rsid w:val="004559CC"/>
    <w:rsid w:val="004C2119"/>
    <w:rsid w:val="00510520"/>
    <w:rsid w:val="00550360"/>
    <w:rsid w:val="00577DC4"/>
    <w:rsid w:val="005D13F1"/>
    <w:rsid w:val="005F3158"/>
    <w:rsid w:val="0062226A"/>
    <w:rsid w:val="00625543"/>
    <w:rsid w:val="006535AF"/>
    <w:rsid w:val="00656205"/>
    <w:rsid w:val="006637E7"/>
    <w:rsid w:val="00676D49"/>
    <w:rsid w:val="006C05DD"/>
    <w:rsid w:val="0071233B"/>
    <w:rsid w:val="00713624"/>
    <w:rsid w:val="00751FEE"/>
    <w:rsid w:val="007722E4"/>
    <w:rsid w:val="0077649B"/>
    <w:rsid w:val="00777D73"/>
    <w:rsid w:val="007B4CE7"/>
    <w:rsid w:val="00801D2A"/>
    <w:rsid w:val="00810C43"/>
    <w:rsid w:val="00817FE3"/>
    <w:rsid w:val="00847F6D"/>
    <w:rsid w:val="0087492A"/>
    <w:rsid w:val="008938D8"/>
    <w:rsid w:val="008A2BAF"/>
    <w:rsid w:val="008A3F95"/>
    <w:rsid w:val="00933395"/>
    <w:rsid w:val="009462E3"/>
    <w:rsid w:val="00980DAB"/>
    <w:rsid w:val="009A2930"/>
    <w:rsid w:val="009B1DAB"/>
    <w:rsid w:val="009B69A8"/>
    <w:rsid w:val="009E1B56"/>
    <w:rsid w:val="00A01F4D"/>
    <w:rsid w:val="00A16498"/>
    <w:rsid w:val="00A509B9"/>
    <w:rsid w:val="00AB7B37"/>
    <w:rsid w:val="00AD2040"/>
    <w:rsid w:val="00AD24BE"/>
    <w:rsid w:val="00AE4ADB"/>
    <w:rsid w:val="00B226B4"/>
    <w:rsid w:val="00B25603"/>
    <w:rsid w:val="00B4619C"/>
    <w:rsid w:val="00B71AFF"/>
    <w:rsid w:val="00B72241"/>
    <w:rsid w:val="00BA2D2D"/>
    <w:rsid w:val="00BE4BAE"/>
    <w:rsid w:val="00C6243D"/>
    <w:rsid w:val="00C64154"/>
    <w:rsid w:val="00C6437F"/>
    <w:rsid w:val="00C80718"/>
    <w:rsid w:val="00CB00C4"/>
    <w:rsid w:val="00CF3CDF"/>
    <w:rsid w:val="00D22F3C"/>
    <w:rsid w:val="00D46241"/>
    <w:rsid w:val="00D4744E"/>
    <w:rsid w:val="00D60C01"/>
    <w:rsid w:val="00D60D08"/>
    <w:rsid w:val="00D77D6D"/>
    <w:rsid w:val="00DA21E1"/>
    <w:rsid w:val="00DC15FA"/>
    <w:rsid w:val="00E15391"/>
    <w:rsid w:val="00E25AC1"/>
    <w:rsid w:val="00E419E4"/>
    <w:rsid w:val="00EA58F9"/>
    <w:rsid w:val="00EC1345"/>
    <w:rsid w:val="00ED5E0D"/>
    <w:rsid w:val="00F023E6"/>
    <w:rsid w:val="00F11AAC"/>
    <w:rsid w:val="00F2162A"/>
    <w:rsid w:val="00F70A5A"/>
    <w:rsid w:val="00F847F6"/>
    <w:rsid w:val="00FD3264"/>
    <w:rsid w:val="00FE5C78"/>
    <w:rsid w:val="00FF5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CommentReference">
    <w:name w:val="annotation reference"/>
    <w:basedOn w:val="DefaultParagraphFont"/>
    <w:uiPriority w:val="99"/>
    <w:semiHidden/>
    <w:unhideWhenUsed/>
    <w:rsid w:val="00FE5C78"/>
    <w:rPr>
      <w:sz w:val="16"/>
      <w:szCs w:val="16"/>
    </w:rPr>
  </w:style>
  <w:style w:type="paragraph" w:styleId="CommentText">
    <w:name w:val="annotation text"/>
    <w:basedOn w:val="Normal"/>
    <w:link w:val="CommentTextChar"/>
    <w:uiPriority w:val="99"/>
    <w:unhideWhenUsed/>
    <w:rsid w:val="00FE5C78"/>
    <w:pPr>
      <w:spacing w:line="240" w:lineRule="auto"/>
    </w:pPr>
    <w:rPr>
      <w:sz w:val="20"/>
      <w:szCs w:val="20"/>
    </w:rPr>
  </w:style>
  <w:style w:type="character" w:customStyle="1" w:styleId="CommentTextChar">
    <w:name w:val="Comment Text Char"/>
    <w:basedOn w:val="DefaultParagraphFont"/>
    <w:link w:val="CommentText"/>
    <w:uiPriority w:val="99"/>
    <w:rsid w:val="00FE5C78"/>
    <w:rPr>
      <w:sz w:val="20"/>
      <w:szCs w:val="20"/>
    </w:rPr>
  </w:style>
  <w:style w:type="paragraph" w:styleId="CommentSubject">
    <w:name w:val="annotation subject"/>
    <w:basedOn w:val="CommentText"/>
    <w:next w:val="CommentText"/>
    <w:link w:val="CommentSubjectChar"/>
    <w:uiPriority w:val="99"/>
    <w:semiHidden/>
    <w:unhideWhenUsed/>
    <w:rsid w:val="00FE5C78"/>
    <w:rPr>
      <w:b/>
      <w:bCs/>
    </w:rPr>
  </w:style>
  <w:style w:type="character" w:customStyle="1" w:styleId="CommentSubjectChar">
    <w:name w:val="Comment Subject Char"/>
    <w:basedOn w:val="CommentTextChar"/>
    <w:link w:val="CommentSubject"/>
    <w:uiPriority w:val="99"/>
    <w:semiHidden/>
    <w:rsid w:val="00FE5C78"/>
    <w:rPr>
      <w:b/>
      <w:bCs/>
      <w:sz w:val="20"/>
      <w:szCs w:val="20"/>
    </w:rPr>
  </w:style>
  <w:style w:type="paragraph" w:styleId="Revision">
    <w:name w:val="Revision"/>
    <w:hidden/>
    <w:uiPriority w:val="99"/>
    <w:semiHidden/>
    <w:rsid w:val="00FE5C78"/>
    <w:pPr>
      <w:spacing w:after="0" w:line="240" w:lineRule="auto"/>
    </w:pPr>
  </w:style>
  <w:style w:type="paragraph" w:styleId="Caption">
    <w:name w:val="caption"/>
    <w:basedOn w:val="Normal"/>
    <w:next w:val="Normal"/>
    <w:uiPriority w:val="35"/>
    <w:unhideWhenUsed/>
    <w:qFormat/>
    <w:rsid w:val="00016B35"/>
    <w:pPr>
      <w:spacing w:line="240" w:lineRule="auto"/>
    </w:pPr>
    <w:rPr>
      <w:rFonts w:ascii="Times New Roman" w:eastAsia="Times New Roman" w:hAnsi="Times New Roman" w:cs="Times New Roman"/>
      <w:i/>
      <w:iCs/>
      <w:color w:val="1F497D" w:themeColor="text2"/>
      <w:kern w:val="2"/>
      <w:sz w:val="18"/>
      <w:szCs w:val="18"/>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98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weiwenzeng/Desktop/projects/Future%20of%20Families/Book51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Sheet1!$B$20</c:f>
              <c:strCache>
                <c:ptCount val="1"/>
                <c:pt idx="0">
                  <c:v>Mothers with ID</c:v>
                </c:pt>
              </c:strCache>
            </c:strRef>
          </c:tx>
          <c:spPr>
            <a:ln w="19050" cap="rnd">
              <a:solidFill>
                <a:schemeClr val="tx1"/>
              </a:solidFill>
              <a:round/>
            </a:ln>
            <a:effectLst/>
          </c:spPr>
          <c:marker>
            <c:symbol val="circle"/>
            <c:size val="5"/>
            <c:spPr>
              <a:solidFill>
                <a:schemeClr val="tx1"/>
              </a:solidFill>
              <a:ln w="0">
                <a:solidFill>
                  <a:schemeClr val="tx1"/>
                </a:solidFill>
              </a:ln>
              <a:effectLst/>
            </c:spPr>
          </c:marker>
          <c:dLbls>
            <c:dLbl>
              <c:idx val="0"/>
              <c:layout>
                <c:manualLayout>
                  <c:x val="-1.5648526697372281E-2"/>
                  <c:y val="1.20271301752172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26-C74B-859B-D92E52B089D1}"/>
                </c:ext>
              </c:extLst>
            </c:dLbl>
            <c:dLbl>
              <c:idx val="1"/>
              <c:layout>
                <c:manualLayout>
                  <c:x val="-1.5648526697372281E-2"/>
                  <c:y val="-1.20271301752172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26-C74B-859B-D92E52B089D1}"/>
                </c:ext>
              </c:extLst>
            </c:dLbl>
            <c:dLbl>
              <c:idx val="2"/>
              <c:layout>
                <c:manualLayout>
                  <c:x val="-1.2518821357897938E-2"/>
                  <c:y val="-1.20271301752173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E26-C74B-859B-D92E52B089D1}"/>
                </c:ext>
              </c:extLst>
            </c:dLbl>
            <c:dLbl>
              <c:idx val="3"/>
              <c:layout>
                <c:manualLayout>
                  <c:x val="-1.5648526697372395E-2"/>
                  <c:y val="1.60361735669563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26-C74B-859B-D92E52B089D1}"/>
                </c:ext>
              </c:extLst>
            </c:dLbl>
            <c:dLbl>
              <c:idx val="4"/>
              <c:layout>
                <c:manualLayout>
                  <c:x val="-9.389116018423482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E26-C74B-859B-D92E52B089D1}"/>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Sheet1!$C$19:$G$19</c:f>
              <c:strCache>
                <c:ptCount val="5"/>
                <c:pt idx="0">
                  <c:v>Year 1</c:v>
                </c:pt>
                <c:pt idx="1">
                  <c:v>Year 3</c:v>
                </c:pt>
                <c:pt idx="2">
                  <c:v>Year 5</c:v>
                </c:pt>
                <c:pt idx="3">
                  <c:v>Year 9</c:v>
                </c:pt>
                <c:pt idx="4">
                  <c:v>Year 15</c:v>
                </c:pt>
              </c:strCache>
            </c:strRef>
          </c:cat>
          <c:val>
            <c:numRef>
              <c:f>Sheet1!$C$20:$G$20</c:f>
              <c:numCache>
                <c:formatCode>0.00</c:formatCode>
                <c:ptCount val="5"/>
                <c:pt idx="0">
                  <c:v>9.6315790000000003</c:v>
                </c:pt>
                <c:pt idx="1">
                  <c:v>10.206899999999999</c:v>
                </c:pt>
                <c:pt idx="2">
                  <c:v>9.2073169999999998</c:v>
                </c:pt>
                <c:pt idx="3">
                  <c:v>8.4109590000000001</c:v>
                </c:pt>
                <c:pt idx="4">
                  <c:v>8.5806450000000005</c:v>
                </c:pt>
              </c:numCache>
            </c:numRef>
          </c:val>
          <c:smooth val="0"/>
          <c:extLst>
            <c:ext xmlns:c16="http://schemas.microsoft.com/office/drawing/2014/chart" uri="{C3380CC4-5D6E-409C-BE32-E72D297353CC}">
              <c16:uniqueId val="{00000005-8E26-C74B-859B-D92E52B089D1}"/>
            </c:ext>
          </c:extLst>
        </c:ser>
        <c:ser>
          <c:idx val="1"/>
          <c:order val="1"/>
          <c:tx>
            <c:strRef>
              <c:f>Sheet1!$B$21</c:f>
              <c:strCache>
                <c:ptCount val="1"/>
                <c:pt idx="0">
                  <c:v>Mothers with borderline IF</c:v>
                </c:pt>
              </c:strCache>
            </c:strRef>
          </c:tx>
          <c:spPr>
            <a:ln w="28575" cap="rnd">
              <a:solidFill>
                <a:schemeClr val="accent2"/>
              </a:solidFill>
              <a:round/>
            </a:ln>
            <a:effectLst/>
          </c:spPr>
          <c:marker>
            <c:symbol val="diamond"/>
            <c:size val="5"/>
            <c:spPr>
              <a:solidFill>
                <a:schemeClr val="accent2"/>
              </a:solidFill>
              <a:ln w="0">
                <a:noFill/>
              </a:ln>
              <a:effectLst/>
            </c:spPr>
          </c:marker>
          <c:dLbls>
            <c:dLbl>
              <c:idx val="0"/>
              <c:layout>
                <c:manualLayout>
                  <c:x val="-1.2518821357897881E-2"/>
                  <c:y val="1.20271301752172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E26-C74B-859B-D92E52B089D1}"/>
                </c:ext>
              </c:extLst>
            </c:dLbl>
            <c:dLbl>
              <c:idx val="1"/>
              <c:layout>
                <c:manualLayout>
                  <c:x val="-2.1907937376321133E-2"/>
                  <c:y val="-1.60361735669563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E26-C74B-859B-D92E52B089D1}"/>
                </c:ext>
              </c:extLst>
            </c:dLbl>
            <c:dLbl>
              <c:idx val="2"/>
              <c:layout>
                <c:manualLayout>
                  <c:x val="-4.6945580092116836E-2"/>
                  <c:y val="2.8063303742173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E26-C74B-859B-D92E52B089D1}"/>
                </c:ext>
              </c:extLst>
            </c:dLbl>
            <c:dLbl>
              <c:idx val="3"/>
              <c:layout>
                <c:manualLayout>
                  <c:x val="-2.5037642715795647E-2"/>
                  <c:y val="-3.20723471339128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E26-C74B-859B-D92E52B089D1}"/>
                </c:ext>
              </c:extLst>
            </c:dLbl>
            <c:dLbl>
              <c:idx val="4"/>
              <c:layout>
                <c:manualLayout>
                  <c:x val="-1.251882135789793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E26-C74B-859B-D92E52B089D1}"/>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Sheet1!$C$19:$G$19</c:f>
              <c:strCache>
                <c:ptCount val="5"/>
                <c:pt idx="0">
                  <c:v>Year 1</c:v>
                </c:pt>
                <c:pt idx="1">
                  <c:v>Year 3</c:v>
                </c:pt>
                <c:pt idx="2">
                  <c:v>Year 5</c:v>
                </c:pt>
                <c:pt idx="3">
                  <c:v>Year 9</c:v>
                </c:pt>
                <c:pt idx="4">
                  <c:v>Year 15</c:v>
                </c:pt>
              </c:strCache>
            </c:strRef>
          </c:cat>
          <c:val>
            <c:numRef>
              <c:f>Sheet1!$C$21:$G$21</c:f>
              <c:numCache>
                <c:formatCode>0.00</c:formatCode>
                <c:ptCount val="5"/>
                <c:pt idx="0">
                  <c:v>9.0687289999999994</c:v>
                </c:pt>
                <c:pt idx="1">
                  <c:v>9.4005849999999995</c:v>
                </c:pt>
                <c:pt idx="2">
                  <c:v>9.0216049999999992</c:v>
                </c:pt>
                <c:pt idx="3">
                  <c:v>8.5698530000000002</c:v>
                </c:pt>
                <c:pt idx="4">
                  <c:v>8.8380569999999992</c:v>
                </c:pt>
              </c:numCache>
            </c:numRef>
          </c:val>
          <c:smooth val="0"/>
          <c:extLst>
            <c:ext xmlns:c16="http://schemas.microsoft.com/office/drawing/2014/chart" uri="{C3380CC4-5D6E-409C-BE32-E72D297353CC}">
              <c16:uniqueId val="{0000000B-8E26-C74B-859B-D92E52B089D1}"/>
            </c:ext>
          </c:extLst>
        </c:ser>
        <c:ser>
          <c:idx val="2"/>
          <c:order val="2"/>
          <c:tx>
            <c:strRef>
              <c:f>Sheet1!$B$22</c:f>
              <c:strCache>
                <c:ptCount val="1"/>
                <c:pt idx="0">
                  <c:v>Mothers without ID</c:v>
                </c:pt>
              </c:strCache>
            </c:strRef>
          </c:tx>
          <c:spPr>
            <a:ln w="28575" cap="rnd">
              <a:solidFill>
                <a:schemeClr val="accent3"/>
              </a:solidFill>
              <a:round/>
            </a:ln>
            <a:effectLst/>
          </c:spPr>
          <c:marker>
            <c:symbol val="triangle"/>
            <c:size val="5"/>
            <c:spPr>
              <a:solidFill>
                <a:schemeClr val="accent3"/>
              </a:solidFill>
              <a:ln w="0">
                <a:noFill/>
              </a:ln>
              <a:effectLst/>
            </c:spPr>
          </c:marker>
          <c:dLbls>
            <c:dLbl>
              <c:idx val="0"/>
              <c:layout>
                <c:manualLayout>
                  <c:x val="-2.1907937376321247E-2"/>
                  <c:y val="2.40542603504345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E26-C74B-859B-D92E52B089D1}"/>
                </c:ext>
              </c:extLst>
            </c:dLbl>
            <c:dLbl>
              <c:idx val="1"/>
              <c:layout>
                <c:manualLayout>
                  <c:x val="-4.0686169413167987E-2"/>
                  <c:y val="3.60813905256518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E26-C74B-859B-D92E52B089D1}"/>
                </c:ext>
              </c:extLst>
            </c:dLbl>
            <c:dLbl>
              <c:idx val="2"/>
              <c:layout>
                <c:manualLayout>
                  <c:x val="-5.6334696110540206E-2"/>
                  <c:y val="3.20723471339127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E26-C74B-859B-D92E52B089D1}"/>
                </c:ext>
              </c:extLst>
            </c:dLbl>
            <c:dLbl>
              <c:idx val="3"/>
              <c:layout>
                <c:manualLayout>
                  <c:x val="-2.5037642715795647E-2"/>
                  <c:y val="2.8063303742173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E26-C74B-859B-D92E52B089D1}"/>
                </c:ext>
              </c:extLst>
            </c:dLbl>
            <c:dLbl>
              <c:idx val="4"/>
              <c:layout>
                <c:manualLayout>
                  <c:x val="-1.2518821357897938E-2"/>
                  <c:y val="4.00904339173902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E26-C74B-859B-D92E52B089D1}"/>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Sheet1!$C$19:$G$19</c:f>
              <c:strCache>
                <c:ptCount val="5"/>
                <c:pt idx="0">
                  <c:v>Year 1</c:v>
                </c:pt>
                <c:pt idx="1">
                  <c:v>Year 3</c:v>
                </c:pt>
                <c:pt idx="2">
                  <c:v>Year 5</c:v>
                </c:pt>
                <c:pt idx="3">
                  <c:v>Year 9</c:v>
                </c:pt>
                <c:pt idx="4">
                  <c:v>Year 15</c:v>
                </c:pt>
              </c:strCache>
            </c:strRef>
          </c:cat>
          <c:val>
            <c:numRef>
              <c:f>Sheet1!$C$22:$G$22</c:f>
              <c:numCache>
                <c:formatCode>0.00</c:formatCode>
                <c:ptCount val="5"/>
                <c:pt idx="0">
                  <c:v>8.7032220000000002</c:v>
                </c:pt>
                <c:pt idx="1">
                  <c:v>8.9867650000000001</c:v>
                </c:pt>
                <c:pt idx="2">
                  <c:v>8.6898280000000003</c:v>
                </c:pt>
                <c:pt idx="3">
                  <c:v>8.0748759999999997</c:v>
                </c:pt>
                <c:pt idx="4">
                  <c:v>8.2432979999999993</c:v>
                </c:pt>
              </c:numCache>
            </c:numRef>
          </c:val>
          <c:smooth val="0"/>
          <c:extLst>
            <c:ext xmlns:c16="http://schemas.microsoft.com/office/drawing/2014/chart" uri="{C3380CC4-5D6E-409C-BE32-E72D297353CC}">
              <c16:uniqueId val="{00000011-8E26-C74B-859B-D92E52B089D1}"/>
            </c:ext>
          </c:extLst>
        </c:ser>
        <c:dLbls>
          <c:showLegendKey val="0"/>
          <c:showVal val="0"/>
          <c:showCatName val="0"/>
          <c:showSerName val="0"/>
          <c:showPercent val="0"/>
          <c:showBubbleSize val="0"/>
        </c:dLbls>
        <c:marker val="1"/>
        <c:smooth val="0"/>
        <c:axId val="357273808"/>
        <c:axId val="357274640"/>
      </c:lineChart>
      <c:catAx>
        <c:axId val="357273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7274640"/>
        <c:crosses val="autoZero"/>
        <c:auto val="1"/>
        <c:lblAlgn val="ctr"/>
        <c:lblOffset val="100"/>
        <c:noMultiLvlLbl val="0"/>
      </c:catAx>
      <c:valAx>
        <c:axId val="357274640"/>
        <c:scaling>
          <c:orientation val="minMax"/>
          <c:max val="11"/>
          <c:min val="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Maternal Stress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7273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Zeng, Weiwen</cp:lastModifiedBy>
  <cp:revision>10</cp:revision>
  <dcterms:created xsi:type="dcterms:W3CDTF">2023-10-25T01:28:00Z</dcterms:created>
  <dcterms:modified xsi:type="dcterms:W3CDTF">2024-11-04T16:17:00Z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