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C50370" w14:textId="34D73CCE" w:rsidR="003D6244" w:rsidRPr="00EF7452" w:rsidRDefault="003D6244" w:rsidP="003D6244">
      <w:pPr>
        <w:rPr>
          <w:b/>
          <w:bCs/>
          <w:sz w:val="20"/>
          <w:szCs w:val="20"/>
          <w:u w:val="single"/>
        </w:rPr>
      </w:pPr>
      <w:r w:rsidRPr="009E00A7">
        <w:rPr>
          <w:b/>
          <w:sz w:val="20"/>
          <w:szCs w:val="20"/>
        </w:rPr>
        <w:t>Title</w:t>
      </w:r>
      <w:r w:rsidRPr="009E00A7">
        <w:rPr>
          <w:sz w:val="20"/>
          <w:szCs w:val="20"/>
        </w:rPr>
        <w:t xml:space="preserve">: </w:t>
      </w:r>
      <w:r w:rsidR="00EF7452" w:rsidRPr="00EF7452">
        <w:rPr>
          <w:sz w:val="20"/>
          <w:szCs w:val="20"/>
        </w:rPr>
        <w:t>Job Turnover for Autistic Adults</w:t>
      </w:r>
    </w:p>
    <w:p w14:paraId="7AC50371" w14:textId="3AB48F1D" w:rsidR="003D6244" w:rsidRPr="008B25AF" w:rsidRDefault="003D6244" w:rsidP="003D6244">
      <w:pPr>
        <w:rPr>
          <w:sz w:val="20"/>
          <w:szCs w:val="20"/>
          <w:vertAlign w:val="superscript"/>
        </w:rPr>
      </w:pPr>
      <w:r w:rsidRPr="009E00A7">
        <w:rPr>
          <w:b/>
          <w:sz w:val="20"/>
          <w:szCs w:val="20"/>
        </w:rPr>
        <w:t>Authors</w:t>
      </w:r>
      <w:r w:rsidRPr="009E00A7">
        <w:rPr>
          <w:sz w:val="20"/>
          <w:szCs w:val="20"/>
        </w:rPr>
        <w:t xml:space="preserve">: </w:t>
      </w:r>
      <w:r w:rsidR="00EF7452" w:rsidRPr="00EF7452">
        <w:rPr>
          <w:sz w:val="20"/>
          <w:szCs w:val="20"/>
        </w:rPr>
        <w:t>Eman Durrani</w:t>
      </w:r>
      <w:r w:rsidR="008B25AF">
        <w:rPr>
          <w:sz w:val="20"/>
          <w:szCs w:val="20"/>
          <w:vertAlign w:val="superscript"/>
        </w:rPr>
        <w:t>1</w:t>
      </w:r>
      <w:r w:rsidR="00EF7452" w:rsidRPr="00EF7452">
        <w:rPr>
          <w:sz w:val="20"/>
          <w:szCs w:val="20"/>
        </w:rPr>
        <w:t>, Carly Moser</w:t>
      </w:r>
      <w:r w:rsidR="008B25AF">
        <w:rPr>
          <w:sz w:val="20"/>
          <w:szCs w:val="20"/>
        </w:rPr>
        <w:t>, PhD</w:t>
      </w:r>
      <w:r w:rsidR="008B25AF">
        <w:rPr>
          <w:sz w:val="20"/>
          <w:szCs w:val="20"/>
          <w:vertAlign w:val="superscript"/>
        </w:rPr>
        <w:t>1</w:t>
      </w:r>
      <w:r w:rsidR="00EF7452" w:rsidRPr="00EF7452">
        <w:rPr>
          <w:sz w:val="20"/>
          <w:szCs w:val="20"/>
        </w:rPr>
        <w:t>, Leann Smith DaWalt</w:t>
      </w:r>
      <w:r w:rsidR="008B25AF">
        <w:rPr>
          <w:sz w:val="20"/>
          <w:szCs w:val="20"/>
        </w:rPr>
        <w:t>, PhD</w:t>
      </w:r>
      <w:r w:rsidR="008B25AF">
        <w:rPr>
          <w:sz w:val="20"/>
          <w:szCs w:val="20"/>
          <w:vertAlign w:val="superscript"/>
        </w:rPr>
        <w:t>2</w:t>
      </w:r>
      <w:r w:rsidR="00EF7452" w:rsidRPr="00EF7452">
        <w:rPr>
          <w:sz w:val="20"/>
          <w:szCs w:val="20"/>
        </w:rPr>
        <w:t>, and Julie Lounds Taylor</w:t>
      </w:r>
      <w:r w:rsidR="008B25AF">
        <w:rPr>
          <w:sz w:val="20"/>
          <w:szCs w:val="20"/>
        </w:rPr>
        <w:t>, PhD</w:t>
      </w:r>
      <w:r w:rsidR="008B25AF">
        <w:rPr>
          <w:sz w:val="20"/>
          <w:szCs w:val="20"/>
          <w:vertAlign w:val="superscript"/>
        </w:rPr>
        <w:t>1</w:t>
      </w:r>
    </w:p>
    <w:p w14:paraId="77FE6733" w14:textId="223B6F1C" w:rsidR="00452576" w:rsidRDefault="003D6244" w:rsidP="003D6244">
      <w:pPr>
        <w:rPr>
          <w:color w:val="000000"/>
          <w:sz w:val="20"/>
          <w:szCs w:val="20"/>
          <w:lang w:val="en-GB"/>
        </w:rPr>
      </w:pPr>
      <w:r w:rsidRPr="73F69610">
        <w:rPr>
          <w:b/>
          <w:bCs/>
          <w:sz w:val="20"/>
          <w:szCs w:val="20"/>
        </w:rPr>
        <w:t>Introduction</w:t>
      </w:r>
      <w:r w:rsidRPr="73F69610">
        <w:rPr>
          <w:sz w:val="20"/>
          <w:szCs w:val="20"/>
        </w:rPr>
        <w:t xml:space="preserve">: </w:t>
      </w:r>
      <w:r w:rsidR="66868C7E" w:rsidRPr="73F69610">
        <w:rPr>
          <w:sz w:val="20"/>
          <w:szCs w:val="20"/>
        </w:rPr>
        <w:t xml:space="preserve">Burgeoning research </w:t>
      </w:r>
      <w:r w:rsidR="00E549EB" w:rsidRPr="73F69610">
        <w:rPr>
          <w:sz w:val="20"/>
          <w:szCs w:val="20"/>
        </w:rPr>
        <w:t>shows</w:t>
      </w:r>
      <w:r w:rsidR="66868C7E" w:rsidRPr="73F69610">
        <w:rPr>
          <w:sz w:val="20"/>
          <w:szCs w:val="20"/>
        </w:rPr>
        <w:t xml:space="preserve"> that a</w:t>
      </w:r>
      <w:r w:rsidR="66868C7E" w:rsidRPr="73F69610">
        <w:rPr>
          <w:color w:val="000000" w:themeColor="text1"/>
          <w:sz w:val="20"/>
          <w:szCs w:val="20"/>
        </w:rPr>
        <w:t xml:space="preserve">utistic adults </w:t>
      </w:r>
      <w:r w:rsidR="00EF7452" w:rsidRPr="73F69610">
        <w:rPr>
          <w:color w:val="000000" w:themeColor="text1"/>
          <w:sz w:val="20"/>
          <w:szCs w:val="20"/>
        </w:rPr>
        <w:t>face high rates of vocational instability (Howlin et al., 2013; Taylor et al., 2015</w:t>
      </w:r>
      <w:r w:rsidR="2F0146FA" w:rsidRPr="73F69610">
        <w:rPr>
          <w:color w:val="000000" w:themeColor="text1"/>
          <w:sz w:val="20"/>
          <w:szCs w:val="20"/>
        </w:rPr>
        <w:t>;</w:t>
      </w:r>
      <w:r w:rsidR="525EE5E3" w:rsidRPr="73F69610">
        <w:rPr>
          <w:color w:val="000000" w:themeColor="text1"/>
          <w:sz w:val="20"/>
          <w:szCs w:val="20"/>
        </w:rPr>
        <w:t xml:space="preserve"> Taylor &amp; Mailick, 2014</w:t>
      </w:r>
      <w:r w:rsidR="282D2235" w:rsidRPr="73F69610">
        <w:rPr>
          <w:color w:val="000000" w:themeColor="text1"/>
          <w:sz w:val="20"/>
          <w:szCs w:val="20"/>
        </w:rPr>
        <w:t>)</w:t>
      </w:r>
      <w:r w:rsidR="00E549EB" w:rsidRPr="73F69610">
        <w:rPr>
          <w:color w:val="000000" w:themeColor="text1"/>
          <w:sz w:val="20"/>
          <w:szCs w:val="20"/>
        </w:rPr>
        <w:t>.</w:t>
      </w:r>
      <w:r w:rsidR="282D2235" w:rsidRPr="73F69610">
        <w:rPr>
          <w:color w:val="000000" w:themeColor="text1"/>
          <w:sz w:val="20"/>
          <w:szCs w:val="20"/>
        </w:rPr>
        <w:t xml:space="preserve"> Vocational </w:t>
      </w:r>
      <w:r w:rsidR="04A72999" w:rsidRPr="73F69610">
        <w:rPr>
          <w:color w:val="000000" w:themeColor="text1"/>
          <w:sz w:val="20"/>
          <w:szCs w:val="20"/>
        </w:rPr>
        <w:t>i</w:t>
      </w:r>
      <w:r w:rsidR="282D2235" w:rsidRPr="73F69610">
        <w:rPr>
          <w:color w:val="000000" w:themeColor="text1"/>
          <w:sz w:val="20"/>
          <w:szCs w:val="20"/>
        </w:rPr>
        <w:t>nstability could</w:t>
      </w:r>
      <w:r w:rsidR="005129DB" w:rsidRPr="73F69610">
        <w:rPr>
          <w:color w:val="000000" w:themeColor="text1"/>
          <w:sz w:val="20"/>
          <w:szCs w:val="20"/>
        </w:rPr>
        <w:t xml:space="preserve"> be </w:t>
      </w:r>
      <w:r w:rsidR="282D2235" w:rsidRPr="73F69610">
        <w:rPr>
          <w:color w:val="000000" w:themeColor="text1"/>
          <w:sz w:val="20"/>
          <w:szCs w:val="20"/>
        </w:rPr>
        <w:t>due to a variety</w:t>
      </w:r>
      <w:r w:rsidR="005129DB" w:rsidRPr="73F69610">
        <w:rPr>
          <w:color w:val="000000" w:themeColor="text1"/>
          <w:sz w:val="20"/>
          <w:szCs w:val="20"/>
        </w:rPr>
        <w:t xml:space="preserve"> of </w:t>
      </w:r>
      <w:r w:rsidR="282D2235" w:rsidRPr="73F69610">
        <w:rPr>
          <w:color w:val="000000" w:themeColor="text1"/>
          <w:sz w:val="20"/>
          <w:szCs w:val="20"/>
        </w:rPr>
        <w:t>reasons</w:t>
      </w:r>
      <w:r w:rsidR="00E549EB" w:rsidRPr="73F69610">
        <w:rPr>
          <w:color w:val="000000" w:themeColor="text1"/>
          <w:sz w:val="20"/>
          <w:szCs w:val="20"/>
        </w:rPr>
        <w:t xml:space="preserve">, </w:t>
      </w:r>
      <w:r w:rsidR="009D7C30" w:rsidRPr="73F69610">
        <w:rPr>
          <w:color w:val="000000" w:themeColor="text1"/>
          <w:sz w:val="20"/>
          <w:szCs w:val="20"/>
        </w:rPr>
        <w:t>including</w:t>
      </w:r>
      <w:r w:rsidR="5FCE8FEA" w:rsidRPr="73F69610">
        <w:rPr>
          <w:color w:val="000000" w:themeColor="text1"/>
          <w:sz w:val="20"/>
          <w:szCs w:val="20"/>
        </w:rPr>
        <w:t xml:space="preserve"> </w:t>
      </w:r>
      <w:r w:rsidR="005129DB" w:rsidRPr="73F69610">
        <w:rPr>
          <w:color w:val="000000" w:themeColor="text1"/>
          <w:sz w:val="20"/>
          <w:szCs w:val="20"/>
        </w:rPr>
        <w:t xml:space="preserve">upward </w:t>
      </w:r>
      <w:r w:rsidR="52CB3C0A" w:rsidRPr="73F69610">
        <w:rPr>
          <w:color w:val="000000" w:themeColor="text1"/>
          <w:sz w:val="20"/>
          <w:szCs w:val="20"/>
        </w:rPr>
        <w:t xml:space="preserve">job </w:t>
      </w:r>
      <w:r w:rsidR="005129DB" w:rsidRPr="73F69610">
        <w:rPr>
          <w:color w:val="000000" w:themeColor="text1"/>
          <w:sz w:val="20"/>
          <w:szCs w:val="20"/>
        </w:rPr>
        <w:t>mobility</w:t>
      </w:r>
      <w:r w:rsidR="5FCE8FEA" w:rsidRPr="73F69610">
        <w:rPr>
          <w:color w:val="000000" w:themeColor="text1"/>
          <w:sz w:val="20"/>
          <w:szCs w:val="20"/>
        </w:rPr>
        <w:t>,</w:t>
      </w:r>
      <w:r w:rsidR="01240C2C" w:rsidRPr="73F69610">
        <w:rPr>
          <w:color w:val="000000" w:themeColor="text1"/>
          <w:sz w:val="20"/>
          <w:szCs w:val="20"/>
        </w:rPr>
        <w:t xml:space="preserve"> </w:t>
      </w:r>
      <w:r w:rsidR="76A57875" w:rsidRPr="73F69610">
        <w:rPr>
          <w:color w:val="000000" w:themeColor="text1"/>
          <w:sz w:val="20"/>
          <w:szCs w:val="20"/>
        </w:rPr>
        <w:t xml:space="preserve">quitting due to unfavorable job conditions, and </w:t>
      </w:r>
      <w:r w:rsidR="1F79167F" w:rsidRPr="73F69610">
        <w:rPr>
          <w:color w:val="000000" w:themeColor="text1"/>
          <w:sz w:val="20"/>
          <w:szCs w:val="20"/>
        </w:rPr>
        <w:t xml:space="preserve">organizational </w:t>
      </w:r>
      <w:r w:rsidR="009D7C30" w:rsidRPr="73F69610">
        <w:rPr>
          <w:color w:val="000000" w:themeColor="text1"/>
          <w:sz w:val="20"/>
          <w:szCs w:val="20"/>
        </w:rPr>
        <w:t xml:space="preserve">layoffs. However, </w:t>
      </w:r>
      <w:r w:rsidR="282D2235" w:rsidRPr="73F69610">
        <w:rPr>
          <w:color w:val="000000" w:themeColor="text1"/>
          <w:sz w:val="20"/>
          <w:szCs w:val="20"/>
        </w:rPr>
        <w:t>little is known about the reasons</w:t>
      </w:r>
      <w:r w:rsidR="3B55ECC4" w:rsidRPr="73F69610">
        <w:rPr>
          <w:color w:val="000000" w:themeColor="text1"/>
          <w:sz w:val="20"/>
          <w:szCs w:val="20"/>
        </w:rPr>
        <w:t xml:space="preserve"> and circumstances</w:t>
      </w:r>
      <w:r w:rsidR="282D2235" w:rsidRPr="73F69610">
        <w:rPr>
          <w:color w:val="000000" w:themeColor="text1"/>
          <w:sz w:val="20"/>
          <w:szCs w:val="20"/>
        </w:rPr>
        <w:t xml:space="preserve"> </w:t>
      </w:r>
      <w:r w:rsidR="01E07861" w:rsidRPr="73F69610">
        <w:rPr>
          <w:color w:val="000000" w:themeColor="text1"/>
          <w:sz w:val="20"/>
          <w:szCs w:val="20"/>
        </w:rPr>
        <w:t>of</w:t>
      </w:r>
      <w:r w:rsidR="282D2235" w:rsidRPr="73F69610">
        <w:rPr>
          <w:color w:val="000000" w:themeColor="text1"/>
          <w:sz w:val="20"/>
          <w:szCs w:val="20"/>
        </w:rPr>
        <w:t xml:space="preserve"> job turnover for autistic adults.</w:t>
      </w:r>
      <w:r w:rsidR="00EF7452" w:rsidRPr="73F69610">
        <w:rPr>
          <w:color w:val="000000" w:themeColor="text1"/>
          <w:sz w:val="20"/>
          <w:szCs w:val="20"/>
        </w:rPr>
        <w:t xml:space="preserve"> The purpose of this study is to describe the rate and circumstances of job turnover for employed autistic adults over a 12-month period.</w:t>
      </w:r>
    </w:p>
    <w:p w14:paraId="7AC50373" w14:textId="78F11AF7" w:rsidR="003D6244" w:rsidRDefault="003D6244" w:rsidP="003D6244">
      <w:pPr>
        <w:rPr>
          <w:color w:val="000000"/>
          <w:sz w:val="20"/>
          <w:szCs w:val="20"/>
          <w:lang w:val="en-GB"/>
        </w:rPr>
      </w:pPr>
      <w:r w:rsidRPr="73F69610">
        <w:rPr>
          <w:b/>
          <w:bCs/>
          <w:color w:val="000000" w:themeColor="text1"/>
          <w:sz w:val="20"/>
          <w:szCs w:val="20"/>
          <w:lang w:val="en-GB"/>
        </w:rPr>
        <w:t>Method</w:t>
      </w:r>
      <w:r w:rsidRPr="73F69610">
        <w:rPr>
          <w:color w:val="000000" w:themeColor="text1"/>
          <w:sz w:val="20"/>
          <w:szCs w:val="20"/>
          <w:lang w:val="en-GB"/>
        </w:rPr>
        <w:t xml:space="preserve">: </w:t>
      </w:r>
      <w:r w:rsidR="00A0040A" w:rsidRPr="73F69610">
        <w:rPr>
          <w:color w:val="000000" w:themeColor="text1"/>
          <w:sz w:val="20"/>
          <w:szCs w:val="20"/>
        </w:rPr>
        <w:t>Data were analyzed using</w:t>
      </w:r>
      <w:r w:rsidR="00EF7452" w:rsidRPr="73F69610">
        <w:rPr>
          <w:color w:val="000000" w:themeColor="text1"/>
          <w:sz w:val="20"/>
          <w:szCs w:val="20"/>
        </w:rPr>
        <w:t xml:space="preserve"> baseline and 12-month follow-up data from a longitudinal study on employment stability among autistic adults. Participants in this study included </w:t>
      </w:r>
      <w:r w:rsidR="00A0040A" w:rsidRPr="73F69610">
        <w:rPr>
          <w:color w:val="000000" w:themeColor="text1"/>
          <w:sz w:val="20"/>
          <w:szCs w:val="20"/>
        </w:rPr>
        <w:t xml:space="preserve">84 autistic </w:t>
      </w:r>
      <w:r w:rsidR="00EF7452" w:rsidRPr="73F69610">
        <w:rPr>
          <w:color w:val="000000" w:themeColor="text1"/>
          <w:sz w:val="20"/>
          <w:szCs w:val="20"/>
        </w:rPr>
        <w:t xml:space="preserve">adults who were </w:t>
      </w:r>
      <w:r w:rsidR="00A0040A" w:rsidRPr="73F69610">
        <w:rPr>
          <w:color w:val="000000" w:themeColor="text1"/>
          <w:sz w:val="20"/>
          <w:szCs w:val="20"/>
        </w:rPr>
        <w:t xml:space="preserve">employed </w:t>
      </w:r>
      <w:r w:rsidR="00EF7452" w:rsidRPr="73F69610">
        <w:rPr>
          <w:color w:val="000000" w:themeColor="text1"/>
          <w:sz w:val="20"/>
          <w:szCs w:val="20"/>
        </w:rPr>
        <w:t>at baseline and participated at the 12-month follow-up. Participants ranged from 18-35 years old (</w:t>
      </w:r>
      <w:r w:rsidR="00EF7452" w:rsidRPr="73F69610">
        <w:rPr>
          <w:i/>
          <w:iCs/>
          <w:color w:val="000000" w:themeColor="text1"/>
          <w:sz w:val="20"/>
          <w:szCs w:val="20"/>
        </w:rPr>
        <w:t>M=</w:t>
      </w:r>
      <w:r w:rsidR="00EF7452" w:rsidRPr="73F69610">
        <w:rPr>
          <w:color w:val="000000" w:themeColor="text1"/>
          <w:sz w:val="20"/>
          <w:szCs w:val="20"/>
        </w:rPr>
        <w:t xml:space="preserve">26.4) and 62% were male. All participants completed the Vocational and Educational Interview (Taylor &amp; Seltzer, 2012) at both timepoints, allowing us to determine whether adults were working at baseline and if they were at that same job at follow-up. In cases where participants </w:t>
      </w:r>
      <w:r w:rsidR="003C2B46" w:rsidRPr="73F69610">
        <w:rPr>
          <w:color w:val="000000" w:themeColor="text1"/>
          <w:sz w:val="20"/>
          <w:szCs w:val="20"/>
        </w:rPr>
        <w:t>had multiple jobs</w:t>
      </w:r>
      <w:r w:rsidR="00EF7452" w:rsidRPr="73F69610">
        <w:rPr>
          <w:color w:val="000000" w:themeColor="text1"/>
          <w:sz w:val="20"/>
          <w:szCs w:val="20"/>
        </w:rPr>
        <w:t xml:space="preserve">, the job </w:t>
      </w:r>
      <w:r w:rsidR="003C2B46" w:rsidRPr="73F69610">
        <w:rPr>
          <w:color w:val="000000" w:themeColor="text1"/>
          <w:sz w:val="20"/>
          <w:szCs w:val="20"/>
        </w:rPr>
        <w:t>with the</w:t>
      </w:r>
      <w:r w:rsidR="00EF7452" w:rsidRPr="73F69610">
        <w:rPr>
          <w:color w:val="000000" w:themeColor="text1"/>
          <w:sz w:val="20"/>
          <w:szCs w:val="20"/>
        </w:rPr>
        <w:t xml:space="preserve"> most hours was considered their “primary job”. </w:t>
      </w:r>
      <w:r w:rsidR="0022296A" w:rsidRPr="73F69610">
        <w:rPr>
          <w:color w:val="000000" w:themeColor="text1"/>
          <w:sz w:val="20"/>
          <w:szCs w:val="20"/>
        </w:rPr>
        <w:t>Participants were also asked</w:t>
      </w:r>
      <w:r w:rsidR="31349BD3" w:rsidRPr="73F69610">
        <w:rPr>
          <w:color w:val="000000" w:themeColor="text1"/>
          <w:sz w:val="20"/>
          <w:szCs w:val="20"/>
        </w:rPr>
        <w:t xml:space="preserve"> why they left the job</w:t>
      </w:r>
      <w:r w:rsidR="00EF7452" w:rsidRPr="73F69610">
        <w:rPr>
          <w:color w:val="000000" w:themeColor="text1"/>
          <w:sz w:val="20"/>
          <w:szCs w:val="20"/>
        </w:rPr>
        <w:t xml:space="preserve">. </w:t>
      </w:r>
      <w:r w:rsidR="00457D91" w:rsidRPr="73F69610">
        <w:rPr>
          <w:color w:val="000000" w:themeColor="text1"/>
          <w:sz w:val="20"/>
          <w:szCs w:val="20"/>
        </w:rPr>
        <w:t>The reason for job turnover</w:t>
      </w:r>
      <w:r w:rsidR="00F34173" w:rsidRPr="73F69610">
        <w:rPr>
          <w:color w:val="000000" w:themeColor="text1"/>
          <w:sz w:val="20"/>
          <w:szCs w:val="20"/>
        </w:rPr>
        <w:t xml:space="preserve"> </w:t>
      </w:r>
      <w:r w:rsidR="00457D91" w:rsidRPr="73F69610">
        <w:rPr>
          <w:color w:val="000000" w:themeColor="text1"/>
          <w:sz w:val="20"/>
          <w:szCs w:val="20"/>
        </w:rPr>
        <w:t xml:space="preserve">was </w:t>
      </w:r>
      <w:r w:rsidR="00EF7452" w:rsidRPr="73F69610">
        <w:rPr>
          <w:color w:val="000000" w:themeColor="text1"/>
          <w:sz w:val="20"/>
          <w:szCs w:val="20"/>
        </w:rPr>
        <w:t xml:space="preserve">coded as “employer-initiated” if the employer was responsible for the job ending (e.g., fired/asked to leave; job ended), or “employee-initiated” if the employee </w:t>
      </w:r>
      <w:r w:rsidR="002B576C" w:rsidRPr="73F69610">
        <w:rPr>
          <w:color w:val="000000" w:themeColor="text1"/>
          <w:sz w:val="20"/>
          <w:szCs w:val="20"/>
        </w:rPr>
        <w:t>chose to leave the job</w:t>
      </w:r>
      <w:r w:rsidR="00586F7A" w:rsidRPr="73F69610">
        <w:rPr>
          <w:color w:val="000000" w:themeColor="text1"/>
          <w:sz w:val="20"/>
          <w:szCs w:val="20"/>
        </w:rPr>
        <w:t xml:space="preserve"> (e.g., left for a better job; </w:t>
      </w:r>
      <w:r w:rsidR="005E7376" w:rsidRPr="73F69610">
        <w:rPr>
          <w:color w:val="000000" w:themeColor="text1"/>
          <w:sz w:val="20"/>
          <w:szCs w:val="20"/>
        </w:rPr>
        <w:t>chose to leave due to negative work environment</w:t>
      </w:r>
      <w:r w:rsidR="00586F7A" w:rsidRPr="73F69610">
        <w:rPr>
          <w:color w:val="000000" w:themeColor="text1"/>
          <w:sz w:val="20"/>
          <w:szCs w:val="20"/>
        </w:rPr>
        <w:t>)</w:t>
      </w:r>
      <w:r w:rsidR="00EF7452" w:rsidRPr="73F69610">
        <w:rPr>
          <w:color w:val="000000" w:themeColor="text1"/>
          <w:sz w:val="20"/>
          <w:szCs w:val="20"/>
        </w:rPr>
        <w:t>. Descriptive statistics examined frequency of job stability and type of job turnover.</w:t>
      </w:r>
    </w:p>
    <w:p w14:paraId="7AC50374" w14:textId="5A5E10EB" w:rsidR="003D6244" w:rsidRPr="00B111EB" w:rsidRDefault="003D6244" w:rsidP="003D6244">
      <w:pPr>
        <w:rPr>
          <w:color w:val="000000"/>
          <w:sz w:val="20"/>
          <w:szCs w:val="20"/>
          <w:lang w:val="en-GB"/>
        </w:rPr>
      </w:pPr>
      <w:r w:rsidRPr="73F69610">
        <w:rPr>
          <w:b/>
          <w:bCs/>
          <w:color w:val="000000" w:themeColor="text1"/>
          <w:sz w:val="20"/>
          <w:szCs w:val="20"/>
          <w:lang w:val="en-GB"/>
        </w:rPr>
        <w:t>Results</w:t>
      </w:r>
      <w:r w:rsidRPr="73F69610">
        <w:rPr>
          <w:color w:val="000000" w:themeColor="text1"/>
          <w:sz w:val="20"/>
          <w:szCs w:val="20"/>
          <w:lang w:val="en-GB"/>
        </w:rPr>
        <w:t xml:space="preserve">: </w:t>
      </w:r>
      <w:r w:rsidR="00EF7452" w:rsidRPr="73F69610">
        <w:rPr>
          <w:color w:val="000000" w:themeColor="text1"/>
          <w:sz w:val="20"/>
          <w:szCs w:val="20"/>
        </w:rPr>
        <w:t xml:space="preserve">36.9% (n=31) </w:t>
      </w:r>
      <w:r w:rsidR="007A4769" w:rsidRPr="73F69610">
        <w:rPr>
          <w:color w:val="000000" w:themeColor="text1"/>
          <w:sz w:val="20"/>
          <w:szCs w:val="20"/>
        </w:rPr>
        <w:t xml:space="preserve">of participants </w:t>
      </w:r>
      <w:r w:rsidR="00EF7452" w:rsidRPr="73F69610">
        <w:rPr>
          <w:color w:val="000000" w:themeColor="text1"/>
          <w:sz w:val="20"/>
          <w:szCs w:val="20"/>
        </w:rPr>
        <w:t>were no longer working at their same primary job after one year</w:t>
      </w:r>
      <w:r w:rsidR="32A25681" w:rsidRPr="73F69610">
        <w:rPr>
          <w:color w:val="000000" w:themeColor="text1"/>
          <w:sz w:val="20"/>
          <w:szCs w:val="20"/>
        </w:rPr>
        <w:t>,</w:t>
      </w:r>
      <w:r w:rsidR="006329A9" w:rsidRPr="73F69610">
        <w:rPr>
          <w:color w:val="000000" w:themeColor="text1"/>
          <w:sz w:val="20"/>
          <w:szCs w:val="20"/>
        </w:rPr>
        <w:t xml:space="preserve"> of which </w:t>
      </w:r>
      <w:r w:rsidR="61D1A7F7" w:rsidRPr="73F69610">
        <w:rPr>
          <w:color w:val="000000" w:themeColor="text1"/>
          <w:sz w:val="20"/>
          <w:szCs w:val="20"/>
        </w:rPr>
        <w:t>32.2% were not working at all and 67</w:t>
      </w:r>
      <w:r w:rsidR="667E861D" w:rsidRPr="73F69610">
        <w:rPr>
          <w:color w:val="000000" w:themeColor="text1"/>
          <w:sz w:val="20"/>
          <w:szCs w:val="20"/>
        </w:rPr>
        <w:t xml:space="preserve">.8% were still working but </w:t>
      </w:r>
      <w:r w:rsidR="00923FD6" w:rsidRPr="73F69610">
        <w:rPr>
          <w:color w:val="000000" w:themeColor="text1"/>
          <w:sz w:val="20"/>
          <w:szCs w:val="20"/>
        </w:rPr>
        <w:t>not at their</w:t>
      </w:r>
      <w:r w:rsidR="667E861D" w:rsidRPr="73F69610">
        <w:rPr>
          <w:color w:val="000000" w:themeColor="text1"/>
          <w:sz w:val="20"/>
          <w:szCs w:val="20"/>
        </w:rPr>
        <w:t xml:space="preserve"> primary job</w:t>
      </w:r>
      <w:r w:rsidR="00EF7452" w:rsidRPr="73F69610">
        <w:rPr>
          <w:color w:val="000000" w:themeColor="text1"/>
          <w:sz w:val="20"/>
          <w:szCs w:val="20"/>
        </w:rPr>
        <w:t xml:space="preserve">. 74.2% (n=23) reported employee-initiated </w:t>
      </w:r>
      <w:r w:rsidR="007A4769" w:rsidRPr="73F69610">
        <w:rPr>
          <w:color w:val="000000" w:themeColor="text1"/>
          <w:sz w:val="20"/>
          <w:szCs w:val="20"/>
        </w:rPr>
        <w:t>reasons for leaving their primary job</w:t>
      </w:r>
      <w:r w:rsidR="00652E02" w:rsidRPr="73F69610">
        <w:rPr>
          <w:color w:val="000000" w:themeColor="text1"/>
          <w:sz w:val="20"/>
          <w:szCs w:val="20"/>
        </w:rPr>
        <w:t xml:space="preserve">; the majority of </w:t>
      </w:r>
      <w:r w:rsidR="006B5D2A" w:rsidRPr="73F69610">
        <w:rPr>
          <w:color w:val="000000" w:themeColor="text1"/>
          <w:sz w:val="20"/>
          <w:szCs w:val="20"/>
        </w:rPr>
        <w:t xml:space="preserve">these </w:t>
      </w:r>
      <w:r w:rsidR="00652E02" w:rsidRPr="73F69610">
        <w:rPr>
          <w:color w:val="000000" w:themeColor="text1"/>
          <w:sz w:val="20"/>
          <w:szCs w:val="20"/>
        </w:rPr>
        <w:t xml:space="preserve">participants </w:t>
      </w:r>
      <w:r w:rsidR="006329A9" w:rsidRPr="73F69610">
        <w:rPr>
          <w:color w:val="000000" w:themeColor="text1"/>
          <w:sz w:val="20"/>
          <w:szCs w:val="20"/>
        </w:rPr>
        <w:t xml:space="preserve">indicated that </w:t>
      </w:r>
      <w:r w:rsidR="00652E02" w:rsidRPr="73F69610">
        <w:rPr>
          <w:color w:val="000000" w:themeColor="text1"/>
          <w:sz w:val="20"/>
          <w:szCs w:val="20"/>
        </w:rPr>
        <w:t xml:space="preserve">they </w:t>
      </w:r>
      <w:r w:rsidR="00372198" w:rsidRPr="73F69610">
        <w:rPr>
          <w:color w:val="000000" w:themeColor="text1"/>
          <w:sz w:val="20"/>
          <w:szCs w:val="20"/>
        </w:rPr>
        <w:t>resigned</w:t>
      </w:r>
      <w:r w:rsidR="00652E02" w:rsidRPr="73F69610">
        <w:rPr>
          <w:color w:val="000000" w:themeColor="text1"/>
          <w:sz w:val="20"/>
          <w:szCs w:val="20"/>
        </w:rPr>
        <w:t xml:space="preserve"> due to</w:t>
      </w:r>
      <w:r w:rsidR="00372198" w:rsidRPr="73F69610">
        <w:rPr>
          <w:color w:val="000000" w:themeColor="text1"/>
          <w:sz w:val="20"/>
          <w:szCs w:val="20"/>
        </w:rPr>
        <w:t xml:space="preserve"> a</w:t>
      </w:r>
      <w:r w:rsidR="00652E02" w:rsidRPr="73F69610">
        <w:rPr>
          <w:color w:val="000000" w:themeColor="text1"/>
          <w:sz w:val="20"/>
          <w:szCs w:val="20"/>
        </w:rPr>
        <w:t xml:space="preserve"> negative work environment.</w:t>
      </w:r>
      <w:r w:rsidR="007A4769" w:rsidRPr="73F69610">
        <w:rPr>
          <w:color w:val="000000" w:themeColor="text1"/>
          <w:sz w:val="20"/>
          <w:szCs w:val="20"/>
        </w:rPr>
        <w:t xml:space="preserve"> </w:t>
      </w:r>
      <w:r w:rsidR="00EF7452" w:rsidRPr="73F69610">
        <w:rPr>
          <w:color w:val="000000" w:themeColor="text1"/>
          <w:sz w:val="20"/>
          <w:szCs w:val="20"/>
        </w:rPr>
        <w:t xml:space="preserve">25.8% (n= 8) </w:t>
      </w:r>
      <w:r w:rsidR="00652E02" w:rsidRPr="73F69610">
        <w:rPr>
          <w:color w:val="000000" w:themeColor="text1"/>
          <w:sz w:val="20"/>
          <w:szCs w:val="20"/>
        </w:rPr>
        <w:t xml:space="preserve">of participants </w:t>
      </w:r>
      <w:r w:rsidR="00EF7452" w:rsidRPr="73F69610">
        <w:rPr>
          <w:color w:val="000000" w:themeColor="text1"/>
          <w:sz w:val="20"/>
          <w:szCs w:val="20"/>
        </w:rPr>
        <w:t xml:space="preserve">reported employer-initiated </w:t>
      </w:r>
      <w:r w:rsidR="4D48CE09" w:rsidRPr="73F69610">
        <w:rPr>
          <w:color w:val="000000" w:themeColor="text1"/>
          <w:sz w:val="20"/>
          <w:szCs w:val="20"/>
        </w:rPr>
        <w:t>reasons</w:t>
      </w:r>
      <w:r w:rsidR="00652E02" w:rsidRPr="73F69610">
        <w:rPr>
          <w:color w:val="000000" w:themeColor="text1"/>
          <w:sz w:val="20"/>
          <w:szCs w:val="20"/>
        </w:rPr>
        <w:t xml:space="preserve"> for leaving their primary job</w:t>
      </w:r>
      <w:r w:rsidR="00E3755A" w:rsidRPr="73F69610">
        <w:rPr>
          <w:color w:val="000000" w:themeColor="text1"/>
          <w:sz w:val="20"/>
          <w:szCs w:val="20"/>
        </w:rPr>
        <w:t xml:space="preserve">, with </w:t>
      </w:r>
      <w:r w:rsidR="00294761" w:rsidRPr="73F69610">
        <w:rPr>
          <w:color w:val="000000" w:themeColor="text1"/>
          <w:sz w:val="20"/>
          <w:szCs w:val="20"/>
        </w:rPr>
        <w:t>most</w:t>
      </w:r>
      <w:r w:rsidR="00E3755A" w:rsidRPr="73F69610">
        <w:rPr>
          <w:color w:val="000000" w:themeColor="text1"/>
          <w:sz w:val="20"/>
          <w:szCs w:val="20"/>
        </w:rPr>
        <w:t xml:space="preserve"> </w:t>
      </w:r>
      <w:r w:rsidR="0EC0D4AD" w:rsidRPr="73F69610">
        <w:rPr>
          <w:color w:val="000000" w:themeColor="text1"/>
          <w:sz w:val="20"/>
          <w:szCs w:val="20"/>
        </w:rPr>
        <w:t xml:space="preserve">(87.5%) </w:t>
      </w:r>
      <w:r w:rsidR="00E3755A" w:rsidRPr="73F69610">
        <w:rPr>
          <w:color w:val="000000" w:themeColor="text1"/>
          <w:sz w:val="20"/>
          <w:szCs w:val="20"/>
        </w:rPr>
        <w:t>indicating that their position had ended (e.g., seasonal position</w:t>
      </w:r>
      <w:r w:rsidR="42B8AD28" w:rsidRPr="73F69610">
        <w:rPr>
          <w:color w:val="000000" w:themeColor="text1"/>
          <w:sz w:val="20"/>
          <w:szCs w:val="20"/>
        </w:rPr>
        <w:t>, temporary internships</w:t>
      </w:r>
      <w:r w:rsidR="00E3755A" w:rsidRPr="73F69610">
        <w:rPr>
          <w:color w:val="000000" w:themeColor="text1"/>
          <w:sz w:val="20"/>
          <w:szCs w:val="20"/>
        </w:rPr>
        <w:t xml:space="preserve">). </w:t>
      </w:r>
    </w:p>
    <w:p w14:paraId="25663F55" w14:textId="740A3DC3" w:rsidR="000352B9" w:rsidRDefault="003D6244" w:rsidP="464D7752">
      <w:pPr>
        <w:rPr>
          <w:color w:val="000000" w:themeColor="text1"/>
          <w:sz w:val="20"/>
          <w:szCs w:val="20"/>
        </w:rPr>
      </w:pPr>
      <w:r w:rsidRPr="73F69610">
        <w:rPr>
          <w:b/>
          <w:bCs/>
          <w:color w:val="000000" w:themeColor="text1"/>
          <w:sz w:val="20"/>
          <w:szCs w:val="20"/>
          <w:lang w:val="en-GB"/>
        </w:rPr>
        <w:t xml:space="preserve">Discussion: </w:t>
      </w:r>
      <w:r w:rsidR="00EF7452" w:rsidRPr="73F69610">
        <w:rPr>
          <w:color w:val="000000" w:themeColor="text1"/>
          <w:sz w:val="20"/>
          <w:szCs w:val="20"/>
        </w:rPr>
        <w:t>These findings provide further evidence for high rates of job turnover for autistic adults</w:t>
      </w:r>
      <w:r w:rsidR="0E27BE00" w:rsidRPr="73F69610">
        <w:rPr>
          <w:color w:val="000000" w:themeColor="text1"/>
          <w:sz w:val="20"/>
          <w:szCs w:val="20"/>
        </w:rPr>
        <w:t xml:space="preserve"> (Taylor &amp; DaWalt, 2017).</w:t>
      </w:r>
      <w:r w:rsidR="00FF6EB4" w:rsidRPr="73F69610">
        <w:rPr>
          <w:color w:val="000000" w:themeColor="text1"/>
          <w:sz w:val="20"/>
          <w:szCs w:val="20"/>
        </w:rPr>
        <w:t xml:space="preserve"> </w:t>
      </w:r>
      <w:r w:rsidR="19B5DEEF" w:rsidRPr="73F69610">
        <w:rPr>
          <w:color w:val="000000" w:themeColor="text1"/>
          <w:sz w:val="20"/>
          <w:szCs w:val="20"/>
        </w:rPr>
        <w:t>Of those who left their jobs, f</w:t>
      </w:r>
      <w:r w:rsidR="00FF6EB4" w:rsidRPr="73F69610">
        <w:rPr>
          <w:color w:val="000000" w:themeColor="text1"/>
          <w:sz w:val="20"/>
          <w:szCs w:val="20"/>
        </w:rPr>
        <w:t xml:space="preserve">ew </w:t>
      </w:r>
      <w:r w:rsidR="00E83548" w:rsidRPr="73F69610">
        <w:rPr>
          <w:color w:val="000000" w:themeColor="text1"/>
          <w:sz w:val="20"/>
          <w:szCs w:val="20"/>
        </w:rPr>
        <w:t xml:space="preserve">reported </w:t>
      </w:r>
      <w:r w:rsidR="00FF6EB4" w:rsidRPr="73F69610">
        <w:rPr>
          <w:color w:val="000000" w:themeColor="text1"/>
          <w:sz w:val="20"/>
          <w:szCs w:val="20"/>
        </w:rPr>
        <w:t>better job opportunities as a reason for leaving, consistent with prior literature indicating minimal opportun</w:t>
      </w:r>
      <w:r w:rsidR="000C1A7A" w:rsidRPr="73F69610">
        <w:rPr>
          <w:color w:val="000000" w:themeColor="text1"/>
          <w:sz w:val="20"/>
          <w:szCs w:val="20"/>
        </w:rPr>
        <w:t>ity for career progression</w:t>
      </w:r>
      <w:r w:rsidR="00FF6EB4" w:rsidRPr="73F69610">
        <w:rPr>
          <w:color w:val="000000" w:themeColor="text1"/>
          <w:sz w:val="20"/>
          <w:szCs w:val="20"/>
        </w:rPr>
        <w:t xml:space="preserve"> for autistic adults</w:t>
      </w:r>
      <w:r w:rsidR="00EF7452" w:rsidRPr="73F69610">
        <w:rPr>
          <w:color w:val="000000" w:themeColor="text1"/>
          <w:sz w:val="20"/>
          <w:szCs w:val="20"/>
        </w:rPr>
        <w:t xml:space="preserve"> </w:t>
      </w:r>
      <w:r w:rsidR="00FF6EB4" w:rsidRPr="73F69610">
        <w:rPr>
          <w:color w:val="000000" w:themeColor="text1"/>
          <w:sz w:val="20"/>
          <w:szCs w:val="20"/>
        </w:rPr>
        <w:t>(</w:t>
      </w:r>
      <w:r w:rsidR="00FF6EB4" w:rsidRPr="73F69610">
        <w:rPr>
          <w:rFonts w:eastAsia="Times New Roman"/>
          <w:sz w:val="20"/>
          <w:szCs w:val="20"/>
        </w:rPr>
        <w:t>Davies et al., 2024</w:t>
      </w:r>
      <w:r w:rsidR="00FF6EB4" w:rsidRPr="73F69610">
        <w:rPr>
          <w:color w:val="000000" w:themeColor="text1"/>
          <w:sz w:val="20"/>
          <w:szCs w:val="20"/>
        </w:rPr>
        <w:t xml:space="preserve">). </w:t>
      </w:r>
      <w:r w:rsidR="3E11E7A7" w:rsidRPr="73F69610">
        <w:rPr>
          <w:color w:val="000000" w:themeColor="text1"/>
          <w:sz w:val="20"/>
          <w:szCs w:val="20"/>
        </w:rPr>
        <w:t>O</w:t>
      </w:r>
      <w:r w:rsidR="4156FF07" w:rsidRPr="73F69610">
        <w:rPr>
          <w:color w:val="000000" w:themeColor="text1"/>
          <w:sz w:val="20"/>
          <w:szCs w:val="20"/>
        </w:rPr>
        <w:t>f those who</w:t>
      </w:r>
      <w:r w:rsidR="3AA8899D" w:rsidRPr="73F69610">
        <w:rPr>
          <w:color w:val="000000" w:themeColor="text1"/>
          <w:sz w:val="20"/>
          <w:szCs w:val="20"/>
        </w:rPr>
        <w:t>s</w:t>
      </w:r>
      <w:r w:rsidR="022806AE" w:rsidRPr="73F69610">
        <w:rPr>
          <w:color w:val="000000" w:themeColor="text1"/>
          <w:sz w:val="20"/>
          <w:szCs w:val="20"/>
        </w:rPr>
        <w:t>e</w:t>
      </w:r>
      <w:r w:rsidR="4156FF07" w:rsidRPr="73F69610">
        <w:rPr>
          <w:color w:val="000000" w:themeColor="text1"/>
          <w:sz w:val="20"/>
          <w:szCs w:val="20"/>
        </w:rPr>
        <w:t xml:space="preserve"> employers discontinued the job, </w:t>
      </w:r>
      <w:r w:rsidR="00E83548" w:rsidRPr="73F69610">
        <w:rPr>
          <w:color w:val="000000" w:themeColor="text1"/>
          <w:sz w:val="20"/>
          <w:szCs w:val="20"/>
        </w:rPr>
        <w:t xml:space="preserve">the </w:t>
      </w:r>
      <w:r w:rsidR="4156FF07" w:rsidRPr="73F69610">
        <w:rPr>
          <w:color w:val="000000" w:themeColor="text1"/>
          <w:sz w:val="20"/>
          <w:szCs w:val="20"/>
        </w:rPr>
        <w:t>ma</w:t>
      </w:r>
      <w:r w:rsidR="62C29CC2" w:rsidRPr="73F69610">
        <w:rPr>
          <w:color w:val="000000" w:themeColor="text1"/>
          <w:sz w:val="20"/>
          <w:szCs w:val="20"/>
        </w:rPr>
        <w:t xml:space="preserve">jority indicated the position </w:t>
      </w:r>
      <w:r w:rsidR="60FE1EF9" w:rsidRPr="73F69610">
        <w:rPr>
          <w:color w:val="000000" w:themeColor="text1"/>
          <w:sz w:val="20"/>
          <w:szCs w:val="20"/>
        </w:rPr>
        <w:t>had ended (i.e., temporary)</w:t>
      </w:r>
      <w:r w:rsidR="62C29CC2" w:rsidRPr="73F69610">
        <w:rPr>
          <w:color w:val="000000" w:themeColor="text1"/>
          <w:sz w:val="20"/>
          <w:szCs w:val="20"/>
        </w:rPr>
        <w:t xml:space="preserve">, </w:t>
      </w:r>
      <w:r w:rsidR="00E83548" w:rsidRPr="73F69610">
        <w:rPr>
          <w:color w:val="000000" w:themeColor="text1"/>
          <w:sz w:val="20"/>
          <w:szCs w:val="20"/>
        </w:rPr>
        <w:t xml:space="preserve">which is </w:t>
      </w:r>
      <w:r w:rsidR="62C29CC2" w:rsidRPr="73F69610">
        <w:rPr>
          <w:color w:val="000000" w:themeColor="text1"/>
          <w:sz w:val="20"/>
          <w:szCs w:val="20"/>
        </w:rPr>
        <w:t>consistent with findings from Wei and colleagues (201</w:t>
      </w:r>
      <w:r w:rsidR="3949E5B8" w:rsidRPr="73F69610">
        <w:rPr>
          <w:color w:val="000000" w:themeColor="text1"/>
          <w:sz w:val="20"/>
          <w:szCs w:val="20"/>
        </w:rPr>
        <w:t>8</w:t>
      </w:r>
      <w:r w:rsidR="62C29CC2" w:rsidRPr="73F69610">
        <w:rPr>
          <w:color w:val="000000" w:themeColor="text1"/>
          <w:sz w:val="20"/>
          <w:szCs w:val="20"/>
        </w:rPr>
        <w:t>)</w:t>
      </w:r>
      <w:r w:rsidR="5391D7A0" w:rsidRPr="73F69610">
        <w:rPr>
          <w:color w:val="000000" w:themeColor="text1"/>
          <w:sz w:val="20"/>
          <w:szCs w:val="20"/>
        </w:rPr>
        <w:t xml:space="preserve"> and suggests the importance of moving towards promoting long-term employment opportunities</w:t>
      </w:r>
      <w:r w:rsidR="62C29CC2" w:rsidRPr="73F69610">
        <w:rPr>
          <w:color w:val="000000" w:themeColor="text1"/>
          <w:sz w:val="20"/>
          <w:szCs w:val="20"/>
        </w:rPr>
        <w:t>.</w:t>
      </w:r>
      <w:r w:rsidR="4156FF07" w:rsidRPr="73F69610">
        <w:rPr>
          <w:color w:val="000000" w:themeColor="text1"/>
          <w:sz w:val="20"/>
          <w:szCs w:val="20"/>
        </w:rPr>
        <w:t xml:space="preserve"> </w:t>
      </w:r>
      <w:r w:rsidR="690982FE" w:rsidRPr="73F69610">
        <w:rPr>
          <w:color w:val="000000" w:themeColor="text1"/>
          <w:sz w:val="20"/>
          <w:szCs w:val="20"/>
        </w:rPr>
        <w:t xml:space="preserve">Our findings also highlight the impact of the work environment on job sustainability for autistic adults, which may suggest </w:t>
      </w:r>
      <w:r w:rsidR="000352B9" w:rsidRPr="73F69610">
        <w:rPr>
          <w:color w:val="000000" w:themeColor="text1"/>
          <w:sz w:val="20"/>
          <w:szCs w:val="20"/>
        </w:rPr>
        <w:t xml:space="preserve">that </w:t>
      </w:r>
      <w:r w:rsidR="690982FE" w:rsidRPr="73F69610">
        <w:rPr>
          <w:color w:val="000000" w:themeColor="text1"/>
          <w:sz w:val="20"/>
          <w:szCs w:val="20"/>
        </w:rPr>
        <w:t xml:space="preserve">cultivating a less stressful work environment could foster sustained employment for autistic adults. </w:t>
      </w:r>
    </w:p>
    <w:p w14:paraId="7AC50376" w14:textId="350E0DA5" w:rsidR="003D6244" w:rsidRDefault="003D6244" w:rsidP="003D6244">
      <w:pPr>
        <w:rPr>
          <w:color w:val="000000"/>
          <w:sz w:val="20"/>
          <w:szCs w:val="20"/>
        </w:rPr>
      </w:pPr>
      <w:r w:rsidRPr="00514B99">
        <w:rPr>
          <w:b/>
          <w:color w:val="000000"/>
          <w:sz w:val="20"/>
          <w:szCs w:val="20"/>
          <w:lang w:val="en-GB"/>
        </w:rPr>
        <w:t>References</w:t>
      </w:r>
      <w:r>
        <w:rPr>
          <w:b/>
          <w:color w:val="000000"/>
          <w:sz w:val="20"/>
          <w:szCs w:val="20"/>
          <w:lang w:val="en-GB"/>
        </w:rPr>
        <w:t xml:space="preserve">: </w:t>
      </w:r>
    </w:p>
    <w:p w14:paraId="0B5D85D2" w14:textId="3B41BC5C" w:rsidR="000C1A7A" w:rsidRDefault="000C1A7A" w:rsidP="008B25AF">
      <w:pPr>
        <w:rPr>
          <w:rFonts w:eastAsia="Times New Roman" w:cstheme="minorHAnsi"/>
          <w:color w:val="000000" w:themeColor="text1"/>
          <w:sz w:val="20"/>
          <w:szCs w:val="20"/>
          <w:lang w:val="fr-FR"/>
        </w:rPr>
      </w:pPr>
      <w:r w:rsidRPr="000C1A7A">
        <w:rPr>
          <w:rFonts w:eastAsia="Times New Roman" w:cstheme="minorHAnsi"/>
          <w:color w:val="000000" w:themeColor="text1"/>
          <w:sz w:val="20"/>
          <w:szCs w:val="20"/>
          <w:lang w:val="fr-FR"/>
        </w:rPr>
        <w:t xml:space="preserve">Davies, J., Romualdez, A. M., Pellicano, E., &amp; Remington, A. (2024). Career progression for autistic people: A scoping review. </w:t>
      </w:r>
      <w:r w:rsidRPr="000C1A7A">
        <w:rPr>
          <w:rFonts w:eastAsia="Times New Roman" w:cstheme="minorHAnsi"/>
          <w:i/>
          <w:iCs/>
          <w:color w:val="000000" w:themeColor="text1"/>
          <w:sz w:val="20"/>
          <w:szCs w:val="20"/>
          <w:lang w:val="fr-FR"/>
        </w:rPr>
        <w:t>Autism</w:t>
      </w:r>
      <w:r w:rsidRPr="000C1A7A">
        <w:rPr>
          <w:rFonts w:eastAsia="Times New Roman" w:cstheme="minorHAnsi"/>
          <w:color w:val="000000" w:themeColor="text1"/>
          <w:sz w:val="20"/>
          <w:szCs w:val="20"/>
          <w:lang w:val="fr-FR"/>
        </w:rPr>
        <w:t>, 28(11), 2690-2706. https://doi.org/10.1177/13623613241236110</w:t>
      </w:r>
    </w:p>
    <w:p w14:paraId="6F0C1FCB" w14:textId="5BE8C1BE" w:rsidR="008B25AF" w:rsidRDefault="008B25AF" w:rsidP="008B25AF">
      <w:pPr>
        <w:rPr>
          <w:rFonts w:cstheme="minorHAnsi"/>
          <w:sz w:val="20"/>
          <w:szCs w:val="20"/>
        </w:rPr>
      </w:pPr>
      <w:r w:rsidRPr="008B25AF">
        <w:rPr>
          <w:rFonts w:eastAsia="Times New Roman" w:cstheme="minorHAnsi"/>
          <w:color w:val="000000" w:themeColor="text1"/>
          <w:sz w:val="20"/>
          <w:szCs w:val="20"/>
          <w:lang w:val="fr-FR"/>
        </w:rPr>
        <w:t xml:space="preserve">Howlin, P., Moss, P., Savage, S., &amp; Rutter, M. (2013). </w:t>
      </w:r>
      <w:r w:rsidRPr="008B25AF">
        <w:rPr>
          <w:rFonts w:eastAsia="Times New Roman" w:cstheme="minorHAnsi"/>
          <w:color w:val="000000" w:themeColor="text1"/>
          <w:sz w:val="20"/>
          <w:szCs w:val="20"/>
        </w:rPr>
        <w:t>Social outcomes in mid- to later adulthood among individuals diagnosed with autism and average nonverbal IQ as children. </w:t>
      </w:r>
      <w:r w:rsidRPr="008B25AF">
        <w:rPr>
          <w:rFonts w:eastAsia="Times New Roman" w:cstheme="minorHAnsi"/>
          <w:i/>
          <w:iCs/>
          <w:color w:val="000000" w:themeColor="text1"/>
          <w:sz w:val="20"/>
          <w:szCs w:val="20"/>
        </w:rPr>
        <w:t>Journal of the American Academy of Child and Adolescent Psychiatry</w:t>
      </w:r>
      <w:r w:rsidRPr="008B25AF">
        <w:rPr>
          <w:rFonts w:eastAsia="Times New Roman" w:cstheme="minorHAnsi"/>
          <w:color w:val="000000" w:themeColor="text1"/>
          <w:sz w:val="20"/>
          <w:szCs w:val="20"/>
        </w:rPr>
        <w:t>, </w:t>
      </w:r>
      <w:r w:rsidRPr="008B25AF">
        <w:rPr>
          <w:rFonts w:eastAsia="Times New Roman" w:cstheme="minorHAnsi"/>
          <w:i/>
          <w:iCs/>
          <w:color w:val="000000" w:themeColor="text1"/>
          <w:sz w:val="20"/>
          <w:szCs w:val="20"/>
        </w:rPr>
        <w:t>52</w:t>
      </w:r>
      <w:r w:rsidRPr="008B25AF">
        <w:rPr>
          <w:rFonts w:eastAsia="Times New Roman" w:cstheme="minorHAnsi"/>
          <w:color w:val="000000" w:themeColor="text1"/>
          <w:sz w:val="20"/>
          <w:szCs w:val="20"/>
        </w:rPr>
        <w:t>(6), 572–81.e1. https://doi.org/10.1016/j.jaac.2013.02.017</w:t>
      </w:r>
      <w:r w:rsidRPr="008B25AF">
        <w:rPr>
          <w:rFonts w:cstheme="minorHAnsi"/>
          <w:sz w:val="20"/>
          <w:szCs w:val="20"/>
        </w:rPr>
        <w:t>. </w:t>
      </w:r>
    </w:p>
    <w:p w14:paraId="7A5711DC" w14:textId="41B7F6A5" w:rsidR="000A72B1" w:rsidRPr="008B25AF" w:rsidRDefault="000A72B1" w:rsidP="008B25AF">
      <w:pPr>
        <w:rPr>
          <w:rFonts w:eastAsia="Times New Roman" w:cstheme="minorHAnsi"/>
          <w:color w:val="000000" w:themeColor="text1"/>
          <w:sz w:val="20"/>
          <w:szCs w:val="20"/>
        </w:rPr>
      </w:pPr>
      <w:r w:rsidRPr="000A72B1">
        <w:rPr>
          <w:rFonts w:eastAsia="Times New Roman" w:cstheme="minorHAnsi"/>
          <w:color w:val="000000" w:themeColor="text1"/>
          <w:sz w:val="20"/>
          <w:szCs w:val="20"/>
        </w:rPr>
        <w:t>Libby, A. M., Ghushchyan, V., McQueen, R. B., &amp; Campbell, J. D. (2010). Economic grand rounds: psychological distress and depression associated with job loss and gain: the social costs of job instability. </w:t>
      </w:r>
      <w:r w:rsidRPr="000A72B1">
        <w:rPr>
          <w:rFonts w:eastAsia="Times New Roman" w:cstheme="minorHAnsi"/>
          <w:i/>
          <w:iCs/>
          <w:color w:val="000000" w:themeColor="text1"/>
          <w:sz w:val="20"/>
          <w:szCs w:val="20"/>
        </w:rPr>
        <w:t>Psychiatric services (Washington, D.C.)</w:t>
      </w:r>
      <w:r w:rsidRPr="000A72B1">
        <w:rPr>
          <w:rFonts w:eastAsia="Times New Roman" w:cstheme="minorHAnsi"/>
          <w:color w:val="000000" w:themeColor="text1"/>
          <w:sz w:val="20"/>
          <w:szCs w:val="20"/>
        </w:rPr>
        <w:t>, </w:t>
      </w:r>
      <w:r w:rsidRPr="000A72B1">
        <w:rPr>
          <w:rFonts w:eastAsia="Times New Roman" w:cstheme="minorHAnsi"/>
          <w:i/>
          <w:iCs/>
          <w:color w:val="000000" w:themeColor="text1"/>
          <w:sz w:val="20"/>
          <w:szCs w:val="20"/>
        </w:rPr>
        <w:t>61</w:t>
      </w:r>
      <w:r w:rsidRPr="000A72B1">
        <w:rPr>
          <w:rFonts w:eastAsia="Times New Roman" w:cstheme="minorHAnsi"/>
          <w:color w:val="000000" w:themeColor="text1"/>
          <w:sz w:val="20"/>
          <w:szCs w:val="20"/>
        </w:rPr>
        <w:t>(12), 1178–1180. https://doi.org/10.1176/ps.2010.61.12.1178</w:t>
      </w:r>
    </w:p>
    <w:p w14:paraId="3F2CB05F" w14:textId="6917E5DD" w:rsidR="008B25AF" w:rsidRPr="008B25AF" w:rsidRDefault="008B25AF" w:rsidP="008B25AF">
      <w:pPr>
        <w:rPr>
          <w:rFonts w:eastAsia="Times New Roman"/>
          <w:sz w:val="20"/>
          <w:szCs w:val="20"/>
        </w:rPr>
      </w:pPr>
      <w:r w:rsidRPr="464D7752">
        <w:rPr>
          <w:rFonts w:eastAsia="Times New Roman"/>
          <w:sz w:val="20"/>
          <w:szCs w:val="20"/>
        </w:rPr>
        <w:t xml:space="preserve">Taylor, J. L., Henninger, N. A., &amp; Mailick, M. R. (2015). Longitudinal patterns of employment and postsecondary education for adults with autism and average-range IQ. </w:t>
      </w:r>
      <w:r w:rsidRPr="464D7752">
        <w:rPr>
          <w:rFonts w:eastAsia="Times New Roman"/>
          <w:i/>
          <w:sz w:val="20"/>
          <w:szCs w:val="20"/>
        </w:rPr>
        <w:t>Autism</w:t>
      </w:r>
      <w:r w:rsidRPr="464D7752">
        <w:rPr>
          <w:rFonts w:eastAsia="Times New Roman"/>
          <w:sz w:val="20"/>
          <w:szCs w:val="20"/>
        </w:rPr>
        <w:t xml:space="preserve">, 19(7), 785-793. </w:t>
      </w:r>
      <w:hyperlink r:id="rId10">
        <w:r w:rsidRPr="464D7752">
          <w:rPr>
            <w:rStyle w:val="Hyperlink"/>
            <w:rFonts w:eastAsia="Times New Roman"/>
            <w:sz w:val="20"/>
            <w:szCs w:val="20"/>
          </w:rPr>
          <w:t>https://doi.org/10.1177/1362361315585643 </w:t>
        </w:r>
      </w:hyperlink>
    </w:p>
    <w:p w14:paraId="7E791237" w14:textId="75C16A28" w:rsidR="686029C5" w:rsidRDefault="686029C5" w:rsidP="464D7752">
      <w:pPr>
        <w:rPr>
          <w:rFonts w:eastAsiaTheme="minorEastAsia"/>
          <w:sz w:val="20"/>
          <w:szCs w:val="20"/>
        </w:rPr>
      </w:pPr>
      <w:r w:rsidRPr="464D7752">
        <w:rPr>
          <w:rFonts w:eastAsiaTheme="minorEastAsia"/>
          <w:sz w:val="20"/>
          <w:szCs w:val="20"/>
        </w:rPr>
        <w:t xml:space="preserve">Taylor, J. L., &amp; Mailick, M. R. (2014). A longitudinal examination of 10-year change in vocational and educational activities for adults with autism spectrum disorders. </w:t>
      </w:r>
      <w:r w:rsidRPr="464D7752">
        <w:rPr>
          <w:rFonts w:eastAsiaTheme="minorEastAsia"/>
          <w:i/>
          <w:iCs/>
          <w:sz w:val="20"/>
          <w:szCs w:val="20"/>
        </w:rPr>
        <w:t>Developmental psychology</w:t>
      </w:r>
      <w:r w:rsidRPr="464D7752">
        <w:rPr>
          <w:rFonts w:eastAsiaTheme="minorEastAsia"/>
          <w:sz w:val="20"/>
          <w:szCs w:val="20"/>
        </w:rPr>
        <w:t xml:space="preserve">, </w:t>
      </w:r>
      <w:r w:rsidRPr="464D7752">
        <w:rPr>
          <w:rFonts w:eastAsiaTheme="minorEastAsia"/>
          <w:i/>
          <w:iCs/>
          <w:sz w:val="20"/>
          <w:szCs w:val="20"/>
        </w:rPr>
        <w:t>50</w:t>
      </w:r>
      <w:r w:rsidRPr="464D7752">
        <w:rPr>
          <w:rFonts w:eastAsiaTheme="minorEastAsia"/>
          <w:sz w:val="20"/>
          <w:szCs w:val="20"/>
        </w:rPr>
        <w:t>(3), 699–708. https://doi.org/10.1037/a0034297</w:t>
      </w:r>
    </w:p>
    <w:p w14:paraId="42FFEBF6" w14:textId="7CE36D1D" w:rsidR="008B25AF" w:rsidRPr="008B25AF" w:rsidRDefault="008B25AF" w:rsidP="003D6244">
      <w:pPr>
        <w:rPr>
          <w:sz w:val="20"/>
          <w:szCs w:val="20"/>
        </w:rPr>
      </w:pPr>
      <w:r w:rsidRPr="464D7752">
        <w:rPr>
          <w:sz w:val="20"/>
          <w:szCs w:val="20"/>
        </w:rPr>
        <w:t>Taylor, J. L., &amp; Seltzer, M. M. (2012). Developing a vocational index for adults with autism spectrum disorders. </w:t>
      </w:r>
      <w:r w:rsidRPr="464D7752">
        <w:rPr>
          <w:i/>
          <w:iCs/>
          <w:sz w:val="20"/>
          <w:szCs w:val="20"/>
        </w:rPr>
        <w:t>Journal</w:t>
      </w:r>
      <w:r w:rsidRPr="464D7752">
        <w:rPr>
          <w:i/>
          <w:sz w:val="20"/>
          <w:szCs w:val="20"/>
        </w:rPr>
        <w:t xml:space="preserve"> of autism and developmental disorders</w:t>
      </w:r>
      <w:r w:rsidRPr="464D7752">
        <w:rPr>
          <w:sz w:val="20"/>
          <w:szCs w:val="20"/>
        </w:rPr>
        <w:t>, </w:t>
      </w:r>
      <w:r w:rsidRPr="464D7752">
        <w:rPr>
          <w:i/>
          <w:iCs/>
          <w:sz w:val="20"/>
          <w:szCs w:val="20"/>
        </w:rPr>
        <w:t>42</w:t>
      </w:r>
      <w:r w:rsidRPr="464D7752">
        <w:rPr>
          <w:sz w:val="20"/>
          <w:szCs w:val="20"/>
        </w:rPr>
        <w:t xml:space="preserve">(12), 2669–2679. </w:t>
      </w:r>
      <w:hyperlink r:id="rId11">
        <w:r w:rsidRPr="464D7752">
          <w:rPr>
            <w:rStyle w:val="Hyperlink"/>
            <w:sz w:val="20"/>
            <w:szCs w:val="20"/>
          </w:rPr>
          <w:t>https://doi.org/10.1007/s10803-012-1524-x  </w:t>
        </w:r>
      </w:hyperlink>
    </w:p>
    <w:p w14:paraId="526060D6" w14:textId="61CD1426" w:rsidR="1776065A" w:rsidRDefault="1776065A" w:rsidP="73F69610">
      <w:pPr>
        <w:rPr>
          <w:rFonts w:eastAsiaTheme="minorEastAsia"/>
          <w:sz w:val="20"/>
          <w:szCs w:val="20"/>
        </w:rPr>
      </w:pPr>
      <w:r w:rsidRPr="73F69610">
        <w:rPr>
          <w:rFonts w:eastAsiaTheme="minorEastAsia"/>
          <w:color w:val="212121"/>
          <w:sz w:val="20"/>
          <w:szCs w:val="20"/>
        </w:rPr>
        <w:t>Wei X., Yu J.W., Wagner M.,</w:t>
      </w:r>
      <w:r w:rsidR="29585D12" w:rsidRPr="73F69610">
        <w:rPr>
          <w:rFonts w:eastAsiaTheme="minorEastAsia"/>
          <w:color w:val="212121"/>
          <w:sz w:val="20"/>
          <w:szCs w:val="20"/>
        </w:rPr>
        <w:t xml:space="preserve"> Hudson, L., Roux, A., Shattuck, P. &amp; Blackorby, J.</w:t>
      </w:r>
      <w:r w:rsidRPr="73F69610">
        <w:rPr>
          <w:rFonts w:eastAsiaTheme="minorEastAsia"/>
          <w:color w:val="212121"/>
          <w:sz w:val="20"/>
          <w:szCs w:val="20"/>
        </w:rPr>
        <w:t xml:space="preserve"> (2018)</w:t>
      </w:r>
      <w:r w:rsidR="2863EE13" w:rsidRPr="73F69610">
        <w:rPr>
          <w:rFonts w:eastAsiaTheme="minorEastAsia"/>
          <w:color w:val="212121"/>
          <w:sz w:val="20"/>
          <w:szCs w:val="20"/>
        </w:rPr>
        <w:t xml:space="preserve">. </w:t>
      </w:r>
      <w:r w:rsidRPr="73F69610">
        <w:rPr>
          <w:rFonts w:eastAsiaTheme="minorEastAsia"/>
          <w:color w:val="212121"/>
          <w:sz w:val="20"/>
          <w:szCs w:val="20"/>
        </w:rPr>
        <w:t xml:space="preserve">Job searching, job duration, and job loss among young adults with Autism Spectrum Disorder. </w:t>
      </w:r>
      <w:r w:rsidRPr="73F69610">
        <w:rPr>
          <w:rFonts w:eastAsiaTheme="minorEastAsia"/>
          <w:i/>
          <w:iCs/>
          <w:color w:val="212121"/>
          <w:sz w:val="20"/>
          <w:szCs w:val="20"/>
        </w:rPr>
        <w:t>Journal of Vocational Rehabilitation</w:t>
      </w:r>
      <w:r w:rsidRPr="73F69610">
        <w:rPr>
          <w:rFonts w:eastAsiaTheme="minorEastAsia"/>
          <w:color w:val="212121"/>
          <w:sz w:val="20"/>
          <w:szCs w:val="20"/>
        </w:rPr>
        <w:t xml:space="preserve">. </w:t>
      </w:r>
      <w:r w:rsidRPr="73F69610">
        <w:rPr>
          <w:rFonts w:eastAsiaTheme="minorEastAsia"/>
          <w:i/>
          <w:iCs/>
          <w:color w:val="212121"/>
          <w:sz w:val="20"/>
          <w:szCs w:val="20"/>
        </w:rPr>
        <w:t>48</w:t>
      </w:r>
      <w:r w:rsidRPr="73F69610">
        <w:rPr>
          <w:rFonts w:eastAsiaTheme="minorEastAsia"/>
          <w:color w:val="212121"/>
          <w:sz w:val="20"/>
          <w:szCs w:val="20"/>
        </w:rPr>
        <w:t>(1):1-10. doi:10.3233/JVR-170922</w:t>
      </w:r>
    </w:p>
    <w:p w14:paraId="453BE239" w14:textId="00BB7AE8" w:rsidR="73F69610" w:rsidRDefault="73F69610" w:rsidP="73F69610">
      <w:pPr>
        <w:rPr>
          <w:rFonts w:eastAsiaTheme="minorEastAsia"/>
          <w:color w:val="212121"/>
          <w:sz w:val="20"/>
          <w:szCs w:val="20"/>
        </w:rPr>
      </w:pPr>
    </w:p>
    <w:p w14:paraId="7AC50377" w14:textId="5BCF141C" w:rsidR="003D6244" w:rsidRPr="008B1E03" w:rsidRDefault="003D6244" w:rsidP="73F69610">
      <w:pPr>
        <w:pStyle w:val="FootnoteText"/>
        <w:rPr>
          <w:lang w:val="en-CA"/>
        </w:rPr>
      </w:pPr>
      <w:r w:rsidRPr="008B1E03">
        <w:rPr>
          <w:rStyle w:val="FootnoteReference"/>
        </w:rPr>
        <w:footnoteRef/>
      </w:r>
      <w:r w:rsidRPr="008B1E03">
        <w:t xml:space="preserve"> </w:t>
      </w:r>
      <w:r w:rsidR="008B25AF">
        <w:rPr>
          <w:lang w:val="en-CA"/>
        </w:rPr>
        <w:t>Vanderbilt University Medical Center</w:t>
      </w:r>
    </w:p>
    <w:p w14:paraId="7AC50378" w14:textId="218BEA22" w:rsidR="003D6244" w:rsidRPr="008B1E03" w:rsidRDefault="003D6244" w:rsidP="003D6244">
      <w:pPr>
        <w:pStyle w:val="FootnoteText"/>
        <w:rPr>
          <w:lang w:val="en-CA"/>
        </w:rPr>
      </w:pPr>
      <w:r>
        <w:rPr>
          <w:rStyle w:val="FootnoteReference"/>
        </w:rPr>
        <w:t>2</w:t>
      </w:r>
      <w:r w:rsidRPr="008B1E03">
        <w:t xml:space="preserve"> </w:t>
      </w:r>
      <w:r w:rsidRPr="008B1E03">
        <w:rPr>
          <w:lang w:val="en-CA"/>
        </w:rPr>
        <w:t>Un</w:t>
      </w:r>
      <w:r w:rsidR="008B25AF">
        <w:rPr>
          <w:lang w:val="en-CA"/>
        </w:rPr>
        <w:t>iversity of Wisconsin-Madison</w:t>
      </w:r>
    </w:p>
    <w:p w14:paraId="7AC50379" w14:textId="0FA1CD02" w:rsidR="003D6244" w:rsidRPr="008B1E03" w:rsidRDefault="003D6244" w:rsidP="003D6244">
      <w:pPr>
        <w:pStyle w:val="Footer"/>
        <w:rPr>
          <w:sz w:val="20"/>
          <w:szCs w:val="20"/>
        </w:rPr>
      </w:pPr>
    </w:p>
    <w:p w14:paraId="7AC5037A" w14:textId="77777777" w:rsidR="001C735E" w:rsidRPr="003D6244" w:rsidRDefault="001C735E" w:rsidP="003D6244"/>
    <w:sectPr w:rsidR="001C735E" w:rsidRPr="003D6244" w:rsidSect="00394E2C">
      <w:headerReference w:type="default" r:id="rId12"/>
      <w:footerReference w:type="default" r:id="rId13"/>
      <w:pgSz w:w="12240" w:h="15840"/>
      <w:pgMar w:top="1440" w:right="864" w:bottom="144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3DEA16" w14:textId="77777777" w:rsidR="007D5E84" w:rsidRDefault="007D5E84" w:rsidP="00A16498">
      <w:pPr>
        <w:spacing w:after="0" w:line="240" w:lineRule="auto"/>
      </w:pPr>
      <w:r>
        <w:separator/>
      </w:r>
    </w:p>
  </w:endnote>
  <w:endnote w:type="continuationSeparator" w:id="0">
    <w:p w14:paraId="37456CC4" w14:textId="77777777" w:rsidR="007D5E84" w:rsidRDefault="007D5E84" w:rsidP="00A16498">
      <w:pPr>
        <w:spacing w:after="0" w:line="240" w:lineRule="auto"/>
      </w:pPr>
      <w:r>
        <w:continuationSeparator/>
      </w:r>
    </w:p>
  </w:endnote>
  <w:endnote w:type="continuationNotice" w:id="1">
    <w:p w14:paraId="7433858B" w14:textId="77777777" w:rsidR="007D5E84" w:rsidRDefault="007D5E8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Kefa">
    <w:altName w:val="Ebrima"/>
    <w:charset w:val="00"/>
    <w:family w:val="auto"/>
    <w:pitch w:val="variable"/>
    <w:sig w:usb0="800000AF" w:usb1="4000204B" w:usb2="000008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b/>
        <w:bCs/>
      </w:rPr>
      <w:id w:val="-131603504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b/>
            <w:bCs/>
          </w:rPr>
          <w:id w:val="-1669238322"/>
          <w:docPartObj>
            <w:docPartGallery w:val="Page Numbers (Top of Page)"/>
            <w:docPartUnique/>
          </w:docPartObj>
        </w:sdtPr>
        <w:sdtContent>
          <w:p w14:paraId="7AC50381" w14:textId="77777777" w:rsidR="003D6244" w:rsidRPr="00F361B2" w:rsidRDefault="003D6244" w:rsidP="003D6244">
            <w:pPr>
              <w:pStyle w:val="Footer"/>
              <w:jc w:val="center"/>
              <w:rPr>
                <w:b/>
                <w:sz w:val="20"/>
                <w:szCs w:val="20"/>
              </w:rPr>
            </w:pPr>
            <w:r w:rsidRPr="00F361B2">
              <w:rPr>
                <w:b/>
                <w:sz w:val="20"/>
                <w:szCs w:val="20"/>
              </w:rPr>
              <w:t xml:space="preserve">Page </w:t>
            </w:r>
            <w:r w:rsidRPr="00F361B2">
              <w:rPr>
                <w:b/>
                <w:bCs/>
              </w:rPr>
              <w:fldChar w:fldCharType="begin"/>
            </w:r>
            <w:r w:rsidRPr="00F361B2">
              <w:rPr>
                <w:b/>
                <w:bCs/>
              </w:rPr>
              <w:instrText xml:space="preserve"> PAGE </w:instrText>
            </w:r>
            <w:r w:rsidRPr="00F361B2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 w:rsidRPr="00F361B2">
              <w:rPr>
                <w:b/>
                <w:bCs/>
              </w:rPr>
              <w:fldChar w:fldCharType="end"/>
            </w:r>
            <w:r w:rsidRPr="00F361B2">
              <w:rPr>
                <w:b/>
                <w:sz w:val="20"/>
                <w:szCs w:val="20"/>
              </w:rPr>
              <w:t xml:space="preserve"> of </w:t>
            </w:r>
            <w:r w:rsidRPr="00F361B2">
              <w:rPr>
                <w:b/>
                <w:bCs/>
              </w:rPr>
              <w:fldChar w:fldCharType="begin"/>
            </w:r>
            <w:r w:rsidRPr="00F361B2">
              <w:rPr>
                <w:b/>
                <w:bCs/>
              </w:rPr>
              <w:instrText xml:space="preserve"> NUMPAGES  </w:instrText>
            </w:r>
            <w:r w:rsidRPr="00F361B2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Pr="00F361B2">
              <w:rPr>
                <w:b/>
                <w:bCs/>
              </w:rPr>
              <w:fldChar w:fldCharType="end"/>
            </w:r>
          </w:p>
        </w:sdtContent>
      </w:sdt>
    </w:sdtContent>
  </w:sdt>
  <w:p w14:paraId="7AC50382" w14:textId="77777777" w:rsidR="003D6244" w:rsidRDefault="003D62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523EC3" w14:textId="77777777" w:rsidR="007D5E84" w:rsidRDefault="007D5E84" w:rsidP="00A16498">
      <w:pPr>
        <w:spacing w:after="0" w:line="240" w:lineRule="auto"/>
      </w:pPr>
      <w:r>
        <w:separator/>
      </w:r>
    </w:p>
  </w:footnote>
  <w:footnote w:type="continuationSeparator" w:id="0">
    <w:p w14:paraId="2CD2A1BF" w14:textId="77777777" w:rsidR="007D5E84" w:rsidRDefault="007D5E84" w:rsidP="00A16498">
      <w:pPr>
        <w:spacing w:after="0" w:line="240" w:lineRule="auto"/>
      </w:pPr>
      <w:r>
        <w:continuationSeparator/>
      </w:r>
    </w:p>
  </w:footnote>
  <w:footnote w:type="continuationNotice" w:id="1">
    <w:p w14:paraId="708B1590" w14:textId="77777777" w:rsidR="007D5E84" w:rsidRDefault="007D5E8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C5037F" w14:textId="77777777" w:rsidR="00A16498" w:rsidRDefault="00A16498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0" allowOverlap="1" wp14:anchorId="7AC50383" wp14:editId="6CA41C75">
              <wp:simplePos x="0" y="0"/>
              <wp:positionH relativeFrom="margin">
                <wp:posOffset>-20609</wp:posOffset>
              </wp:positionH>
              <wp:positionV relativeFrom="topMargin">
                <wp:posOffset>228963</wp:posOffset>
              </wp:positionV>
              <wp:extent cx="6669905" cy="457200"/>
              <wp:effectExtent l="12700" t="12700" r="0" b="12700"/>
              <wp:wrapNone/>
              <wp:docPr id="225" name="Group 1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69905" cy="457200"/>
                        <a:chOff x="377" y="360"/>
                        <a:chExt cx="11488" cy="720"/>
                      </a:xfrm>
                    </wpg:grpSpPr>
                    <wps:wsp>
                      <wps:cNvPr id="226" name="Rectangle 197"/>
                      <wps:cNvSpPr>
                        <a:spLocks noChangeArrowheads="1"/>
                      </wps:cNvSpPr>
                      <wps:spPr bwMode="auto">
                        <a:xfrm>
                          <a:off x="377" y="360"/>
                          <a:ext cx="9252" cy="72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444C6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Kefa" w:hAnsi="Kefa"/>
                                <w:b/>
                                <w:color w:val="444C6A"/>
                                <w:sz w:val="36"/>
                                <w:szCs w:val="36"/>
                              </w:rPr>
                              <w:alias w:val="Title"/>
                              <w:id w:val="-1038195335"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Content>
                              <w:p w14:paraId="7AC50385" w14:textId="288197ED" w:rsidR="00A16498" w:rsidRPr="007B4CE7" w:rsidRDefault="00A16498">
                                <w:pPr>
                                  <w:pStyle w:val="Header"/>
                                  <w:rPr>
                                    <w:rFonts w:ascii="Kefa" w:hAnsi="Kefa"/>
                                    <w:b/>
                                    <w:color w:val="444C6A"/>
                                    <w:sz w:val="36"/>
                                    <w:szCs w:val="36"/>
                                  </w:rPr>
                                </w:pPr>
                                <w:r w:rsidRPr="007B4CE7">
                                  <w:rPr>
                                    <w:rFonts w:ascii="Kefa" w:hAnsi="Kefa"/>
                                    <w:b/>
                                    <w:color w:val="444C6A"/>
                                    <w:sz w:val="36"/>
                                    <w:szCs w:val="36"/>
                                  </w:rPr>
                                  <w:t>20</w:t>
                                </w:r>
                                <w:r w:rsidR="003C4D59" w:rsidRPr="007B4CE7">
                                  <w:rPr>
                                    <w:rFonts w:ascii="Kefa" w:hAnsi="Kefa"/>
                                    <w:b/>
                                    <w:color w:val="444C6A"/>
                                    <w:sz w:val="36"/>
                                    <w:szCs w:val="36"/>
                                  </w:rPr>
                                  <w:t>2</w:t>
                                </w:r>
                                <w:r w:rsidR="00EF7452">
                                  <w:rPr>
                                    <w:rFonts w:ascii="Kefa" w:hAnsi="Kefa"/>
                                    <w:b/>
                                    <w:color w:val="444C6A"/>
                                    <w:sz w:val="36"/>
                                    <w:szCs w:val="36"/>
                                  </w:rPr>
                                  <w:t>5</w:t>
                                </w:r>
                                <w:r w:rsidRPr="007B4CE7">
                                  <w:rPr>
                                    <w:rFonts w:ascii="Kefa" w:hAnsi="Kefa"/>
                                    <w:b/>
                                    <w:color w:val="444C6A"/>
                                    <w:sz w:val="36"/>
                                    <w:szCs w:val="36"/>
                                  </w:rPr>
                                  <w:t xml:space="preserve"> Gatlinburg Conference Poster Submission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27" name="Rectangle 198"/>
                      <wps:cNvSpPr>
                        <a:spLocks noChangeArrowheads="1"/>
                      </wps:cNvSpPr>
                      <wps:spPr bwMode="auto">
                        <a:xfrm>
                          <a:off x="9763" y="360"/>
                          <a:ext cx="2102" cy="7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C50386" w14:textId="77777777" w:rsidR="00A16498" w:rsidRPr="006535AF" w:rsidRDefault="00244C29" w:rsidP="009E1B56">
                            <w:pPr>
                              <w:pStyle w:val="Header"/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36"/>
                              </w:rPr>
                            </w:pPr>
                            <w:r w:rsidRPr="006535AF">
                              <w:rPr>
                                <w:b/>
                                <w:color w:val="FFFFFF" w:themeColor="background1"/>
                                <w:sz w:val="40"/>
                                <w:szCs w:val="36"/>
                              </w:rPr>
                              <w:t>EXAMPLE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arto="http://schemas.microsoft.com/office/word/2006/arto">
          <w:pict>
            <v:group id="Group 196" style="position:absolute;margin-left:-1.6pt;margin-top:18.05pt;width:525.2pt;height:36pt;z-index:251659264;mso-position-horizontal-relative:margin;mso-position-vertical-relative:top-margin-area" coordsize="11488,720" coordorigin="377,360" o:spid="_x0000_s1026" o:allowincell="f" w14:anchorId="7AC50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">
              <v:rect id="Rectangle 197" style="position:absolute;left:377;top:360;width:9252;height:720;visibility:visible;mso-wrap-style:square;v-text-anchor:middle" o:spid="_x0000_s1027" filled="f" strokecolor="#444c6a" strokeweight="2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">
                <v:textbox>
                  <w:txbxContent>
                    <w:sdt>
                      <w:sdtPr>
                        <w:rPr>
                          <w:rFonts w:ascii="Kefa" w:hAnsi="Kefa"/>
                          <w:b/>
                          <w:color w:val="444C6A"/>
                          <w:sz w:val="36"/>
                          <w:szCs w:val="36"/>
                        </w:rPr>
                        <w:alias w:val="Title"/>
                        <w:id w:val="-1038195335"/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Content>
                        <w:p w:rsidRPr="007B4CE7" w:rsidR="00A16498" w:rsidRDefault="00A16498" w14:paraId="7AC50385" w14:textId="288197ED">
                          <w:pPr>
                            <w:pStyle w:val="Header"/>
                            <w:rPr>
                              <w:rFonts w:ascii="Kefa" w:hAnsi="Kefa"/>
                              <w:b/>
                              <w:color w:val="444C6A"/>
                              <w:sz w:val="36"/>
                              <w:szCs w:val="36"/>
                            </w:rPr>
                          </w:pPr>
                          <w:r w:rsidRPr="007B4CE7">
                            <w:rPr>
                              <w:rFonts w:ascii="Kefa" w:hAnsi="Kefa"/>
                              <w:b/>
                              <w:color w:val="444C6A"/>
                              <w:sz w:val="36"/>
                              <w:szCs w:val="36"/>
                            </w:rPr>
                            <w:t>20</w:t>
                          </w:r>
                          <w:r w:rsidRPr="007B4CE7" w:rsidR="003C4D59">
                            <w:rPr>
                              <w:rFonts w:ascii="Kefa" w:hAnsi="Kefa"/>
                              <w:b/>
                              <w:color w:val="444C6A"/>
                              <w:sz w:val="36"/>
                              <w:szCs w:val="36"/>
                            </w:rPr>
                            <w:t>2</w:t>
                          </w:r>
                          <w:r w:rsidR="00EF7452">
                            <w:rPr>
                              <w:rFonts w:ascii="Kefa" w:hAnsi="Kefa"/>
                              <w:b/>
                              <w:color w:val="444C6A"/>
                              <w:sz w:val="36"/>
                              <w:szCs w:val="36"/>
                            </w:rPr>
                            <w:t>5</w:t>
                          </w:r>
                          <w:r w:rsidRPr="007B4CE7">
                            <w:rPr>
                              <w:rFonts w:ascii="Kefa" w:hAnsi="Kefa"/>
                              <w:b/>
                              <w:color w:val="444C6A"/>
                              <w:sz w:val="36"/>
                              <w:szCs w:val="36"/>
                            </w:rPr>
                            <w:t xml:space="preserve"> Gatlinburg Conference Poster Submission</w:t>
                          </w:r>
                        </w:p>
                      </w:sdtContent>
                    </w:sdt>
                  </w:txbxContent>
                </v:textbox>
              </v:rect>
              <v:rect id="Rectangle 198" style="position:absolute;left:9763;top:360;width:2102;height:720;visibility:visible;mso-wrap-style:square;v-text-anchor:middle" o:spid="_x0000_s1028" fillcolor="#76923c [2406]" stroked="f" strokecolor="white" strokeweight="2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">
                <v:textbox>
                  <w:txbxContent>
                    <w:p w:rsidRPr="006535AF" w:rsidR="00A16498" w:rsidP="009E1B56" w:rsidRDefault="00244C29" w14:paraId="7AC50386" w14:textId="77777777">
                      <w:pPr>
                        <w:pStyle w:val="Header"/>
                        <w:jc w:val="center"/>
                        <w:rPr>
                          <w:b/>
                          <w:color w:val="FFFFFF" w:themeColor="background1"/>
                          <w:sz w:val="40"/>
                          <w:szCs w:val="36"/>
                        </w:rPr>
                      </w:pPr>
                      <w:r w:rsidRPr="006535AF">
                        <w:rPr>
                          <w:b/>
                          <w:color w:val="FFFFFF" w:themeColor="background1"/>
                          <w:sz w:val="40"/>
                          <w:szCs w:val="36"/>
                        </w:rPr>
                        <w:t>EXAMPLE</w:t>
                      </w:r>
                    </w:p>
                  </w:txbxContent>
                </v:textbox>
              </v:rect>
              <w10:wrap anchorx="margin" anchory="margin"/>
            </v:group>
          </w:pict>
        </mc:Fallback>
      </mc:AlternateContent>
    </w:r>
  </w:p>
  <w:p w14:paraId="7AC50380" w14:textId="77777777" w:rsidR="00A16498" w:rsidRDefault="00A164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1A3CF4"/>
    <w:multiLevelType w:val="hybridMultilevel"/>
    <w:tmpl w:val="53A6A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0652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498"/>
    <w:rsid w:val="000130DA"/>
    <w:rsid w:val="00016002"/>
    <w:rsid w:val="0002338E"/>
    <w:rsid w:val="000352B9"/>
    <w:rsid w:val="00066190"/>
    <w:rsid w:val="000A72B1"/>
    <w:rsid w:val="000B555B"/>
    <w:rsid w:val="000C1A7A"/>
    <w:rsid w:val="000C71D4"/>
    <w:rsid w:val="000D0162"/>
    <w:rsid w:val="000E4EC2"/>
    <w:rsid w:val="00167AA2"/>
    <w:rsid w:val="001C735E"/>
    <w:rsid w:val="002129F7"/>
    <w:rsid w:val="0022296A"/>
    <w:rsid w:val="00226854"/>
    <w:rsid w:val="00244C29"/>
    <w:rsid w:val="002637BB"/>
    <w:rsid w:val="002872AA"/>
    <w:rsid w:val="00294761"/>
    <w:rsid w:val="002A78F6"/>
    <w:rsid w:val="002B576C"/>
    <w:rsid w:val="002D6DC5"/>
    <w:rsid w:val="00300310"/>
    <w:rsid w:val="00312417"/>
    <w:rsid w:val="00316B3B"/>
    <w:rsid w:val="0032171F"/>
    <w:rsid w:val="00324E6F"/>
    <w:rsid w:val="0033415B"/>
    <w:rsid w:val="00372198"/>
    <w:rsid w:val="00394E2C"/>
    <w:rsid w:val="003B0285"/>
    <w:rsid w:val="003B0498"/>
    <w:rsid w:val="003C2A0A"/>
    <w:rsid w:val="003C2B46"/>
    <w:rsid w:val="003C4D59"/>
    <w:rsid w:val="003D379C"/>
    <w:rsid w:val="003D6244"/>
    <w:rsid w:val="003F211A"/>
    <w:rsid w:val="003F558A"/>
    <w:rsid w:val="00406A7B"/>
    <w:rsid w:val="00412A17"/>
    <w:rsid w:val="0044563F"/>
    <w:rsid w:val="004473AC"/>
    <w:rsid w:val="00451C2D"/>
    <w:rsid w:val="00452576"/>
    <w:rsid w:val="0045428A"/>
    <w:rsid w:val="00457D91"/>
    <w:rsid w:val="005129DB"/>
    <w:rsid w:val="0052538D"/>
    <w:rsid w:val="00550360"/>
    <w:rsid w:val="00577DC4"/>
    <w:rsid w:val="00586F7A"/>
    <w:rsid w:val="005A1983"/>
    <w:rsid w:val="005A43D0"/>
    <w:rsid w:val="005A772A"/>
    <w:rsid w:val="005E7376"/>
    <w:rsid w:val="005F3158"/>
    <w:rsid w:val="00625543"/>
    <w:rsid w:val="006329A9"/>
    <w:rsid w:val="0064004B"/>
    <w:rsid w:val="00652E02"/>
    <w:rsid w:val="006535AF"/>
    <w:rsid w:val="006637E7"/>
    <w:rsid w:val="006879FC"/>
    <w:rsid w:val="006B3992"/>
    <w:rsid w:val="006B5D2A"/>
    <w:rsid w:val="006C05DD"/>
    <w:rsid w:val="006C0BE6"/>
    <w:rsid w:val="006E556B"/>
    <w:rsid w:val="00726190"/>
    <w:rsid w:val="00751FEE"/>
    <w:rsid w:val="007722E4"/>
    <w:rsid w:val="00775478"/>
    <w:rsid w:val="0077649B"/>
    <w:rsid w:val="00777D73"/>
    <w:rsid w:val="007A1680"/>
    <w:rsid w:val="007A4769"/>
    <w:rsid w:val="007B4CE7"/>
    <w:rsid w:val="007D5E84"/>
    <w:rsid w:val="007D6615"/>
    <w:rsid w:val="00801D2A"/>
    <w:rsid w:val="008021BD"/>
    <w:rsid w:val="00817FE3"/>
    <w:rsid w:val="008608C7"/>
    <w:rsid w:val="0087492A"/>
    <w:rsid w:val="00881371"/>
    <w:rsid w:val="00891908"/>
    <w:rsid w:val="008938D8"/>
    <w:rsid w:val="008B25AF"/>
    <w:rsid w:val="008B6AE4"/>
    <w:rsid w:val="00923FD6"/>
    <w:rsid w:val="009462E3"/>
    <w:rsid w:val="009A4C4F"/>
    <w:rsid w:val="009B1DAB"/>
    <w:rsid w:val="009C54A3"/>
    <w:rsid w:val="009D5761"/>
    <w:rsid w:val="009D7C30"/>
    <w:rsid w:val="009E1539"/>
    <w:rsid w:val="009E1B56"/>
    <w:rsid w:val="00A0040A"/>
    <w:rsid w:val="00A07778"/>
    <w:rsid w:val="00A16498"/>
    <w:rsid w:val="00A77424"/>
    <w:rsid w:val="00A8535D"/>
    <w:rsid w:val="00AB7B37"/>
    <w:rsid w:val="00AE4ADB"/>
    <w:rsid w:val="00B226B4"/>
    <w:rsid w:val="00B34367"/>
    <w:rsid w:val="00B34A81"/>
    <w:rsid w:val="00B56BD6"/>
    <w:rsid w:val="00B71AFF"/>
    <w:rsid w:val="00BA26EE"/>
    <w:rsid w:val="00BA2D2D"/>
    <w:rsid w:val="00BA3AF8"/>
    <w:rsid w:val="00BA6653"/>
    <w:rsid w:val="00C6243D"/>
    <w:rsid w:val="00C62BEC"/>
    <w:rsid w:val="00C80718"/>
    <w:rsid w:val="00C84C44"/>
    <w:rsid w:val="00CF0099"/>
    <w:rsid w:val="00CF3CDF"/>
    <w:rsid w:val="00CF42B6"/>
    <w:rsid w:val="00D04251"/>
    <w:rsid w:val="00D44DDC"/>
    <w:rsid w:val="00D46241"/>
    <w:rsid w:val="00D572EF"/>
    <w:rsid w:val="00D60D08"/>
    <w:rsid w:val="00D63A34"/>
    <w:rsid w:val="00D94743"/>
    <w:rsid w:val="00DC15FA"/>
    <w:rsid w:val="00DE19CF"/>
    <w:rsid w:val="00E15391"/>
    <w:rsid w:val="00E3755A"/>
    <w:rsid w:val="00E46AB4"/>
    <w:rsid w:val="00E549EB"/>
    <w:rsid w:val="00E57516"/>
    <w:rsid w:val="00E83548"/>
    <w:rsid w:val="00EA4FF8"/>
    <w:rsid w:val="00EC1345"/>
    <w:rsid w:val="00ED753D"/>
    <w:rsid w:val="00EF7452"/>
    <w:rsid w:val="00F023E6"/>
    <w:rsid w:val="00F2162A"/>
    <w:rsid w:val="00F34173"/>
    <w:rsid w:val="00F447D9"/>
    <w:rsid w:val="00F61307"/>
    <w:rsid w:val="00F834EC"/>
    <w:rsid w:val="00F97E0D"/>
    <w:rsid w:val="00FB0F0A"/>
    <w:rsid w:val="00FF5F04"/>
    <w:rsid w:val="00FF6EB4"/>
    <w:rsid w:val="01240C2C"/>
    <w:rsid w:val="01E07861"/>
    <w:rsid w:val="0215B98E"/>
    <w:rsid w:val="022806AE"/>
    <w:rsid w:val="04A72999"/>
    <w:rsid w:val="07559B68"/>
    <w:rsid w:val="07561D5B"/>
    <w:rsid w:val="0866FFE8"/>
    <w:rsid w:val="08D7E9F6"/>
    <w:rsid w:val="0919B945"/>
    <w:rsid w:val="0DB31A2C"/>
    <w:rsid w:val="0E27BE00"/>
    <w:rsid w:val="0EC0D4AD"/>
    <w:rsid w:val="0F70598F"/>
    <w:rsid w:val="100DCB46"/>
    <w:rsid w:val="10598A3B"/>
    <w:rsid w:val="10F4F49C"/>
    <w:rsid w:val="146B3A42"/>
    <w:rsid w:val="14963E4C"/>
    <w:rsid w:val="153E79CD"/>
    <w:rsid w:val="157D4900"/>
    <w:rsid w:val="1585A452"/>
    <w:rsid w:val="162E1B6B"/>
    <w:rsid w:val="168A5121"/>
    <w:rsid w:val="1776065A"/>
    <w:rsid w:val="18352A5C"/>
    <w:rsid w:val="198CA306"/>
    <w:rsid w:val="19B5DEEF"/>
    <w:rsid w:val="1B3EEEB3"/>
    <w:rsid w:val="1B81F2B8"/>
    <w:rsid w:val="1BF36813"/>
    <w:rsid w:val="1D62E761"/>
    <w:rsid w:val="1DB05EEE"/>
    <w:rsid w:val="1E7C54C3"/>
    <w:rsid w:val="1EA38E7B"/>
    <w:rsid w:val="1EE79D5C"/>
    <w:rsid w:val="1F17D2F5"/>
    <w:rsid w:val="1F79167F"/>
    <w:rsid w:val="207B68E0"/>
    <w:rsid w:val="20AD6129"/>
    <w:rsid w:val="20B4DB17"/>
    <w:rsid w:val="2241FB5D"/>
    <w:rsid w:val="22AF1EFE"/>
    <w:rsid w:val="22FF7DA0"/>
    <w:rsid w:val="23512AAB"/>
    <w:rsid w:val="247BBABD"/>
    <w:rsid w:val="247D16D2"/>
    <w:rsid w:val="24C7E5A5"/>
    <w:rsid w:val="26EE9B32"/>
    <w:rsid w:val="27DFAF6D"/>
    <w:rsid w:val="27E38FE1"/>
    <w:rsid w:val="282D2235"/>
    <w:rsid w:val="2863EE13"/>
    <w:rsid w:val="29585D12"/>
    <w:rsid w:val="295AC600"/>
    <w:rsid w:val="2A3DB6B0"/>
    <w:rsid w:val="2C3A45B3"/>
    <w:rsid w:val="2C519B29"/>
    <w:rsid w:val="2C93B8AB"/>
    <w:rsid w:val="2C9DFE7B"/>
    <w:rsid w:val="2E0A6696"/>
    <w:rsid w:val="2E7AFF37"/>
    <w:rsid w:val="2E90432B"/>
    <w:rsid w:val="2F0146FA"/>
    <w:rsid w:val="2F039480"/>
    <w:rsid w:val="2F881636"/>
    <w:rsid w:val="2F9615ED"/>
    <w:rsid w:val="2FC5E14F"/>
    <w:rsid w:val="31349BD3"/>
    <w:rsid w:val="319D324B"/>
    <w:rsid w:val="32A25681"/>
    <w:rsid w:val="3453BD88"/>
    <w:rsid w:val="35372C76"/>
    <w:rsid w:val="356088A7"/>
    <w:rsid w:val="359AD4C4"/>
    <w:rsid w:val="35AC6B31"/>
    <w:rsid w:val="35E2FF55"/>
    <w:rsid w:val="3894BE92"/>
    <w:rsid w:val="3949E5B8"/>
    <w:rsid w:val="3A1D367B"/>
    <w:rsid w:val="3AA8899D"/>
    <w:rsid w:val="3B55ECC4"/>
    <w:rsid w:val="3D49906E"/>
    <w:rsid w:val="3D954A4B"/>
    <w:rsid w:val="3E000A6C"/>
    <w:rsid w:val="3E11E7A7"/>
    <w:rsid w:val="3E168A32"/>
    <w:rsid w:val="3E822FAB"/>
    <w:rsid w:val="3FDE1FB3"/>
    <w:rsid w:val="40A86238"/>
    <w:rsid w:val="41529AFF"/>
    <w:rsid w:val="4156FF07"/>
    <w:rsid w:val="41688C95"/>
    <w:rsid w:val="42B8AD28"/>
    <w:rsid w:val="430C978A"/>
    <w:rsid w:val="4395EE5C"/>
    <w:rsid w:val="44EC199A"/>
    <w:rsid w:val="45556AEE"/>
    <w:rsid w:val="4589C6F1"/>
    <w:rsid w:val="45F9A9CE"/>
    <w:rsid w:val="464D7752"/>
    <w:rsid w:val="46EE120C"/>
    <w:rsid w:val="47E84ACF"/>
    <w:rsid w:val="493329DD"/>
    <w:rsid w:val="493444B5"/>
    <w:rsid w:val="4A39B663"/>
    <w:rsid w:val="4A866D92"/>
    <w:rsid w:val="4AAD972A"/>
    <w:rsid w:val="4B663647"/>
    <w:rsid w:val="4C0CF068"/>
    <w:rsid w:val="4CFB5065"/>
    <w:rsid w:val="4D48CE09"/>
    <w:rsid w:val="4E13C066"/>
    <w:rsid w:val="4F40A177"/>
    <w:rsid w:val="507FFC7D"/>
    <w:rsid w:val="50CC0367"/>
    <w:rsid w:val="5199A412"/>
    <w:rsid w:val="51BAE71F"/>
    <w:rsid w:val="525EE5E3"/>
    <w:rsid w:val="52A62A47"/>
    <w:rsid w:val="52BF6B50"/>
    <w:rsid w:val="52CB3C0A"/>
    <w:rsid w:val="5315377D"/>
    <w:rsid w:val="5391D7A0"/>
    <w:rsid w:val="5422C34B"/>
    <w:rsid w:val="5441A0E0"/>
    <w:rsid w:val="55F298E1"/>
    <w:rsid w:val="570245D5"/>
    <w:rsid w:val="571075CB"/>
    <w:rsid w:val="582B3102"/>
    <w:rsid w:val="5836300E"/>
    <w:rsid w:val="59CA8B26"/>
    <w:rsid w:val="5A3D8810"/>
    <w:rsid w:val="5AAD7609"/>
    <w:rsid w:val="5AFED934"/>
    <w:rsid w:val="5B25C83F"/>
    <w:rsid w:val="5B550C90"/>
    <w:rsid w:val="5C2ECF3C"/>
    <w:rsid w:val="5D688C81"/>
    <w:rsid w:val="5DED0FAF"/>
    <w:rsid w:val="5E105788"/>
    <w:rsid w:val="5F18E1ED"/>
    <w:rsid w:val="5F3FDD18"/>
    <w:rsid w:val="5FCE8FEA"/>
    <w:rsid w:val="605CE284"/>
    <w:rsid w:val="6077B339"/>
    <w:rsid w:val="60BFAB27"/>
    <w:rsid w:val="60FE1EF9"/>
    <w:rsid w:val="61425A9E"/>
    <w:rsid w:val="61D1A7F7"/>
    <w:rsid w:val="6219BA63"/>
    <w:rsid w:val="62C29CC2"/>
    <w:rsid w:val="64FA94E5"/>
    <w:rsid w:val="657A8E16"/>
    <w:rsid w:val="65D47D50"/>
    <w:rsid w:val="6674FC5E"/>
    <w:rsid w:val="667E861D"/>
    <w:rsid w:val="66861033"/>
    <w:rsid w:val="66868C7E"/>
    <w:rsid w:val="66ADDCBD"/>
    <w:rsid w:val="6742352C"/>
    <w:rsid w:val="686029C5"/>
    <w:rsid w:val="68836E25"/>
    <w:rsid w:val="68A6166F"/>
    <w:rsid w:val="68AA63BD"/>
    <w:rsid w:val="690982FE"/>
    <w:rsid w:val="6B00F1E1"/>
    <w:rsid w:val="6B2DD43B"/>
    <w:rsid w:val="6C43E529"/>
    <w:rsid w:val="6E1A8BF1"/>
    <w:rsid w:val="6E5543C2"/>
    <w:rsid w:val="6FEC5C86"/>
    <w:rsid w:val="6FF27FED"/>
    <w:rsid w:val="71F9DB4F"/>
    <w:rsid w:val="730E55E9"/>
    <w:rsid w:val="7387EB6D"/>
    <w:rsid w:val="73F69610"/>
    <w:rsid w:val="7469D6AB"/>
    <w:rsid w:val="76A2AD7F"/>
    <w:rsid w:val="76A57875"/>
    <w:rsid w:val="76E4A921"/>
    <w:rsid w:val="7861E6CA"/>
    <w:rsid w:val="7907788F"/>
    <w:rsid w:val="7964589D"/>
    <w:rsid w:val="7A13659D"/>
    <w:rsid w:val="7A767182"/>
    <w:rsid w:val="7C6DCD01"/>
    <w:rsid w:val="7D843F0A"/>
    <w:rsid w:val="7E25A850"/>
    <w:rsid w:val="7E2898A3"/>
    <w:rsid w:val="7E6683F1"/>
    <w:rsid w:val="7F8C3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C50370"/>
  <w15:docId w15:val="{5FE0F830-48A8-4B59-8CDB-E2270E61E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64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498"/>
  </w:style>
  <w:style w:type="paragraph" w:styleId="Footer">
    <w:name w:val="footer"/>
    <w:basedOn w:val="Normal"/>
    <w:link w:val="FooterChar"/>
    <w:uiPriority w:val="99"/>
    <w:unhideWhenUsed/>
    <w:rsid w:val="00A164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498"/>
  </w:style>
  <w:style w:type="paragraph" w:styleId="ListParagraph">
    <w:name w:val="List Paragraph"/>
    <w:basedOn w:val="Normal"/>
    <w:uiPriority w:val="34"/>
    <w:qFormat/>
    <w:rsid w:val="007722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3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7E7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D624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6244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3D6244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unhideWhenUsed/>
    <w:rsid w:val="00EF7452"/>
    <w:pPr>
      <w:spacing w:after="160" w:line="240" w:lineRule="auto"/>
    </w:pPr>
    <w:rPr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7452"/>
    <w:rPr>
      <w:kern w:val="2"/>
      <w:sz w:val="20"/>
      <w:szCs w:val="20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EF7452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B25AF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7D6615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211A"/>
    <w:pPr>
      <w:spacing w:after="200"/>
    </w:pPr>
    <w:rPr>
      <w:b/>
      <w:bCs/>
      <w:kern w:val="0"/>
      <w14:ligatures w14:val="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211A"/>
    <w:rPr>
      <w:b/>
      <w:bCs/>
      <w:kern w:val="2"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oi.org/10.1007/s10803-012-1524-x&#160;&#160;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doi.org/10.1177/1362361315585643&#160;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11ABB3E504A945B7C7D972A09C49C0" ma:contentTypeVersion="11" ma:contentTypeDescription="Create a new document." ma:contentTypeScope="" ma:versionID="8fa2410153a5c9696cbeafc9ece5970e">
  <xsd:schema xmlns:xsd="http://www.w3.org/2001/XMLSchema" xmlns:xs="http://www.w3.org/2001/XMLSchema" xmlns:p="http://schemas.microsoft.com/office/2006/metadata/properties" xmlns:ns2="bfec5155-cd0c-46a7-a3ba-4de02cda8ac5" xmlns:ns3="ef7c5145-e159-46d3-924d-b50a59624be6" targetNamespace="http://schemas.microsoft.com/office/2006/metadata/properties" ma:root="true" ma:fieldsID="7a26540e980c8688c1a83705706ff85b" ns2:_="" ns3:_="">
    <xsd:import namespace="bfec5155-cd0c-46a7-a3ba-4de02cda8ac5"/>
    <xsd:import namespace="ef7c5145-e159-46d3-924d-b50a59624b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c5155-cd0c-46a7-a3ba-4de02cda8a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c5145-e159-46d3-924d-b50a59624be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63F606-8B19-4711-ADE9-8A7FB97D46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F0E6EA-1369-4068-AD7C-C451C18C9D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ec5155-cd0c-46a7-a3ba-4de02cda8ac5"/>
    <ds:schemaRef ds:uri="ef7c5145-e159-46d3-924d-b50a59624b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F406F6-B0D6-45E4-A23C-56A9FD2C1DD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781</Words>
  <Characters>4452</Characters>
  <Application>Microsoft Office Word</Application>
  <DocSecurity>4</DocSecurity>
  <Lines>37</Lines>
  <Paragraphs>10</Paragraphs>
  <ScaleCrop>false</ScaleCrop>
  <Company>UCDHS</Company>
  <LinksUpToDate>false</LinksUpToDate>
  <CharactersWithSpaces>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Gatlinburg Conference Poster Submission</dc:title>
  <dc:subject/>
  <dc:creator>BSHELTON</dc:creator>
  <cp:keywords/>
  <cp:lastModifiedBy>Durrani, Eman</cp:lastModifiedBy>
  <cp:revision>53</cp:revision>
  <dcterms:created xsi:type="dcterms:W3CDTF">2024-10-31T21:38:00Z</dcterms:created>
  <dcterms:modified xsi:type="dcterms:W3CDTF">2024-11-01T21:17:00Z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0x0101003E11ABB3E504A945B7C7D972A09C49C0</vt:lpwstr>
  </property>
  <property fmtid="{D5CDD505-2E9C-101B-9397-08002B2CF9AE}" pid="3" name="MSIP_Label_792c8cef-6f2b-4af1-b4ac-d815ff795cd6_Enabled">
    <vt:lpwstr>true</vt:lpwstr>
  </property>
  <property fmtid="{D5CDD505-2E9C-101B-9397-08002B2CF9AE}" pid="4" name="MSIP_Label_792c8cef-6f2b-4af1-b4ac-d815ff795cd6_SetDate">
    <vt:lpwstr>2024-10-31T19:38:36Z</vt:lpwstr>
  </property>
  <property fmtid="{D5CDD505-2E9C-101B-9397-08002B2CF9AE}" pid="5" name="MSIP_Label_792c8cef-6f2b-4af1-b4ac-d815ff795cd6_Method">
    <vt:lpwstr>Standard</vt:lpwstr>
  </property>
  <property fmtid="{D5CDD505-2E9C-101B-9397-08002B2CF9AE}" pid="6" name="MSIP_Label_792c8cef-6f2b-4af1-b4ac-d815ff795cd6_Name">
    <vt:lpwstr>VUMC General</vt:lpwstr>
  </property>
  <property fmtid="{D5CDD505-2E9C-101B-9397-08002B2CF9AE}" pid="7" name="MSIP_Label_792c8cef-6f2b-4af1-b4ac-d815ff795cd6_SiteId">
    <vt:lpwstr>ef575030-1424-4ed8-b83c-12c533d879ab</vt:lpwstr>
  </property>
  <property fmtid="{D5CDD505-2E9C-101B-9397-08002B2CF9AE}" pid="8" name="MSIP_Label_792c8cef-6f2b-4af1-b4ac-d815ff795cd6_ActionId">
    <vt:lpwstr>fbc25fc8-688a-47f2-aedd-2fe654dfdfe8</vt:lpwstr>
  </property>
  <property fmtid="{D5CDD505-2E9C-101B-9397-08002B2CF9AE}" pid="9" name="MSIP_Label_792c8cef-6f2b-4af1-b4ac-d815ff795cd6_ContentBits">
    <vt:lpwstr>0</vt:lpwstr>
  </property>
</Properties>
</file>