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0370" w14:textId="02477B5E" w:rsidR="003D6244" w:rsidRPr="009E00A7" w:rsidRDefault="003D6244" w:rsidP="003D6244">
      <w:pPr>
        <w:rPr>
          <w:sz w:val="20"/>
          <w:szCs w:val="20"/>
        </w:rPr>
      </w:pPr>
      <w:r w:rsidRPr="009E00A7">
        <w:rPr>
          <w:b/>
          <w:sz w:val="20"/>
          <w:szCs w:val="20"/>
        </w:rPr>
        <w:t>Title</w:t>
      </w:r>
      <w:r w:rsidR="00707915" w:rsidRPr="00707915">
        <w:rPr>
          <w:rFonts w:ascii="Times New Roman" w:hAnsi="Times New Roman" w:cs="Times New Roman"/>
          <w:i/>
          <w:iCs/>
          <w:kern w:val="2"/>
          <w:sz w:val="24"/>
          <w:szCs w:val="24"/>
          <w14:ligatures w14:val="standardContextual"/>
        </w:rPr>
        <w:t xml:space="preserve"> </w:t>
      </w:r>
      <w:r w:rsidR="00707915" w:rsidRPr="00707915">
        <w:rPr>
          <w:iCs/>
          <w:sz w:val="20"/>
          <w:szCs w:val="20"/>
        </w:rPr>
        <w:t xml:space="preserve">Auditory Steady State Response and its Age-Related Changes in Patients with Phelan </w:t>
      </w:r>
      <w:proofErr w:type="spellStart"/>
      <w:r w:rsidR="00707915" w:rsidRPr="00707915">
        <w:rPr>
          <w:iCs/>
          <w:sz w:val="20"/>
          <w:szCs w:val="20"/>
        </w:rPr>
        <w:t>McDermid</w:t>
      </w:r>
      <w:proofErr w:type="spellEnd"/>
      <w:r w:rsidR="00707915" w:rsidRPr="00707915">
        <w:rPr>
          <w:iCs/>
          <w:sz w:val="20"/>
          <w:szCs w:val="20"/>
        </w:rPr>
        <w:t xml:space="preserve"> Syndrome and Idiopathic Autism</w:t>
      </w:r>
    </w:p>
    <w:p w14:paraId="7AC50371" w14:textId="24595383" w:rsidR="003D6244" w:rsidRPr="00423902" w:rsidRDefault="003D6244" w:rsidP="003D6244">
      <w:pPr>
        <w:rPr>
          <w:sz w:val="20"/>
          <w:szCs w:val="20"/>
          <w:vertAlign w:val="superscript"/>
        </w:rPr>
      </w:pPr>
      <w:r w:rsidRPr="009E00A7">
        <w:rPr>
          <w:b/>
          <w:sz w:val="20"/>
          <w:szCs w:val="20"/>
        </w:rPr>
        <w:t>Authors</w:t>
      </w:r>
      <w:r w:rsidRPr="009E00A7">
        <w:rPr>
          <w:sz w:val="20"/>
          <w:szCs w:val="20"/>
        </w:rPr>
        <w:t xml:space="preserve">: </w:t>
      </w:r>
      <w:proofErr w:type="spellStart"/>
      <w:r w:rsidR="00707915" w:rsidRPr="00707915">
        <w:rPr>
          <w:sz w:val="20"/>
          <w:szCs w:val="20"/>
        </w:rPr>
        <w:t>Thinakaran</w:t>
      </w:r>
      <w:proofErr w:type="spellEnd"/>
      <w:r w:rsidR="00707915" w:rsidRPr="00707915">
        <w:rPr>
          <w:sz w:val="20"/>
          <w:szCs w:val="20"/>
        </w:rPr>
        <w:t>, A.</w:t>
      </w:r>
      <w:r w:rsidR="00423902">
        <w:rPr>
          <w:sz w:val="20"/>
          <w:szCs w:val="20"/>
          <w:vertAlign w:val="superscript"/>
        </w:rPr>
        <w:t>1,2</w:t>
      </w:r>
      <w:r w:rsidR="00707915" w:rsidRPr="00707915">
        <w:rPr>
          <w:sz w:val="20"/>
          <w:szCs w:val="20"/>
        </w:rPr>
        <w:t>, Silver, H.</w:t>
      </w:r>
      <w:r w:rsidR="00423902">
        <w:rPr>
          <w:sz w:val="20"/>
          <w:szCs w:val="20"/>
          <w:vertAlign w:val="superscript"/>
        </w:rPr>
        <w:t>11</w:t>
      </w:r>
      <w:r w:rsidR="00707915" w:rsidRPr="00707915">
        <w:rPr>
          <w:sz w:val="20"/>
          <w:szCs w:val="20"/>
        </w:rPr>
        <w:t>, Peters, A.W.</w:t>
      </w:r>
      <w:r w:rsidR="00423902">
        <w:rPr>
          <w:sz w:val="20"/>
          <w:szCs w:val="20"/>
          <w:vertAlign w:val="superscript"/>
        </w:rPr>
        <w:t>10</w:t>
      </w:r>
      <w:r w:rsidR="00707915" w:rsidRPr="00707915">
        <w:rPr>
          <w:sz w:val="20"/>
          <w:szCs w:val="20"/>
        </w:rPr>
        <w:t xml:space="preserve">, </w:t>
      </w:r>
      <w:proofErr w:type="spellStart"/>
      <w:r w:rsidR="00707915" w:rsidRPr="00707915">
        <w:rPr>
          <w:sz w:val="20"/>
          <w:szCs w:val="20"/>
        </w:rPr>
        <w:t>Trayvick</w:t>
      </w:r>
      <w:proofErr w:type="spellEnd"/>
      <w:r w:rsidR="00707915" w:rsidRPr="00707915">
        <w:rPr>
          <w:sz w:val="20"/>
          <w:szCs w:val="20"/>
        </w:rPr>
        <w:t>, J.</w:t>
      </w:r>
      <w:r w:rsidR="00423902">
        <w:rPr>
          <w:sz w:val="20"/>
          <w:szCs w:val="20"/>
          <w:vertAlign w:val="superscript"/>
        </w:rPr>
        <w:t>4</w:t>
      </w:r>
      <w:r w:rsidR="00423902">
        <w:rPr>
          <w:sz w:val="20"/>
          <w:szCs w:val="20"/>
        </w:rPr>
        <w:t xml:space="preserve">, </w:t>
      </w:r>
      <w:r w:rsidR="00707915" w:rsidRPr="00707915">
        <w:rPr>
          <w:sz w:val="20"/>
          <w:szCs w:val="20"/>
        </w:rPr>
        <w:t>Cai, S.</w:t>
      </w:r>
      <w:r w:rsidR="00423902">
        <w:rPr>
          <w:sz w:val="20"/>
          <w:szCs w:val="20"/>
          <w:vertAlign w:val="superscript"/>
        </w:rPr>
        <w:t>1,2</w:t>
      </w:r>
      <w:r w:rsidR="00707915" w:rsidRPr="00707915">
        <w:rPr>
          <w:sz w:val="20"/>
          <w:szCs w:val="20"/>
        </w:rPr>
        <w:t xml:space="preserve">, </w:t>
      </w:r>
      <w:proofErr w:type="spellStart"/>
      <w:r w:rsidR="00707915" w:rsidRPr="00707915">
        <w:rPr>
          <w:sz w:val="20"/>
          <w:szCs w:val="20"/>
        </w:rPr>
        <w:t>Grosman</w:t>
      </w:r>
      <w:proofErr w:type="spellEnd"/>
      <w:r w:rsidR="00707915" w:rsidRPr="00707915">
        <w:rPr>
          <w:sz w:val="20"/>
          <w:szCs w:val="20"/>
        </w:rPr>
        <w:t>, H.</w:t>
      </w:r>
      <w:r w:rsidR="00423902">
        <w:rPr>
          <w:sz w:val="20"/>
          <w:szCs w:val="20"/>
          <w:vertAlign w:val="superscript"/>
        </w:rPr>
        <w:t>1,2</w:t>
      </w:r>
      <w:r w:rsidR="00707915" w:rsidRPr="00707915">
        <w:rPr>
          <w:sz w:val="20"/>
          <w:szCs w:val="20"/>
        </w:rPr>
        <w:t>, Barkley, S.</w:t>
      </w:r>
      <w:r w:rsidR="00423902">
        <w:rPr>
          <w:sz w:val="20"/>
          <w:szCs w:val="20"/>
          <w:vertAlign w:val="superscript"/>
        </w:rPr>
        <w:t>4</w:t>
      </w:r>
      <w:r w:rsidR="00707915" w:rsidRPr="00707915">
        <w:rPr>
          <w:sz w:val="20"/>
          <w:szCs w:val="20"/>
        </w:rPr>
        <w:t>, Friedman, K.N.</w:t>
      </w:r>
      <w:r w:rsidR="00423902">
        <w:rPr>
          <w:sz w:val="20"/>
          <w:szCs w:val="20"/>
          <w:vertAlign w:val="superscript"/>
        </w:rPr>
        <w:t>1,2</w:t>
      </w:r>
      <w:r w:rsidR="00707915" w:rsidRPr="00707915">
        <w:rPr>
          <w:sz w:val="20"/>
          <w:szCs w:val="20"/>
        </w:rPr>
        <w:t>, Garces, F.</w:t>
      </w:r>
      <w:r w:rsidR="00423902">
        <w:rPr>
          <w:sz w:val="20"/>
          <w:szCs w:val="20"/>
          <w:vertAlign w:val="superscript"/>
        </w:rPr>
        <w:t>1,2</w:t>
      </w:r>
      <w:r w:rsidR="00707915" w:rsidRPr="00707915">
        <w:rPr>
          <w:sz w:val="20"/>
          <w:szCs w:val="20"/>
        </w:rPr>
        <w:t xml:space="preserve">, </w:t>
      </w:r>
      <w:proofErr w:type="spellStart"/>
      <w:r w:rsidR="00707915" w:rsidRPr="00707915">
        <w:rPr>
          <w:sz w:val="20"/>
          <w:szCs w:val="20"/>
        </w:rPr>
        <w:t>Siper</w:t>
      </w:r>
      <w:proofErr w:type="spellEnd"/>
      <w:r w:rsidR="00707915" w:rsidRPr="00707915">
        <w:rPr>
          <w:sz w:val="20"/>
          <w:szCs w:val="20"/>
        </w:rPr>
        <w:t>, P.</w:t>
      </w:r>
      <w:r w:rsidR="00423902">
        <w:rPr>
          <w:sz w:val="20"/>
          <w:szCs w:val="20"/>
          <w:vertAlign w:val="superscript"/>
        </w:rPr>
        <w:t>1,2,5</w:t>
      </w:r>
      <w:r w:rsidR="00707915" w:rsidRPr="00707915">
        <w:rPr>
          <w:sz w:val="20"/>
          <w:szCs w:val="20"/>
        </w:rPr>
        <w:t>, Buxbaum, J.</w:t>
      </w:r>
      <w:r w:rsidR="00423902">
        <w:rPr>
          <w:sz w:val="20"/>
          <w:szCs w:val="20"/>
          <w:vertAlign w:val="superscript"/>
        </w:rPr>
        <w:t>1,2,5,6,7,8</w:t>
      </w:r>
      <w:r w:rsidR="00707915" w:rsidRPr="00707915">
        <w:rPr>
          <w:sz w:val="20"/>
          <w:szCs w:val="20"/>
        </w:rPr>
        <w:t>, Foss-Feig, J.H.</w:t>
      </w:r>
      <w:r w:rsidR="00423902">
        <w:rPr>
          <w:sz w:val="20"/>
          <w:szCs w:val="20"/>
          <w:vertAlign w:val="superscript"/>
        </w:rPr>
        <w:t>1,2,5</w:t>
      </w:r>
      <w:r w:rsidR="00707915" w:rsidRPr="00707915">
        <w:rPr>
          <w:sz w:val="20"/>
          <w:szCs w:val="20"/>
        </w:rPr>
        <w:t xml:space="preserve">, </w:t>
      </w:r>
      <w:proofErr w:type="spellStart"/>
      <w:r w:rsidR="00707915" w:rsidRPr="00707915">
        <w:rPr>
          <w:sz w:val="20"/>
          <w:szCs w:val="20"/>
        </w:rPr>
        <w:t>Kolevzon</w:t>
      </w:r>
      <w:proofErr w:type="spellEnd"/>
      <w:r w:rsidR="00707915" w:rsidRPr="00707915">
        <w:rPr>
          <w:sz w:val="20"/>
          <w:szCs w:val="20"/>
        </w:rPr>
        <w:t>, A.</w:t>
      </w:r>
      <w:r w:rsidR="00423902">
        <w:rPr>
          <w:sz w:val="20"/>
          <w:szCs w:val="20"/>
          <w:vertAlign w:val="superscript"/>
        </w:rPr>
        <w:t>1,2,5,9</w:t>
      </w:r>
      <w:bookmarkStart w:id="0" w:name="_GoBack"/>
      <w:bookmarkEnd w:id="0"/>
      <w:r w:rsidR="00707915" w:rsidRPr="00707915">
        <w:rPr>
          <w:sz w:val="20"/>
          <w:szCs w:val="20"/>
        </w:rPr>
        <w:t>, Levy, T.</w:t>
      </w:r>
      <w:r w:rsidR="00423902">
        <w:rPr>
          <w:sz w:val="20"/>
          <w:szCs w:val="20"/>
          <w:vertAlign w:val="superscript"/>
        </w:rPr>
        <w:t>1,2</w:t>
      </w:r>
      <w:r w:rsidR="00707915" w:rsidRPr="00707915">
        <w:rPr>
          <w:sz w:val="20"/>
          <w:szCs w:val="20"/>
        </w:rPr>
        <w:t>, Beker, S.</w:t>
      </w:r>
      <w:r w:rsidR="00423902">
        <w:rPr>
          <w:sz w:val="20"/>
          <w:szCs w:val="20"/>
          <w:vertAlign w:val="superscript"/>
        </w:rPr>
        <w:t>1,2</w:t>
      </w:r>
    </w:p>
    <w:p w14:paraId="77FE6733" w14:textId="50A2F1ED"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423902" w:rsidRPr="00423902">
        <w:rPr>
          <w:iCs/>
          <w:color w:val="000000"/>
          <w:sz w:val="20"/>
          <w:szCs w:val="20"/>
        </w:rPr>
        <w:t>Auditory steady-state response (ASSR) is a brain response that occurs when the brain stem and auditory cortical system perceive and entrain to rapid sounds presented at a constant frequency. ASSR provides a non-invasive way of assessing neural synchrony and reflects the functioning of excitatory and inhibitory inputs. Past studies have identified 40 Hz ASSR as a robust measure of altered neural synchrony in psychiatric disorders such as schizophrenia and bipolar, in which the excitatory/inhibitory input balance is disrupted. Age-related increases in the strength of the 40 Hz ASSR have been observed in typically developing (TD) adolescents, reflecting increasing neural synchrony as the brain matures. However, while emerging evidence show altered ASSR in autism, less is known about how this response develops with age in this population, or in other neurodevelopmental disorders (ND) associated with autism. The current study is focused on idiopathic autism spectrum disorder (</w:t>
      </w:r>
      <w:proofErr w:type="spellStart"/>
      <w:r w:rsidR="00423902" w:rsidRPr="00423902">
        <w:rPr>
          <w:iCs/>
          <w:color w:val="000000"/>
          <w:sz w:val="20"/>
          <w:szCs w:val="20"/>
        </w:rPr>
        <w:t>iASD</w:t>
      </w:r>
      <w:proofErr w:type="spellEnd"/>
      <w:r w:rsidR="00423902" w:rsidRPr="00423902">
        <w:rPr>
          <w:iCs/>
          <w:color w:val="000000"/>
          <w:sz w:val="20"/>
          <w:szCs w:val="20"/>
        </w:rPr>
        <w:t xml:space="preserve">), as well as Phelan </w:t>
      </w:r>
      <w:proofErr w:type="spellStart"/>
      <w:r w:rsidR="00423902" w:rsidRPr="00423902">
        <w:rPr>
          <w:iCs/>
          <w:color w:val="000000"/>
          <w:sz w:val="20"/>
          <w:szCs w:val="20"/>
        </w:rPr>
        <w:t>McDermid</w:t>
      </w:r>
      <w:proofErr w:type="spellEnd"/>
      <w:r w:rsidR="00423902" w:rsidRPr="00423902">
        <w:rPr>
          <w:iCs/>
          <w:color w:val="000000"/>
          <w:sz w:val="20"/>
          <w:szCs w:val="20"/>
        </w:rPr>
        <w:t xml:space="preserve"> syndrome (PMS), a rare ND that shares symptomatology with </w:t>
      </w:r>
      <w:proofErr w:type="spellStart"/>
      <w:r w:rsidR="00423902" w:rsidRPr="00423902">
        <w:rPr>
          <w:iCs/>
          <w:color w:val="000000"/>
          <w:sz w:val="20"/>
          <w:szCs w:val="20"/>
        </w:rPr>
        <w:t>iASD</w:t>
      </w:r>
      <w:proofErr w:type="spellEnd"/>
      <w:r w:rsidR="00423902" w:rsidRPr="00423902">
        <w:rPr>
          <w:iCs/>
          <w:color w:val="000000"/>
          <w:sz w:val="20"/>
          <w:szCs w:val="20"/>
        </w:rPr>
        <w:t xml:space="preserve">. Electroencephalography (EEG) was recorded from patients with PMS, </w:t>
      </w:r>
      <w:proofErr w:type="spellStart"/>
      <w:r w:rsidR="00423902" w:rsidRPr="00423902">
        <w:rPr>
          <w:iCs/>
          <w:color w:val="000000"/>
          <w:sz w:val="20"/>
          <w:szCs w:val="20"/>
        </w:rPr>
        <w:t>iASD</w:t>
      </w:r>
      <w:proofErr w:type="spellEnd"/>
      <w:r w:rsidR="00423902" w:rsidRPr="00423902">
        <w:rPr>
          <w:iCs/>
          <w:color w:val="000000"/>
          <w:sz w:val="20"/>
          <w:szCs w:val="20"/>
        </w:rPr>
        <w:t xml:space="preserve"> and TD controls from a large age range (2 to 31), to examine ASSR to auditory stimuli presented at two frequencies (beta, 20 Hz, and gamma 40 Hz). We hypothesized neural synchrony, as measured by inter-trial phase coherence (ITC) at the time of ASSR presentation, to be altered across different neurodevelopmental disorders, compared to TD individuals across ages. Further we expected to observe increasing neural synchrony, to some extent, in PMS and </w:t>
      </w:r>
      <w:proofErr w:type="spellStart"/>
      <w:r w:rsidR="00423902" w:rsidRPr="00423902">
        <w:rPr>
          <w:iCs/>
          <w:color w:val="000000"/>
          <w:sz w:val="20"/>
          <w:szCs w:val="20"/>
        </w:rPr>
        <w:t>iASD</w:t>
      </w:r>
      <w:proofErr w:type="spellEnd"/>
      <w:r w:rsidR="00423902" w:rsidRPr="00423902">
        <w:rPr>
          <w:iCs/>
          <w:color w:val="000000"/>
          <w:sz w:val="20"/>
          <w:szCs w:val="20"/>
        </w:rPr>
        <w:t xml:space="preserve"> groups and replicate this pattern in TD as found by past research.</w:t>
      </w:r>
    </w:p>
    <w:p w14:paraId="7AC50373" w14:textId="70F27F4C"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423902" w:rsidRPr="00423902">
        <w:rPr>
          <w:color w:val="000000"/>
          <w:sz w:val="20"/>
          <w:szCs w:val="20"/>
        </w:rPr>
        <w:t xml:space="preserve">50 </w:t>
      </w:r>
      <w:proofErr w:type="spellStart"/>
      <w:r w:rsidR="00423902" w:rsidRPr="00423902">
        <w:rPr>
          <w:color w:val="000000"/>
          <w:sz w:val="20"/>
          <w:szCs w:val="20"/>
        </w:rPr>
        <w:t>iASD</w:t>
      </w:r>
      <w:proofErr w:type="spellEnd"/>
      <w:r w:rsidR="00423902" w:rsidRPr="00423902">
        <w:rPr>
          <w:color w:val="000000"/>
          <w:sz w:val="20"/>
          <w:szCs w:val="20"/>
        </w:rPr>
        <w:t>, 21 PMS and 42 TD participants (M</w:t>
      </w:r>
      <w:r w:rsidR="00423902" w:rsidRPr="00423902">
        <w:rPr>
          <w:color w:val="000000"/>
          <w:sz w:val="20"/>
          <w:szCs w:val="20"/>
          <w:vertAlign w:val="subscript"/>
        </w:rPr>
        <w:t>age</w:t>
      </w:r>
      <w:r w:rsidR="00423902" w:rsidRPr="00423902">
        <w:rPr>
          <w:color w:val="000000"/>
          <w:sz w:val="20"/>
          <w:szCs w:val="20"/>
        </w:rPr>
        <w:t>= 12.77 +/- 7.80 years) completed an ASSR paradigm. The ASSR paradigm involved the presentation of 150 click trains, at 20 Hz and at 40 Hz in separate runs.  Each stimulus was presented for 1100ms with an inter-trial interval of 700ms. Data were filtered, re-referenced to the average, and segmented to the event onset. We completed artifact detection, bad channel replacement, and baseline corrections before conducting time-frequency analyses and calculating inter-trial phase coherence (ITC) from the central (</w:t>
      </w:r>
      <w:proofErr w:type="spellStart"/>
      <w:r w:rsidR="00423902" w:rsidRPr="00423902">
        <w:rPr>
          <w:color w:val="000000"/>
          <w:sz w:val="20"/>
          <w:szCs w:val="20"/>
        </w:rPr>
        <w:t>Cz</w:t>
      </w:r>
      <w:proofErr w:type="spellEnd"/>
      <w:r w:rsidR="00423902" w:rsidRPr="00423902">
        <w:rPr>
          <w:color w:val="000000"/>
          <w:sz w:val="20"/>
          <w:szCs w:val="20"/>
        </w:rPr>
        <w:t>) electrode. ITC measures the consistency of phases across multiple trials, and it is a value between 0 and 1, where 0 represents a random distribution of phase angles between the trials, which implies a-synchrony, and 1 reflects absolute neural synchrony. After excluding participants with less than 25 usable segments, we used a Kruskal-Wallis test to look for differences in ITC at 20 and 40Hz across the diagnosis and age groups and linear regression to model ITC at 20 and 40Hz as a function of age.</w:t>
      </w:r>
    </w:p>
    <w:p w14:paraId="7AC50374" w14:textId="558E856B"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423902" w:rsidRPr="00423902">
        <w:rPr>
          <w:color w:val="000000"/>
          <w:sz w:val="20"/>
          <w:szCs w:val="20"/>
        </w:rPr>
        <w:t xml:space="preserve">When splitting the ND group into their respective diagnoses, there were no significant differences in the 20Hz (χ2 = 3.49, p = 0.17) and 40Hz (χ2 = 3.7, p = 0.16) ITC ASSR between PMS, </w:t>
      </w:r>
      <w:proofErr w:type="spellStart"/>
      <w:r w:rsidR="00423902" w:rsidRPr="00423902">
        <w:rPr>
          <w:color w:val="000000"/>
          <w:sz w:val="20"/>
          <w:szCs w:val="20"/>
        </w:rPr>
        <w:t>iASD</w:t>
      </w:r>
      <w:proofErr w:type="spellEnd"/>
      <w:r w:rsidR="00423902" w:rsidRPr="00423902">
        <w:rPr>
          <w:color w:val="000000"/>
          <w:sz w:val="20"/>
          <w:szCs w:val="20"/>
        </w:rPr>
        <w:t xml:space="preserve"> and TD participants. Across groups, 40 Hz (R</w:t>
      </w:r>
      <w:r w:rsidR="00423902" w:rsidRPr="00423902">
        <w:rPr>
          <w:color w:val="000000"/>
          <w:sz w:val="20"/>
          <w:szCs w:val="20"/>
          <w:vertAlign w:val="superscript"/>
        </w:rPr>
        <w:t>2</w:t>
      </w:r>
      <w:r w:rsidR="00423902" w:rsidRPr="00423902">
        <w:rPr>
          <w:color w:val="000000"/>
          <w:sz w:val="20"/>
          <w:szCs w:val="20"/>
        </w:rPr>
        <w:t>(77) = 0.32, p &lt; 0.001), but not 20 Hz (R</w:t>
      </w:r>
      <w:r w:rsidR="00423902" w:rsidRPr="00423902">
        <w:rPr>
          <w:color w:val="000000"/>
          <w:sz w:val="20"/>
          <w:szCs w:val="20"/>
          <w:vertAlign w:val="superscript"/>
        </w:rPr>
        <w:t>2</w:t>
      </w:r>
      <w:r w:rsidR="00423902" w:rsidRPr="00423902">
        <w:rPr>
          <w:color w:val="000000"/>
          <w:sz w:val="20"/>
          <w:szCs w:val="20"/>
        </w:rPr>
        <w:t>(71) &lt; 0.01, p = 0.84), ITC increased with age, and this pattern was also observed within each group (ASD: R</w:t>
      </w:r>
      <w:r w:rsidR="00423902" w:rsidRPr="00423902">
        <w:rPr>
          <w:color w:val="000000"/>
          <w:sz w:val="20"/>
          <w:szCs w:val="20"/>
          <w:vertAlign w:val="superscript"/>
        </w:rPr>
        <w:t>2</w:t>
      </w:r>
      <w:r w:rsidR="00423902" w:rsidRPr="00423902">
        <w:rPr>
          <w:color w:val="000000"/>
          <w:sz w:val="20"/>
          <w:szCs w:val="20"/>
        </w:rPr>
        <w:t>(30) = 0.20, p &lt; 0.01; PMS: R</w:t>
      </w:r>
      <w:r w:rsidR="00423902" w:rsidRPr="00423902">
        <w:rPr>
          <w:color w:val="000000"/>
          <w:sz w:val="20"/>
          <w:szCs w:val="20"/>
          <w:vertAlign w:val="superscript"/>
        </w:rPr>
        <w:t>2</w:t>
      </w:r>
      <w:r w:rsidR="00423902" w:rsidRPr="00423902">
        <w:rPr>
          <w:color w:val="000000"/>
          <w:sz w:val="20"/>
          <w:szCs w:val="20"/>
        </w:rPr>
        <w:t>(12) = 0.41, p = 0.01; TD: R</w:t>
      </w:r>
      <w:r w:rsidR="00423902" w:rsidRPr="00423902">
        <w:rPr>
          <w:color w:val="000000"/>
          <w:sz w:val="20"/>
          <w:szCs w:val="20"/>
          <w:vertAlign w:val="superscript"/>
        </w:rPr>
        <w:t>2</w:t>
      </w:r>
      <w:r w:rsidR="00423902" w:rsidRPr="00423902">
        <w:rPr>
          <w:color w:val="000000"/>
          <w:sz w:val="20"/>
          <w:szCs w:val="20"/>
        </w:rPr>
        <w:t xml:space="preserve">(31) = 0.43, p &lt; 0.001). However, the steepness of the increase in ITC with age for 40Hz ASSR was weaker in </w:t>
      </w:r>
      <w:proofErr w:type="spellStart"/>
      <w:r w:rsidR="00423902" w:rsidRPr="00423902">
        <w:rPr>
          <w:color w:val="000000"/>
          <w:sz w:val="20"/>
          <w:szCs w:val="20"/>
        </w:rPr>
        <w:t>iASD</w:t>
      </w:r>
      <w:proofErr w:type="spellEnd"/>
      <w:r w:rsidR="00423902" w:rsidRPr="00423902">
        <w:rPr>
          <w:color w:val="000000"/>
          <w:sz w:val="20"/>
          <w:szCs w:val="20"/>
        </w:rPr>
        <w:t xml:space="preserve"> compared to TD (t = -2.94, p &lt; 0.01). The effect was not seen in PMS (t = -0.778, p = 0.44).</w:t>
      </w:r>
    </w:p>
    <w:p w14:paraId="7AC50375" w14:textId="35953FBE" w:rsidR="003D6244" w:rsidRPr="004E6CD2" w:rsidRDefault="003D6244" w:rsidP="003D6244">
      <w:pPr>
        <w:rPr>
          <w:color w:val="000000"/>
          <w:sz w:val="20"/>
          <w:szCs w:val="20"/>
          <w:lang w:val="en-GB"/>
        </w:rPr>
      </w:pPr>
      <w:r>
        <w:rPr>
          <w:b/>
          <w:iCs/>
          <w:color w:val="000000"/>
          <w:sz w:val="20"/>
          <w:szCs w:val="20"/>
          <w:lang w:val="en-GB"/>
        </w:rPr>
        <w:t xml:space="preserve">Discussion: </w:t>
      </w:r>
      <w:r w:rsidR="00423902" w:rsidRPr="00423902">
        <w:rPr>
          <w:iCs/>
          <w:color w:val="000000"/>
          <w:sz w:val="20"/>
          <w:szCs w:val="20"/>
        </w:rPr>
        <w:t>When ages are pooled across,</w:t>
      </w:r>
      <w:r w:rsidR="00423902" w:rsidRPr="00423902">
        <w:rPr>
          <w:iCs/>
          <w:color w:val="000000"/>
          <w:sz w:val="20"/>
          <w:szCs w:val="20"/>
          <w:u w:val="single"/>
        </w:rPr>
        <w:t xml:space="preserve"> </w:t>
      </w:r>
      <w:r w:rsidR="00423902" w:rsidRPr="00423902">
        <w:rPr>
          <w:iCs/>
          <w:color w:val="000000"/>
          <w:sz w:val="20"/>
          <w:szCs w:val="20"/>
        </w:rPr>
        <w:t xml:space="preserve">our findings revealed no group differences in ITC for either 20 Hz or 40 Hz ASSR. The lack of group differences in the ASSR ITC agrees with prior literature. Further, if age is not accounted for, ASSR may not be the most robust biomarker for ASD or PMS, vs TD. We did find that coherence strength increased with age at 40 Hz across groups, though more slowly so in </w:t>
      </w:r>
      <w:proofErr w:type="spellStart"/>
      <w:r w:rsidR="00423902" w:rsidRPr="00423902">
        <w:rPr>
          <w:iCs/>
          <w:color w:val="000000"/>
          <w:sz w:val="20"/>
          <w:szCs w:val="20"/>
        </w:rPr>
        <w:t>iASD</w:t>
      </w:r>
      <w:proofErr w:type="spellEnd"/>
      <w:r w:rsidR="00423902" w:rsidRPr="00423902">
        <w:rPr>
          <w:iCs/>
          <w:color w:val="000000"/>
          <w:sz w:val="20"/>
          <w:szCs w:val="20"/>
        </w:rPr>
        <w:t xml:space="preserve"> compared to TD. Since ASSR is an indication of the excitatory/inhibitory balance (E/I balance), our findings support that as participants get older, regardless of their diagnosis, auditory systems are maturing, resulting in stronger neural synchrony, and this development is delayed within the autism cohort. One limitation is we only had ASSR EEG collected from one adult diagnosed with PMS. Future directions can include collecting more adult PMS ASSR and exploring the ASSR development with age in PMS. Further, development may not be best represented linearly; adolescence is a critical period of brain maturation. Future research can explore if a non-linear model may be a better fit for changes in ASSR over time.</w:t>
      </w:r>
    </w:p>
    <w:p w14:paraId="54D9B778" w14:textId="77777777" w:rsidR="00423902" w:rsidRDefault="003D6244" w:rsidP="00423902">
      <w:pPr>
        <w:rPr>
          <w:b/>
          <w:color w:val="000000"/>
          <w:sz w:val="20"/>
          <w:szCs w:val="20"/>
          <w:lang w:val="en-GB"/>
        </w:rPr>
      </w:pPr>
      <w:r w:rsidRPr="00514B99">
        <w:rPr>
          <w:b/>
          <w:color w:val="000000"/>
          <w:sz w:val="20"/>
          <w:szCs w:val="20"/>
          <w:lang w:val="en-GB"/>
        </w:rPr>
        <w:lastRenderedPageBreak/>
        <w:t>References</w:t>
      </w:r>
      <w:r>
        <w:rPr>
          <w:b/>
          <w:color w:val="000000"/>
          <w:sz w:val="20"/>
          <w:szCs w:val="20"/>
          <w:lang w:val="en-GB"/>
        </w:rPr>
        <w:t xml:space="preserve">: </w:t>
      </w:r>
    </w:p>
    <w:p w14:paraId="464E30C4" w14:textId="6D305952" w:rsidR="00423902" w:rsidRPr="00423902" w:rsidRDefault="00423902" w:rsidP="00423902">
      <w:pPr>
        <w:rPr>
          <w:color w:val="000000"/>
          <w:sz w:val="20"/>
          <w:szCs w:val="20"/>
        </w:rPr>
      </w:pPr>
      <w:proofErr w:type="spellStart"/>
      <w:r w:rsidRPr="00423902">
        <w:rPr>
          <w:color w:val="000000"/>
          <w:sz w:val="20"/>
          <w:szCs w:val="20"/>
        </w:rPr>
        <w:t>Cakar</w:t>
      </w:r>
      <w:proofErr w:type="spellEnd"/>
      <w:r w:rsidRPr="00423902">
        <w:rPr>
          <w:color w:val="000000"/>
          <w:sz w:val="20"/>
          <w:szCs w:val="20"/>
        </w:rPr>
        <w:t>, M. E., Cummings, K. K., </w:t>
      </w:r>
      <w:proofErr w:type="spellStart"/>
      <w:r w:rsidRPr="00423902">
        <w:rPr>
          <w:color w:val="000000"/>
          <w:sz w:val="20"/>
          <w:szCs w:val="20"/>
        </w:rPr>
        <w:t>Bookheimer</w:t>
      </w:r>
      <w:proofErr w:type="spellEnd"/>
      <w:r w:rsidRPr="00423902">
        <w:rPr>
          <w:color w:val="000000"/>
          <w:sz w:val="20"/>
          <w:szCs w:val="20"/>
        </w:rPr>
        <w:t>, S. Y., </w:t>
      </w:r>
      <w:proofErr w:type="spellStart"/>
      <w:r w:rsidRPr="00423902">
        <w:rPr>
          <w:color w:val="000000"/>
          <w:sz w:val="20"/>
          <w:szCs w:val="20"/>
        </w:rPr>
        <w:t>Dapretto</w:t>
      </w:r>
      <w:proofErr w:type="spellEnd"/>
      <w:r w:rsidRPr="00423902">
        <w:rPr>
          <w:color w:val="000000"/>
          <w:sz w:val="20"/>
          <w:szCs w:val="20"/>
        </w:rPr>
        <w:t>, M., &amp; Green, S. A. (2023). Age-related changes in neural responses to sensory stimulation in autism: a cross-sectional study. </w:t>
      </w:r>
      <w:r w:rsidRPr="00423902">
        <w:rPr>
          <w:i/>
          <w:iCs/>
          <w:color w:val="000000"/>
          <w:sz w:val="20"/>
          <w:szCs w:val="20"/>
        </w:rPr>
        <w:t>Molecular autism</w:t>
      </w:r>
      <w:r w:rsidRPr="00423902">
        <w:rPr>
          <w:color w:val="000000"/>
          <w:sz w:val="20"/>
          <w:szCs w:val="20"/>
        </w:rPr>
        <w:t>, </w:t>
      </w:r>
      <w:r w:rsidRPr="00423902">
        <w:rPr>
          <w:i/>
          <w:iCs/>
          <w:color w:val="000000"/>
          <w:sz w:val="20"/>
          <w:szCs w:val="20"/>
        </w:rPr>
        <w:t>14</w:t>
      </w:r>
      <w:r w:rsidRPr="00423902">
        <w:rPr>
          <w:color w:val="000000"/>
          <w:sz w:val="20"/>
          <w:szCs w:val="20"/>
        </w:rPr>
        <w:t>(1), 38. https://doi.org/10.1186/s13229-023-00571-4</w:t>
      </w:r>
    </w:p>
    <w:p w14:paraId="7C106CC2" w14:textId="21957F17" w:rsidR="00423902" w:rsidRPr="00423902" w:rsidRDefault="00423902" w:rsidP="00423902">
      <w:pPr>
        <w:rPr>
          <w:color w:val="000000"/>
          <w:sz w:val="20"/>
          <w:szCs w:val="20"/>
        </w:rPr>
      </w:pPr>
      <w:r w:rsidRPr="00423902">
        <w:rPr>
          <w:color w:val="000000"/>
          <w:sz w:val="20"/>
          <w:szCs w:val="20"/>
        </w:rPr>
        <w:t>Edgar, J. C., Fisk, C. L., 4th, Liu, S., Pandey, J., Herrington, J. D., Schultz, R. T., &amp; Roberts, T. P. (2016). Translating Adult Electrophysiology Findings to Younger Patient Populations: Difficulty Measuring 40-Hz Auditory Steady-State Responses in Typically Developing Children and Children with Autism Spectrum Disorder. </w:t>
      </w:r>
      <w:r w:rsidRPr="00423902">
        <w:rPr>
          <w:i/>
          <w:iCs/>
          <w:color w:val="000000"/>
          <w:sz w:val="20"/>
          <w:szCs w:val="20"/>
        </w:rPr>
        <w:t>Developmental neuroscience</w:t>
      </w:r>
      <w:r w:rsidRPr="00423902">
        <w:rPr>
          <w:color w:val="000000"/>
          <w:sz w:val="20"/>
          <w:szCs w:val="20"/>
        </w:rPr>
        <w:t>, </w:t>
      </w:r>
      <w:r w:rsidRPr="00423902">
        <w:rPr>
          <w:i/>
          <w:iCs/>
          <w:color w:val="000000"/>
          <w:sz w:val="20"/>
          <w:szCs w:val="20"/>
        </w:rPr>
        <w:t>38</w:t>
      </w:r>
      <w:r w:rsidRPr="00423902">
        <w:rPr>
          <w:color w:val="000000"/>
          <w:sz w:val="20"/>
          <w:szCs w:val="20"/>
        </w:rPr>
        <w:t>(1), 1–14. </w:t>
      </w:r>
      <w:hyperlink r:id="rId10" w:history="1">
        <w:r w:rsidRPr="00423902">
          <w:rPr>
            <w:rStyle w:val="Hyperlink"/>
            <w:sz w:val="20"/>
            <w:szCs w:val="20"/>
          </w:rPr>
          <w:t>https://doi.org/10.1159/000441943</w:t>
        </w:r>
      </w:hyperlink>
    </w:p>
    <w:p w14:paraId="5371A9C1" w14:textId="06C6B4C1" w:rsidR="00423902" w:rsidRPr="00423902" w:rsidRDefault="00423902" w:rsidP="00423902">
      <w:pPr>
        <w:rPr>
          <w:color w:val="000000"/>
          <w:sz w:val="20"/>
          <w:szCs w:val="20"/>
        </w:rPr>
      </w:pPr>
      <w:r w:rsidRPr="00423902">
        <w:rPr>
          <w:color w:val="000000"/>
          <w:sz w:val="20"/>
          <w:szCs w:val="20"/>
        </w:rPr>
        <w:t>Ono, Y., Kudoh, K., Ikeda, T., Takahashi, T., Yoshimura, Y., </w:t>
      </w:r>
      <w:proofErr w:type="spellStart"/>
      <w:r w:rsidRPr="00423902">
        <w:rPr>
          <w:color w:val="000000"/>
          <w:sz w:val="20"/>
          <w:szCs w:val="20"/>
        </w:rPr>
        <w:t>Minabe</w:t>
      </w:r>
      <w:proofErr w:type="spellEnd"/>
      <w:r w:rsidRPr="00423902">
        <w:rPr>
          <w:color w:val="000000"/>
          <w:sz w:val="20"/>
          <w:szCs w:val="20"/>
        </w:rPr>
        <w:t>, Y., &amp; Kikuchi, M. (2020). Auditory steady-state response at 20 Hz and 40 Hz in young typically developing children and children with autism spectrum disorder. </w:t>
      </w:r>
      <w:r w:rsidRPr="00423902">
        <w:rPr>
          <w:i/>
          <w:iCs/>
          <w:color w:val="000000"/>
          <w:sz w:val="20"/>
          <w:szCs w:val="20"/>
        </w:rPr>
        <w:t>Psychiatry and clinical neurosciences</w:t>
      </w:r>
      <w:r w:rsidRPr="00423902">
        <w:rPr>
          <w:color w:val="000000"/>
          <w:sz w:val="20"/>
          <w:szCs w:val="20"/>
        </w:rPr>
        <w:t>, </w:t>
      </w:r>
      <w:r w:rsidRPr="00423902">
        <w:rPr>
          <w:i/>
          <w:iCs/>
          <w:color w:val="000000"/>
          <w:sz w:val="20"/>
          <w:szCs w:val="20"/>
        </w:rPr>
        <w:t>74</w:t>
      </w:r>
      <w:r w:rsidRPr="00423902">
        <w:rPr>
          <w:color w:val="000000"/>
          <w:sz w:val="20"/>
          <w:szCs w:val="20"/>
        </w:rPr>
        <w:t>(6), 354–361. https://doi.org/10.1111/pcn.12998</w:t>
      </w:r>
    </w:p>
    <w:p w14:paraId="3395ADAE" w14:textId="759BA25B" w:rsidR="00423902" w:rsidRPr="00423902" w:rsidRDefault="00423902" w:rsidP="00423902">
      <w:pPr>
        <w:rPr>
          <w:color w:val="000000"/>
          <w:sz w:val="20"/>
          <w:szCs w:val="20"/>
        </w:rPr>
      </w:pPr>
      <w:proofErr w:type="spellStart"/>
      <w:r w:rsidRPr="00423902">
        <w:rPr>
          <w:color w:val="000000"/>
          <w:sz w:val="20"/>
          <w:szCs w:val="20"/>
        </w:rPr>
        <w:t>Arutiunian</w:t>
      </w:r>
      <w:proofErr w:type="spellEnd"/>
      <w:r w:rsidRPr="00423902">
        <w:rPr>
          <w:color w:val="000000"/>
          <w:sz w:val="20"/>
          <w:szCs w:val="20"/>
        </w:rPr>
        <w:t>, V., </w:t>
      </w:r>
      <w:proofErr w:type="spellStart"/>
      <w:r w:rsidRPr="00423902">
        <w:rPr>
          <w:color w:val="000000"/>
          <w:sz w:val="20"/>
          <w:szCs w:val="20"/>
        </w:rPr>
        <w:t>Arcara</w:t>
      </w:r>
      <w:proofErr w:type="spellEnd"/>
      <w:r w:rsidRPr="00423902">
        <w:rPr>
          <w:color w:val="000000"/>
          <w:sz w:val="20"/>
          <w:szCs w:val="20"/>
        </w:rPr>
        <w:t>, G., </w:t>
      </w:r>
      <w:proofErr w:type="spellStart"/>
      <w:r w:rsidRPr="00423902">
        <w:rPr>
          <w:color w:val="000000"/>
          <w:sz w:val="20"/>
          <w:szCs w:val="20"/>
        </w:rPr>
        <w:t>Buyanova</w:t>
      </w:r>
      <w:proofErr w:type="spellEnd"/>
      <w:r w:rsidRPr="00423902">
        <w:rPr>
          <w:color w:val="000000"/>
          <w:sz w:val="20"/>
          <w:szCs w:val="20"/>
        </w:rPr>
        <w:t>, I., </w:t>
      </w:r>
      <w:proofErr w:type="spellStart"/>
      <w:r w:rsidRPr="00423902">
        <w:rPr>
          <w:color w:val="000000"/>
          <w:sz w:val="20"/>
          <w:szCs w:val="20"/>
        </w:rPr>
        <w:t>Gomozova</w:t>
      </w:r>
      <w:proofErr w:type="spellEnd"/>
      <w:r w:rsidRPr="00423902">
        <w:rPr>
          <w:color w:val="000000"/>
          <w:sz w:val="20"/>
          <w:szCs w:val="20"/>
        </w:rPr>
        <w:t>, M., &amp; </w:t>
      </w:r>
      <w:proofErr w:type="spellStart"/>
      <w:r w:rsidRPr="00423902">
        <w:rPr>
          <w:color w:val="000000"/>
          <w:sz w:val="20"/>
          <w:szCs w:val="20"/>
        </w:rPr>
        <w:t>Dragoy</w:t>
      </w:r>
      <w:proofErr w:type="spellEnd"/>
      <w:r w:rsidRPr="00423902">
        <w:rPr>
          <w:color w:val="000000"/>
          <w:sz w:val="20"/>
          <w:szCs w:val="20"/>
        </w:rPr>
        <w:t>, O. (2022). The age-related changes in 40 Hz Auditory Steady-State Response and sustained Event-Related Fields to the same amplitude-modulated tones in typically developing children: A magnetoencephalography study. </w:t>
      </w:r>
      <w:r w:rsidRPr="00423902">
        <w:rPr>
          <w:i/>
          <w:iCs/>
          <w:color w:val="000000"/>
          <w:sz w:val="20"/>
          <w:szCs w:val="20"/>
        </w:rPr>
        <w:t>Human brain mapping</w:t>
      </w:r>
      <w:r w:rsidRPr="00423902">
        <w:rPr>
          <w:color w:val="000000"/>
          <w:sz w:val="20"/>
          <w:szCs w:val="20"/>
        </w:rPr>
        <w:t>, </w:t>
      </w:r>
      <w:r w:rsidRPr="00423902">
        <w:rPr>
          <w:i/>
          <w:iCs/>
          <w:color w:val="000000"/>
          <w:sz w:val="20"/>
          <w:szCs w:val="20"/>
        </w:rPr>
        <w:t>43</w:t>
      </w:r>
      <w:r w:rsidRPr="00423902">
        <w:rPr>
          <w:color w:val="000000"/>
          <w:sz w:val="20"/>
          <w:szCs w:val="20"/>
        </w:rPr>
        <w:t>(17), 5370–5383. </w:t>
      </w:r>
      <w:hyperlink r:id="rId11" w:history="1">
        <w:r w:rsidRPr="00423902">
          <w:rPr>
            <w:rStyle w:val="Hyperlink"/>
            <w:sz w:val="20"/>
            <w:szCs w:val="20"/>
          </w:rPr>
          <w:t>https://doi.org/10.1002/hbm.26013</w:t>
        </w:r>
      </w:hyperlink>
    </w:p>
    <w:p w14:paraId="54B585D9" w14:textId="25D59646" w:rsidR="00423902" w:rsidRPr="00423902" w:rsidRDefault="00423902" w:rsidP="00423902">
      <w:pPr>
        <w:rPr>
          <w:color w:val="000000"/>
          <w:sz w:val="20"/>
          <w:szCs w:val="20"/>
        </w:rPr>
      </w:pPr>
      <w:r w:rsidRPr="00423902">
        <w:rPr>
          <w:color w:val="000000"/>
          <w:sz w:val="20"/>
          <w:szCs w:val="20"/>
        </w:rPr>
        <w:t>Roach, B. J., Ford, J. M., Hoffman, R. E., &amp; </w:t>
      </w:r>
      <w:proofErr w:type="spellStart"/>
      <w:r w:rsidRPr="00423902">
        <w:rPr>
          <w:color w:val="000000"/>
          <w:sz w:val="20"/>
          <w:szCs w:val="20"/>
        </w:rPr>
        <w:t>Mathalon</w:t>
      </w:r>
      <w:proofErr w:type="spellEnd"/>
      <w:r w:rsidRPr="00423902">
        <w:rPr>
          <w:color w:val="000000"/>
          <w:sz w:val="20"/>
          <w:szCs w:val="20"/>
        </w:rPr>
        <w:t>, D. H. (2013). Converging evidence for gamma synchrony deficits in schizophrenia. </w:t>
      </w:r>
      <w:r w:rsidRPr="00423902">
        <w:rPr>
          <w:i/>
          <w:iCs/>
          <w:color w:val="000000"/>
          <w:sz w:val="20"/>
          <w:szCs w:val="20"/>
        </w:rPr>
        <w:t>Supplements to Clinical neurophysiology</w:t>
      </w:r>
      <w:r w:rsidRPr="00423902">
        <w:rPr>
          <w:color w:val="000000"/>
          <w:sz w:val="20"/>
          <w:szCs w:val="20"/>
        </w:rPr>
        <w:t>, </w:t>
      </w:r>
      <w:r w:rsidRPr="00423902">
        <w:rPr>
          <w:i/>
          <w:iCs/>
          <w:color w:val="000000"/>
          <w:sz w:val="20"/>
          <w:szCs w:val="20"/>
        </w:rPr>
        <w:t>62</w:t>
      </w:r>
      <w:r w:rsidRPr="00423902">
        <w:rPr>
          <w:color w:val="000000"/>
          <w:sz w:val="20"/>
          <w:szCs w:val="20"/>
        </w:rPr>
        <w:t>, 163–180. </w:t>
      </w:r>
      <w:hyperlink r:id="rId12" w:history="1">
        <w:r w:rsidRPr="00423902">
          <w:rPr>
            <w:rStyle w:val="Hyperlink"/>
            <w:sz w:val="20"/>
            <w:szCs w:val="20"/>
          </w:rPr>
          <w:t>https://doi.org/10.1016/b978-0-7020-5307-8.00011-9</w:t>
        </w:r>
      </w:hyperlink>
    </w:p>
    <w:p w14:paraId="7A90A585" w14:textId="344C1383" w:rsidR="00423902" w:rsidRPr="00423902" w:rsidRDefault="00423902" w:rsidP="00423902">
      <w:pPr>
        <w:rPr>
          <w:color w:val="000000"/>
          <w:sz w:val="20"/>
          <w:szCs w:val="20"/>
        </w:rPr>
      </w:pPr>
      <w:r w:rsidRPr="00423902">
        <w:rPr>
          <w:color w:val="000000"/>
          <w:sz w:val="20"/>
          <w:szCs w:val="20"/>
        </w:rPr>
        <w:t>Tada, M., Nagai, T., </w:t>
      </w:r>
      <w:proofErr w:type="spellStart"/>
      <w:r w:rsidRPr="00423902">
        <w:rPr>
          <w:color w:val="000000"/>
          <w:sz w:val="20"/>
          <w:szCs w:val="20"/>
        </w:rPr>
        <w:t>Kirihara</w:t>
      </w:r>
      <w:proofErr w:type="spellEnd"/>
      <w:r w:rsidRPr="00423902">
        <w:rPr>
          <w:color w:val="000000"/>
          <w:sz w:val="20"/>
          <w:szCs w:val="20"/>
        </w:rPr>
        <w:t>, K., Koike, S., </w:t>
      </w:r>
      <w:proofErr w:type="spellStart"/>
      <w:r w:rsidRPr="00423902">
        <w:rPr>
          <w:color w:val="000000"/>
          <w:sz w:val="20"/>
          <w:szCs w:val="20"/>
        </w:rPr>
        <w:t>Suga</w:t>
      </w:r>
      <w:proofErr w:type="spellEnd"/>
      <w:r w:rsidRPr="00423902">
        <w:rPr>
          <w:color w:val="000000"/>
          <w:sz w:val="20"/>
          <w:szCs w:val="20"/>
        </w:rPr>
        <w:t>, M., Araki, T., Kobayashi, T., &amp; Kasai, K. (2016). Differential Alterations of Auditory Gamma Oscillatory Responses Between Pre-Onset High-Risk Individuals and First-Episode Schizophrenia. </w:t>
      </w:r>
      <w:r w:rsidRPr="00423902">
        <w:rPr>
          <w:i/>
          <w:iCs/>
          <w:color w:val="000000"/>
          <w:sz w:val="20"/>
          <w:szCs w:val="20"/>
        </w:rPr>
        <w:t>Cerebral cortex (New York, N.Y. :1991)</w:t>
      </w:r>
      <w:r w:rsidRPr="00423902">
        <w:rPr>
          <w:color w:val="000000"/>
          <w:sz w:val="20"/>
          <w:szCs w:val="20"/>
        </w:rPr>
        <w:t>, </w:t>
      </w:r>
      <w:r w:rsidRPr="00423902">
        <w:rPr>
          <w:i/>
          <w:iCs/>
          <w:color w:val="000000"/>
          <w:sz w:val="20"/>
          <w:szCs w:val="20"/>
        </w:rPr>
        <w:t>26</w:t>
      </w:r>
      <w:r w:rsidRPr="00423902">
        <w:rPr>
          <w:color w:val="000000"/>
          <w:sz w:val="20"/>
          <w:szCs w:val="20"/>
        </w:rPr>
        <w:t>(3), 1027–1035. https://doi.org/10.1093/cercor/bhu278</w:t>
      </w:r>
    </w:p>
    <w:p w14:paraId="7AC50376" w14:textId="6595565D" w:rsidR="003D6244" w:rsidRPr="00423902" w:rsidRDefault="00423902" w:rsidP="003D6244">
      <w:pPr>
        <w:rPr>
          <w:color w:val="000000"/>
          <w:sz w:val="20"/>
          <w:szCs w:val="20"/>
        </w:rPr>
      </w:pPr>
      <w:proofErr w:type="spellStart"/>
      <w:r w:rsidRPr="00423902">
        <w:rPr>
          <w:color w:val="000000"/>
          <w:sz w:val="20"/>
          <w:szCs w:val="20"/>
        </w:rPr>
        <w:t>Isenstein</w:t>
      </w:r>
      <w:proofErr w:type="spellEnd"/>
      <w:r w:rsidRPr="00423902">
        <w:rPr>
          <w:color w:val="000000"/>
          <w:sz w:val="20"/>
          <w:szCs w:val="20"/>
        </w:rPr>
        <w:t>, E. L., </w:t>
      </w:r>
      <w:proofErr w:type="spellStart"/>
      <w:r w:rsidRPr="00423902">
        <w:rPr>
          <w:color w:val="000000"/>
          <w:sz w:val="20"/>
          <w:szCs w:val="20"/>
        </w:rPr>
        <w:t>Grosman</w:t>
      </w:r>
      <w:proofErr w:type="spellEnd"/>
      <w:r w:rsidRPr="00423902">
        <w:rPr>
          <w:color w:val="000000"/>
          <w:sz w:val="20"/>
          <w:szCs w:val="20"/>
        </w:rPr>
        <w:t>, H. E., Guillory, S. B., Zhang, Y., Barkley, S., McLaughlin, C. S., Levy, T., Halpern, D., </w:t>
      </w:r>
      <w:proofErr w:type="spellStart"/>
      <w:r w:rsidRPr="00423902">
        <w:rPr>
          <w:color w:val="000000"/>
          <w:sz w:val="20"/>
          <w:szCs w:val="20"/>
        </w:rPr>
        <w:t>Siper</w:t>
      </w:r>
      <w:proofErr w:type="spellEnd"/>
      <w:r w:rsidRPr="00423902">
        <w:rPr>
          <w:color w:val="000000"/>
          <w:sz w:val="20"/>
          <w:szCs w:val="20"/>
        </w:rPr>
        <w:t>, P. M., Buxbaum, J. D., </w:t>
      </w:r>
      <w:proofErr w:type="spellStart"/>
      <w:r w:rsidRPr="00423902">
        <w:rPr>
          <w:color w:val="000000"/>
          <w:sz w:val="20"/>
          <w:szCs w:val="20"/>
        </w:rPr>
        <w:t>Kolevzon</w:t>
      </w:r>
      <w:proofErr w:type="spellEnd"/>
      <w:r w:rsidRPr="00423902">
        <w:rPr>
          <w:color w:val="000000"/>
          <w:sz w:val="20"/>
          <w:szCs w:val="20"/>
        </w:rPr>
        <w:t>, A., &amp; Foss-Feig, J. H. (2022). Neural Markers of Auditory Response and Habituation in Phelan-</w:t>
      </w:r>
      <w:proofErr w:type="spellStart"/>
      <w:r w:rsidRPr="00423902">
        <w:rPr>
          <w:color w:val="000000"/>
          <w:sz w:val="20"/>
          <w:szCs w:val="20"/>
        </w:rPr>
        <w:t>McDermidSyndrome</w:t>
      </w:r>
      <w:proofErr w:type="spellEnd"/>
      <w:r w:rsidRPr="00423902">
        <w:rPr>
          <w:color w:val="000000"/>
          <w:sz w:val="20"/>
          <w:szCs w:val="20"/>
        </w:rPr>
        <w:t>. </w:t>
      </w:r>
      <w:r w:rsidRPr="00423902">
        <w:rPr>
          <w:i/>
          <w:iCs/>
          <w:color w:val="000000"/>
          <w:sz w:val="20"/>
          <w:szCs w:val="20"/>
        </w:rPr>
        <w:t>Frontiers in neuroscience</w:t>
      </w:r>
      <w:r w:rsidRPr="00423902">
        <w:rPr>
          <w:color w:val="000000"/>
          <w:sz w:val="20"/>
          <w:szCs w:val="20"/>
        </w:rPr>
        <w:t>, </w:t>
      </w:r>
      <w:r w:rsidRPr="00423902">
        <w:rPr>
          <w:i/>
          <w:iCs/>
          <w:color w:val="000000"/>
          <w:sz w:val="20"/>
          <w:szCs w:val="20"/>
        </w:rPr>
        <w:t>16</w:t>
      </w:r>
      <w:r w:rsidRPr="00423902">
        <w:rPr>
          <w:color w:val="000000"/>
          <w:sz w:val="20"/>
          <w:szCs w:val="20"/>
        </w:rPr>
        <w:t>, 815933. https://doi.org/10.3389/fnins.2022.815933</w:t>
      </w:r>
    </w:p>
    <w:p w14:paraId="4B5CF32B" w14:textId="77777777" w:rsidR="00423902" w:rsidRDefault="00423902" w:rsidP="00423902">
      <w:pPr>
        <w:pStyle w:val="FootnoteText"/>
      </w:pPr>
      <w:r w:rsidRPr="00423902">
        <w:rPr>
          <w:vertAlign w:val="superscript"/>
        </w:rPr>
        <w:t>1</w:t>
      </w:r>
      <w:r>
        <w:t>Seaver Autism Center for Research and Treatment, Icahn School of Medicine at Mount Sinai, New York, NY</w:t>
      </w:r>
    </w:p>
    <w:p w14:paraId="3AE888C5" w14:textId="77777777" w:rsidR="00423902" w:rsidRDefault="00423902" w:rsidP="00423902">
      <w:pPr>
        <w:pStyle w:val="FootnoteText"/>
      </w:pPr>
      <w:r w:rsidRPr="00423902">
        <w:rPr>
          <w:vertAlign w:val="superscript"/>
        </w:rPr>
        <w:t>2</w:t>
      </w:r>
      <w:r>
        <w:t>Department of Psychiatry at Icahn School of Medicine at Mount Sinai</w:t>
      </w:r>
    </w:p>
    <w:p w14:paraId="373222FE" w14:textId="77777777" w:rsidR="00423902" w:rsidRDefault="00423902" w:rsidP="00423902">
      <w:pPr>
        <w:pStyle w:val="FootnoteText"/>
      </w:pPr>
      <w:r w:rsidRPr="00423902">
        <w:rPr>
          <w:vertAlign w:val="superscript"/>
        </w:rPr>
        <w:t>3</w:t>
      </w:r>
      <w:r>
        <w:t>Icahn School of Medicine at Mount Sinai</w:t>
      </w:r>
    </w:p>
    <w:p w14:paraId="68B571CF" w14:textId="1E4E26C5" w:rsidR="00423902" w:rsidRDefault="00423902" w:rsidP="00423902">
      <w:pPr>
        <w:pStyle w:val="FootnoteText"/>
      </w:pPr>
      <w:r w:rsidRPr="00423902">
        <w:rPr>
          <w:vertAlign w:val="superscript"/>
        </w:rPr>
        <w:t>4</w:t>
      </w:r>
      <w:r>
        <w:t>Department of Psychology, Stony Brook University</w:t>
      </w:r>
    </w:p>
    <w:p w14:paraId="1FE9D273" w14:textId="77777777" w:rsidR="00423902" w:rsidRDefault="00423902" w:rsidP="00423902">
      <w:pPr>
        <w:pStyle w:val="FootnoteText"/>
      </w:pPr>
      <w:r w:rsidRPr="00423902">
        <w:rPr>
          <w:vertAlign w:val="superscript"/>
        </w:rPr>
        <w:t>5</w:t>
      </w:r>
      <w:r>
        <w:t>Mindich Child Health and Development Institute</w:t>
      </w:r>
    </w:p>
    <w:p w14:paraId="21A04D02" w14:textId="77777777" w:rsidR="00423902" w:rsidRDefault="00423902" w:rsidP="00423902">
      <w:pPr>
        <w:pStyle w:val="FootnoteText"/>
      </w:pPr>
      <w:r w:rsidRPr="00423902">
        <w:rPr>
          <w:vertAlign w:val="superscript"/>
        </w:rPr>
        <w:t>6</w:t>
      </w:r>
      <w:r>
        <w:t>Department of Neuroscience at Icahn School of Medicine at Mount Sinai</w:t>
      </w:r>
    </w:p>
    <w:p w14:paraId="650F333D" w14:textId="77777777" w:rsidR="00423902" w:rsidRDefault="00423902" w:rsidP="00423902">
      <w:pPr>
        <w:pStyle w:val="FootnoteText"/>
      </w:pPr>
      <w:r w:rsidRPr="00423902">
        <w:rPr>
          <w:vertAlign w:val="superscript"/>
        </w:rPr>
        <w:t>7</w:t>
      </w:r>
      <w:r>
        <w:t>Friedman Brain Institute</w:t>
      </w:r>
    </w:p>
    <w:p w14:paraId="47EA3AAF" w14:textId="77777777" w:rsidR="00423902" w:rsidRDefault="00423902" w:rsidP="00423902">
      <w:pPr>
        <w:pStyle w:val="FootnoteText"/>
      </w:pPr>
      <w:r w:rsidRPr="00423902">
        <w:rPr>
          <w:vertAlign w:val="superscript"/>
        </w:rPr>
        <w:t>8</w:t>
      </w:r>
      <w:r>
        <w:t>Department of Genetics and Genomic Sciences at Icahn School of Medicine at Mount Sinai</w:t>
      </w:r>
    </w:p>
    <w:p w14:paraId="448D5A2D" w14:textId="77777777" w:rsidR="00423902" w:rsidRDefault="00423902" w:rsidP="00423902">
      <w:pPr>
        <w:pStyle w:val="FootnoteText"/>
      </w:pPr>
      <w:r w:rsidRPr="00423902">
        <w:rPr>
          <w:vertAlign w:val="superscript"/>
        </w:rPr>
        <w:t>9</w:t>
      </w:r>
      <w:r>
        <w:t>Department of Pediatrics at Icahn School of Medicine at Mount Sinai</w:t>
      </w:r>
    </w:p>
    <w:p w14:paraId="3038CB1C" w14:textId="77777777" w:rsidR="00423902" w:rsidRDefault="00423902" w:rsidP="00423902">
      <w:pPr>
        <w:pStyle w:val="FootnoteText"/>
      </w:pPr>
      <w:r w:rsidRPr="00423902">
        <w:rPr>
          <w:vertAlign w:val="superscript"/>
        </w:rPr>
        <w:t>10</w:t>
      </w:r>
      <w:r>
        <w:t>Department of Psychology, Montclair State University</w:t>
      </w:r>
    </w:p>
    <w:p w14:paraId="1D9372D9" w14:textId="02DE964D" w:rsidR="00423902" w:rsidRPr="008B1E03" w:rsidRDefault="00423902" w:rsidP="00423902">
      <w:pPr>
        <w:pStyle w:val="FootnoteText"/>
      </w:pPr>
      <w:r w:rsidRPr="00423902">
        <w:rPr>
          <w:vertAlign w:val="superscript"/>
        </w:rPr>
        <w:t>11</w:t>
      </w:r>
      <w:r>
        <w:t>Yeshiva University</w:t>
      </w:r>
    </w:p>
    <w:p w14:paraId="7AC5037A" w14:textId="77777777" w:rsidR="001C735E" w:rsidRPr="003D6244" w:rsidRDefault="001C735E" w:rsidP="003D6244"/>
    <w:sectPr w:rsidR="001C735E" w:rsidRPr="003D6244"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553E5" w14:textId="77777777" w:rsidR="00707915" w:rsidRDefault="00707915" w:rsidP="00A16498">
      <w:pPr>
        <w:spacing w:after="0" w:line="240" w:lineRule="auto"/>
      </w:pPr>
      <w:r>
        <w:separator/>
      </w:r>
    </w:p>
  </w:endnote>
  <w:endnote w:type="continuationSeparator" w:id="0">
    <w:p w14:paraId="0596DA27" w14:textId="77777777" w:rsidR="00707915" w:rsidRDefault="00707915"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707915" w:rsidRPr="00F361B2" w:rsidRDefault="00707915"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707915" w:rsidRDefault="00707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823F" w14:textId="77777777" w:rsidR="00707915" w:rsidRDefault="00707915" w:rsidP="00A16498">
      <w:pPr>
        <w:spacing w:after="0" w:line="240" w:lineRule="auto"/>
      </w:pPr>
      <w:r>
        <w:separator/>
      </w:r>
    </w:p>
  </w:footnote>
  <w:footnote w:type="continuationSeparator" w:id="0">
    <w:p w14:paraId="7EA42F11" w14:textId="77777777" w:rsidR="00707915" w:rsidRDefault="00707915"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037F" w14:textId="5F101385" w:rsidR="00707915" w:rsidRDefault="00707915">
    <w:pPr>
      <w:pStyle w:val="Header"/>
    </w:pPr>
    <w:r>
      <w:rPr>
        <w:noProof/>
      </w:rPr>
      <mc:AlternateContent>
        <mc:Choice Requires="wps">
          <w:drawing>
            <wp:anchor distT="0" distB="0" distL="114300" distR="114300" simplePos="0" relativeHeight="251659264" behindDoc="0" locked="0" layoutInCell="1" allowOverlap="1" wp14:anchorId="06C9D154" wp14:editId="13FB623C">
              <wp:simplePos x="0" y="0"/>
              <wp:positionH relativeFrom="column">
                <wp:posOffset>-24857</wp:posOffset>
              </wp:positionH>
              <wp:positionV relativeFrom="paragraph">
                <wp:posOffset>-235258</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707915" w:rsidRPr="007B4CE7" w:rsidRDefault="00707915">
                              <w:pPr>
                                <w:pStyle w:val="Header"/>
                                <w:rPr>
                                  <w:rFonts w:ascii="Kefa" w:hAnsi="Kefa"/>
                                  <w:b/>
                                  <w:color w:val="444C6A"/>
                                  <w:sz w:val="36"/>
                                  <w:szCs w:val="36"/>
                                </w:rPr>
                              </w:pPr>
                              <w:r w:rsidRPr="007B4CE7">
                                <w:rPr>
                                  <w:rFonts w:ascii="Kefa" w:hAnsi="Kefa"/>
                                  <w:b/>
                                  <w:color w:val="444C6A"/>
                                  <w:sz w:val="36"/>
                                  <w:szCs w:val="36"/>
                                </w:rPr>
                                <w:t>202</w:t>
                              </w:r>
                              <w:r>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06C9D154" id="Rectangle 197" o:spid="_x0000_s1026" style="position:absolute;margin-left:-1.95pt;margin-top:-18.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707915" w:rsidRPr="007B4CE7" w:rsidRDefault="00707915">
                        <w:pPr>
                          <w:pStyle w:val="Header"/>
                          <w:rPr>
                            <w:rFonts w:ascii="Kefa" w:hAnsi="Kefa"/>
                            <w:b/>
                            <w:color w:val="444C6A"/>
                            <w:sz w:val="36"/>
                            <w:szCs w:val="36"/>
                          </w:rPr>
                        </w:pPr>
                        <w:r w:rsidRPr="007B4CE7">
                          <w:rPr>
                            <w:rFonts w:ascii="Kefa" w:hAnsi="Kefa"/>
                            <w:b/>
                            <w:color w:val="444C6A"/>
                            <w:sz w:val="36"/>
                            <w:szCs w:val="36"/>
                          </w:rPr>
                          <w:t>202</w:t>
                        </w:r>
                        <w:r>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707915" w:rsidRDefault="00707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23902"/>
    <w:rsid w:val="00444D82"/>
    <w:rsid w:val="004473AC"/>
    <w:rsid w:val="00452576"/>
    <w:rsid w:val="0045428A"/>
    <w:rsid w:val="00550360"/>
    <w:rsid w:val="00577DC4"/>
    <w:rsid w:val="0059601C"/>
    <w:rsid w:val="005F3158"/>
    <w:rsid w:val="00625543"/>
    <w:rsid w:val="006535AF"/>
    <w:rsid w:val="006637E7"/>
    <w:rsid w:val="0069448E"/>
    <w:rsid w:val="006C05DD"/>
    <w:rsid w:val="00707915"/>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423902"/>
    <w:rPr>
      <w:rFonts w:ascii="Times New Roman" w:hAnsi="Times New Roman" w:cs="Times New Roman"/>
      <w:sz w:val="24"/>
      <w:szCs w:val="24"/>
    </w:rPr>
  </w:style>
  <w:style w:type="character" w:styleId="Hyperlink">
    <w:name w:val="Hyperlink"/>
    <w:basedOn w:val="DefaultParagraphFont"/>
    <w:uiPriority w:val="99"/>
    <w:unhideWhenUsed/>
    <w:rsid w:val="00423902"/>
    <w:rPr>
      <w:color w:val="0000FF" w:themeColor="hyperlink"/>
      <w:u w:val="single"/>
    </w:rPr>
  </w:style>
  <w:style w:type="character" w:styleId="UnresolvedMention">
    <w:name w:val="Unresolved Mention"/>
    <w:basedOn w:val="DefaultParagraphFont"/>
    <w:uiPriority w:val="99"/>
    <w:semiHidden/>
    <w:unhideWhenUsed/>
    <w:rsid w:val="00423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91167">
      <w:bodyDiv w:val="1"/>
      <w:marLeft w:val="0"/>
      <w:marRight w:val="0"/>
      <w:marTop w:val="0"/>
      <w:marBottom w:val="0"/>
      <w:divBdr>
        <w:top w:val="none" w:sz="0" w:space="0" w:color="auto"/>
        <w:left w:val="none" w:sz="0" w:space="0" w:color="auto"/>
        <w:bottom w:val="none" w:sz="0" w:space="0" w:color="auto"/>
        <w:right w:val="none" w:sz="0" w:space="0" w:color="auto"/>
      </w:divBdr>
    </w:div>
    <w:div w:id="11338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b978-0-7020-5307-8.00011-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2/hbm.2601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159/0004419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Abigaël Thinakaran</cp:lastModifiedBy>
  <cp:revision>4</cp:revision>
  <dcterms:created xsi:type="dcterms:W3CDTF">2023-09-01T15:06:00Z</dcterms:created>
  <dcterms:modified xsi:type="dcterms:W3CDTF">2024-11-04T13:19:00Z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