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CB283" w14:textId="77777777" w:rsidR="0095444F" w:rsidRPr="007F7444" w:rsidRDefault="003D6244" w:rsidP="0095444F">
      <w:pPr>
        <w:pStyle w:val="NormalWeb"/>
        <w:spacing w:before="0" w:beforeAutospacing="0" w:after="0" w:afterAutospacing="0"/>
        <w:rPr>
          <w:rFonts w:ascii="Arial" w:hAnsi="Arial" w:cs="Arial"/>
          <w:b/>
          <w:bCs/>
          <w:color w:val="000000"/>
          <w:sz w:val="22"/>
          <w:szCs w:val="22"/>
        </w:rPr>
      </w:pPr>
      <w:r w:rsidRPr="007F7444">
        <w:rPr>
          <w:rFonts w:ascii="Arial" w:hAnsi="Arial" w:cs="Arial"/>
          <w:b/>
          <w:sz w:val="22"/>
          <w:szCs w:val="22"/>
        </w:rPr>
        <w:t>Title</w:t>
      </w:r>
      <w:r w:rsidRPr="007F7444">
        <w:rPr>
          <w:rFonts w:ascii="Arial" w:hAnsi="Arial" w:cs="Arial"/>
          <w:sz w:val="22"/>
          <w:szCs w:val="22"/>
        </w:rPr>
        <w:t xml:space="preserve">: </w:t>
      </w:r>
      <w:r w:rsidR="0095444F" w:rsidRPr="007F7444">
        <w:rPr>
          <w:rFonts w:ascii="Arial" w:hAnsi="Arial" w:cs="Arial"/>
          <w:b/>
          <w:bCs/>
          <w:color w:val="000000"/>
          <w:sz w:val="22"/>
          <w:szCs w:val="22"/>
        </w:rPr>
        <w:t>T</w:t>
      </w:r>
      <w:r w:rsidR="0095444F" w:rsidRPr="007F7444">
        <w:rPr>
          <w:rFonts w:ascii="Arial" w:hAnsi="Arial" w:cs="Arial"/>
          <w:b/>
          <w:bCs/>
          <w:color w:val="000000"/>
          <w:sz w:val="22"/>
          <w:szCs w:val="22"/>
        </w:rPr>
        <w:t>he Predictive Role of</w:t>
      </w:r>
      <w:r w:rsidR="0095444F" w:rsidRPr="007F7444">
        <w:rPr>
          <w:rFonts w:ascii="Arial" w:hAnsi="Arial" w:cs="Arial"/>
          <w:b/>
          <w:bCs/>
          <w:color w:val="000000"/>
          <w:sz w:val="22"/>
          <w:szCs w:val="22"/>
        </w:rPr>
        <w:t xml:space="preserve"> Neural Index of Executive Functioning and Elementary </w:t>
      </w:r>
      <w:r w:rsidR="0095444F" w:rsidRPr="007F7444">
        <w:rPr>
          <w:rFonts w:ascii="Arial" w:hAnsi="Arial" w:cs="Arial"/>
          <w:b/>
          <w:bCs/>
          <w:color w:val="000000"/>
          <w:sz w:val="22"/>
          <w:szCs w:val="22"/>
        </w:rPr>
        <w:t xml:space="preserve">School </w:t>
      </w:r>
      <w:r w:rsidR="0095444F" w:rsidRPr="007F7444">
        <w:rPr>
          <w:rFonts w:ascii="Arial" w:hAnsi="Arial" w:cs="Arial"/>
          <w:b/>
          <w:bCs/>
          <w:color w:val="000000"/>
          <w:sz w:val="22"/>
          <w:szCs w:val="22"/>
        </w:rPr>
        <w:t>Children</w:t>
      </w:r>
      <w:r w:rsidR="0095444F" w:rsidRPr="007F7444">
        <w:rPr>
          <w:rFonts w:ascii="Arial" w:hAnsi="Arial" w:cs="Arial"/>
          <w:b/>
          <w:bCs/>
          <w:color w:val="000000"/>
          <w:sz w:val="22"/>
          <w:szCs w:val="22"/>
        </w:rPr>
        <w:t>’s Reading Comprehension</w:t>
      </w:r>
    </w:p>
    <w:p w14:paraId="1E45952E" w14:textId="7D8F102E" w:rsidR="0095444F" w:rsidRPr="007F7444" w:rsidRDefault="0095444F" w:rsidP="0095444F">
      <w:pPr>
        <w:pStyle w:val="NormalWeb"/>
        <w:spacing w:before="0" w:beforeAutospacing="0" w:after="0" w:afterAutospacing="0"/>
        <w:rPr>
          <w:rFonts w:ascii="Arial" w:hAnsi="Arial" w:cs="Arial"/>
          <w:sz w:val="22"/>
          <w:szCs w:val="22"/>
        </w:rPr>
      </w:pPr>
      <w:r w:rsidRPr="007F7444">
        <w:rPr>
          <w:rFonts w:ascii="Arial" w:hAnsi="Arial" w:cs="Arial"/>
          <w:b/>
          <w:bCs/>
          <w:color w:val="000000"/>
          <w:sz w:val="22"/>
          <w:szCs w:val="22"/>
        </w:rPr>
        <w:br/>
      </w:r>
      <w:r w:rsidR="003D6244" w:rsidRPr="007F7444">
        <w:rPr>
          <w:rFonts w:ascii="Arial" w:hAnsi="Arial" w:cs="Arial"/>
          <w:b/>
          <w:sz w:val="22"/>
          <w:szCs w:val="22"/>
        </w:rPr>
        <w:t>Authors</w:t>
      </w:r>
      <w:r w:rsidR="003D6244" w:rsidRPr="007F7444">
        <w:rPr>
          <w:rFonts w:ascii="Arial" w:hAnsi="Arial" w:cs="Arial"/>
          <w:sz w:val="22"/>
          <w:szCs w:val="22"/>
        </w:rPr>
        <w:t xml:space="preserve">: </w:t>
      </w:r>
      <w:r w:rsidRPr="007F7444">
        <w:rPr>
          <w:rFonts w:ascii="Arial" w:hAnsi="Arial" w:cs="Arial"/>
          <w:color w:val="000000"/>
          <w:sz w:val="22"/>
          <w:szCs w:val="22"/>
        </w:rPr>
        <w:t>Qinxin Shi</w:t>
      </w:r>
      <w:r w:rsidRPr="007F7444">
        <w:rPr>
          <w:rFonts w:ascii="Arial" w:hAnsi="Arial" w:cs="Arial"/>
          <w:color w:val="000000"/>
          <w:sz w:val="22"/>
          <w:szCs w:val="22"/>
          <w:vertAlign w:val="superscript"/>
        </w:rPr>
        <w:t>1</w:t>
      </w:r>
      <w:r w:rsidRPr="007F7444">
        <w:rPr>
          <w:rFonts w:ascii="Arial" w:hAnsi="Arial" w:cs="Arial"/>
          <w:color w:val="000000"/>
          <w:sz w:val="22"/>
          <w:szCs w:val="22"/>
        </w:rPr>
        <w:t>, Ph.D., Huilin “Linda” Sun</w:t>
      </w:r>
      <w:r w:rsidRPr="007F7444">
        <w:rPr>
          <w:rFonts w:ascii="Arial" w:hAnsi="Arial" w:cs="Arial"/>
          <w:color w:val="000000"/>
          <w:sz w:val="22"/>
          <w:szCs w:val="22"/>
          <w:vertAlign w:val="superscript"/>
        </w:rPr>
        <w:t>2</w:t>
      </w:r>
      <w:r w:rsidRPr="007F7444">
        <w:rPr>
          <w:rFonts w:ascii="Arial" w:hAnsi="Arial" w:cs="Arial"/>
          <w:color w:val="000000"/>
          <w:sz w:val="22"/>
          <w:szCs w:val="22"/>
        </w:rPr>
        <w:t>, Ph.D., Saeedeh Pazoki</w:t>
      </w:r>
      <w:r w:rsidRPr="007F7444">
        <w:rPr>
          <w:rFonts w:ascii="Arial" w:hAnsi="Arial" w:cs="Arial"/>
          <w:color w:val="000000"/>
          <w:sz w:val="22"/>
          <w:szCs w:val="22"/>
          <w:vertAlign w:val="superscript"/>
        </w:rPr>
        <w:t>3</w:t>
      </w:r>
      <w:r w:rsidRPr="007F7444">
        <w:rPr>
          <w:rFonts w:ascii="Arial" w:hAnsi="Arial" w:cs="Arial"/>
          <w:color w:val="000000"/>
          <w:sz w:val="22"/>
          <w:szCs w:val="22"/>
        </w:rPr>
        <w:t>, M.S., Steven Woltering</w:t>
      </w:r>
      <w:r w:rsidRPr="007F7444">
        <w:rPr>
          <w:rFonts w:ascii="Arial" w:hAnsi="Arial" w:cs="Arial"/>
          <w:color w:val="000000"/>
          <w:sz w:val="22"/>
          <w:szCs w:val="22"/>
          <w:vertAlign w:val="superscript"/>
        </w:rPr>
        <w:t>4</w:t>
      </w:r>
      <w:r w:rsidRPr="007F7444">
        <w:rPr>
          <w:rFonts w:ascii="Arial" w:hAnsi="Arial" w:cs="Arial"/>
          <w:color w:val="000000"/>
          <w:sz w:val="22"/>
          <w:szCs w:val="22"/>
        </w:rPr>
        <w:t xml:space="preserve">, </w:t>
      </w:r>
      <w:proofErr w:type="spellStart"/>
      <w:proofErr w:type="gramStart"/>
      <w:r w:rsidRPr="007F7444">
        <w:rPr>
          <w:rFonts w:ascii="Arial" w:hAnsi="Arial" w:cs="Arial"/>
          <w:color w:val="000000"/>
          <w:sz w:val="22"/>
          <w:szCs w:val="22"/>
        </w:rPr>
        <w:t>Ph.D</w:t>
      </w:r>
      <w:proofErr w:type="spellEnd"/>
      <w:proofErr w:type="gramEnd"/>
      <w:r w:rsidRPr="007F7444">
        <w:rPr>
          <w:rFonts w:ascii="Arial" w:hAnsi="Arial" w:cs="Arial"/>
          <w:color w:val="000000"/>
          <w:sz w:val="22"/>
          <w:szCs w:val="22"/>
        </w:rPr>
        <w:t> </w:t>
      </w:r>
    </w:p>
    <w:p w14:paraId="6E78BCB5" w14:textId="77777777" w:rsidR="0095444F" w:rsidRPr="007F7444" w:rsidRDefault="0095444F" w:rsidP="0095444F">
      <w:pPr>
        <w:pStyle w:val="NormalWeb"/>
        <w:spacing w:before="0" w:beforeAutospacing="0" w:after="0" w:afterAutospacing="0"/>
        <w:rPr>
          <w:rFonts w:ascii="Arial" w:hAnsi="Arial" w:cs="Arial"/>
          <w:sz w:val="22"/>
          <w:szCs w:val="22"/>
        </w:rPr>
      </w:pPr>
      <w:r w:rsidRPr="007F7444">
        <w:rPr>
          <w:rFonts w:ascii="Arial" w:hAnsi="Arial" w:cs="Arial"/>
          <w:color w:val="000000"/>
          <w:sz w:val="22"/>
          <w:szCs w:val="22"/>
          <w:vertAlign w:val="superscript"/>
        </w:rPr>
        <w:t>1</w:t>
      </w:r>
      <w:r w:rsidRPr="007F7444">
        <w:rPr>
          <w:rFonts w:ascii="Arial" w:hAnsi="Arial" w:cs="Arial"/>
          <w:color w:val="000000"/>
          <w:sz w:val="22"/>
          <w:szCs w:val="22"/>
        </w:rPr>
        <w:t>Department of Psychiatry and Behavioral Sciences, Children’s National Hospital, Washington, DC</w:t>
      </w:r>
    </w:p>
    <w:p w14:paraId="28EC5208" w14:textId="77777777" w:rsidR="0095444F" w:rsidRPr="007F7444" w:rsidRDefault="0095444F" w:rsidP="0095444F">
      <w:pPr>
        <w:pStyle w:val="NormalWeb"/>
        <w:spacing w:before="0" w:beforeAutospacing="0" w:after="0" w:afterAutospacing="0"/>
        <w:rPr>
          <w:rFonts w:ascii="Arial" w:hAnsi="Arial" w:cs="Arial"/>
          <w:sz w:val="22"/>
          <w:szCs w:val="22"/>
        </w:rPr>
      </w:pPr>
      <w:r w:rsidRPr="007F7444">
        <w:rPr>
          <w:rFonts w:ascii="Arial" w:hAnsi="Arial" w:cs="Arial"/>
          <w:color w:val="000000"/>
          <w:sz w:val="22"/>
          <w:szCs w:val="22"/>
          <w:vertAlign w:val="superscript"/>
        </w:rPr>
        <w:t>2</w:t>
      </w:r>
      <w:r w:rsidRPr="007F7444">
        <w:rPr>
          <w:rFonts w:ascii="Arial" w:hAnsi="Arial" w:cs="Arial"/>
          <w:color w:val="000000"/>
          <w:sz w:val="22"/>
          <w:szCs w:val="22"/>
        </w:rPr>
        <w:t>Department of Psychology, Syracuse University, USA</w:t>
      </w:r>
    </w:p>
    <w:p w14:paraId="0D13D480" w14:textId="77777777" w:rsidR="0095444F" w:rsidRPr="007F7444" w:rsidRDefault="0095444F" w:rsidP="0095444F">
      <w:pPr>
        <w:pStyle w:val="NormalWeb"/>
        <w:spacing w:before="0" w:beforeAutospacing="0" w:after="0" w:afterAutospacing="0"/>
        <w:rPr>
          <w:rFonts w:ascii="Arial" w:hAnsi="Arial" w:cs="Arial"/>
          <w:color w:val="000000"/>
          <w:sz w:val="22"/>
          <w:szCs w:val="22"/>
        </w:rPr>
      </w:pPr>
      <w:r w:rsidRPr="007F7444">
        <w:rPr>
          <w:rFonts w:ascii="Arial" w:hAnsi="Arial" w:cs="Arial"/>
          <w:color w:val="000000"/>
          <w:sz w:val="22"/>
          <w:szCs w:val="22"/>
          <w:vertAlign w:val="superscript"/>
        </w:rPr>
        <w:t>3</w:t>
      </w:r>
      <w:r w:rsidRPr="007F7444">
        <w:rPr>
          <w:rFonts w:ascii="Arial" w:hAnsi="Arial" w:cs="Arial"/>
          <w:color w:val="000000"/>
          <w:sz w:val="22"/>
          <w:szCs w:val="22"/>
        </w:rPr>
        <w:t>Department of Educational Psychology, Texas A&amp;M University, USA</w:t>
      </w:r>
    </w:p>
    <w:p w14:paraId="448AFE0B" w14:textId="77777777" w:rsidR="0095444F" w:rsidRPr="007F7444" w:rsidRDefault="0095444F" w:rsidP="0095444F">
      <w:pPr>
        <w:pStyle w:val="NormalWeb"/>
        <w:spacing w:before="0" w:beforeAutospacing="0" w:after="0" w:afterAutospacing="0"/>
        <w:rPr>
          <w:rFonts w:ascii="Arial" w:hAnsi="Arial" w:cs="Arial"/>
          <w:sz w:val="22"/>
          <w:szCs w:val="22"/>
        </w:rPr>
      </w:pPr>
    </w:p>
    <w:p w14:paraId="77FE6733" w14:textId="222B589A" w:rsidR="00452576" w:rsidRPr="007F7444" w:rsidRDefault="003D6244" w:rsidP="0095444F">
      <w:pPr>
        <w:pStyle w:val="NormalWeb"/>
        <w:spacing w:before="240" w:beforeAutospacing="0" w:after="240" w:afterAutospacing="0"/>
        <w:rPr>
          <w:rFonts w:ascii="Arial" w:hAnsi="Arial" w:cs="Arial"/>
          <w:sz w:val="22"/>
          <w:szCs w:val="22"/>
        </w:rPr>
      </w:pPr>
      <w:r w:rsidRPr="007F7444">
        <w:rPr>
          <w:rFonts w:ascii="Arial" w:hAnsi="Arial" w:cs="Arial"/>
          <w:b/>
          <w:sz w:val="22"/>
          <w:szCs w:val="22"/>
        </w:rPr>
        <w:t>Introduction</w:t>
      </w:r>
      <w:r w:rsidRPr="007F7444">
        <w:rPr>
          <w:rFonts w:ascii="Arial" w:hAnsi="Arial" w:cs="Arial"/>
          <w:sz w:val="22"/>
          <w:szCs w:val="22"/>
        </w:rPr>
        <w:t xml:space="preserve">: </w:t>
      </w:r>
      <w:r w:rsidR="0095444F" w:rsidRPr="007F7444">
        <w:rPr>
          <w:rFonts w:ascii="Arial" w:hAnsi="Arial" w:cs="Arial"/>
          <w:color w:val="000000"/>
          <w:sz w:val="22"/>
          <w:szCs w:val="22"/>
        </w:rPr>
        <w:t>The protective role of executive functioning (EF) in reading comprehension is well documented (Follmer, 2018). Poor inhibitory control, a core EF skill, is a potential risk factor for reading difficulties (RD) (Willcutt et al., 2005). Behavioral studies assessing inhibitory control consistently find differences between individuals with and without RD (Chiappe et al., 2000). Investigating neural indices of inhibitory control can supplement behavioral findings. This study examines the neural index of inhibitory control (i.e., the N2 component) to understand its association with RD. The N2, an event-related potential (ERP) elicited during tasks requiring inhibition (Grammer, 2014), is a negative-going waveform peaking 200-400ms after stimulus onset. Prior research identifies N2 as a neural marker of inhibitory control at psychological and behavioral levels. Given its role in disorders with inhibitory components, we explore how N2 relates to reading comprehension and RD.</w:t>
      </w:r>
    </w:p>
    <w:p w14:paraId="69ACE24B" w14:textId="042A5010" w:rsidR="0095444F" w:rsidRPr="007F7444" w:rsidRDefault="003D6244" w:rsidP="0095444F">
      <w:pPr>
        <w:pStyle w:val="NormalWeb"/>
        <w:spacing w:before="240" w:beforeAutospacing="0" w:after="240" w:afterAutospacing="0"/>
        <w:rPr>
          <w:rFonts w:ascii="Arial" w:hAnsi="Arial" w:cs="Arial"/>
          <w:sz w:val="22"/>
          <w:szCs w:val="22"/>
        </w:rPr>
      </w:pPr>
      <w:r w:rsidRPr="007F7444">
        <w:rPr>
          <w:rFonts w:ascii="Arial" w:hAnsi="Arial" w:cs="Arial"/>
          <w:b/>
          <w:color w:val="000000"/>
          <w:sz w:val="22"/>
          <w:szCs w:val="22"/>
          <w:lang w:val="en-GB"/>
        </w:rPr>
        <w:t>Method</w:t>
      </w:r>
      <w:r w:rsidRPr="007F7444">
        <w:rPr>
          <w:rFonts w:ascii="Arial" w:hAnsi="Arial" w:cs="Arial"/>
          <w:color w:val="000000"/>
          <w:sz w:val="22"/>
          <w:szCs w:val="22"/>
          <w:lang w:val="en-GB"/>
        </w:rPr>
        <w:t xml:space="preserve">: </w:t>
      </w:r>
      <w:r w:rsidR="0095444F" w:rsidRPr="007F7444">
        <w:rPr>
          <w:rFonts w:ascii="Arial" w:hAnsi="Arial" w:cs="Arial"/>
          <w:color w:val="000000"/>
          <w:sz w:val="22"/>
          <w:szCs w:val="22"/>
        </w:rPr>
        <w:t xml:space="preserve">Fifty-two children participated, with 32 in the typically developing (TD) group (female = 15, male = 17; </w:t>
      </w:r>
      <w:r w:rsidR="0095444F" w:rsidRPr="007F7444">
        <w:rPr>
          <w:rFonts w:ascii="Arial" w:hAnsi="Arial" w:cs="Arial"/>
          <w:i/>
          <w:iCs/>
          <w:color w:val="000000"/>
          <w:sz w:val="22"/>
          <w:szCs w:val="22"/>
        </w:rPr>
        <w:t>M</w:t>
      </w:r>
      <w:r w:rsidR="0095444F" w:rsidRPr="007F7444">
        <w:rPr>
          <w:rFonts w:ascii="Arial" w:hAnsi="Arial" w:cs="Arial"/>
          <w:color w:val="000000"/>
          <w:sz w:val="22"/>
          <w:szCs w:val="22"/>
        </w:rPr>
        <w:t xml:space="preserve">age = 8.90 years, SD = 1.38) and 20 in the RD group (female = 7, male = 13; </w:t>
      </w:r>
      <w:r w:rsidR="0095444F" w:rsidRPr="007F7444">
        <w:rPr>
          <w:rFonts w:ascii="Arial" w:hAnsi="Arial" w:cs="Arial"/>
          <w:i/>
          <w:iCs/>
          <w:color w:val="000000"/>
          <w:sz w:val="22"/>
          <w:szCs w:val="22"/>
        </w:rPr>
        <w:t>M</w:t>
      </w:r>
      <w:r w:rsidR="0095444F" w:rsidRPr="007F7444">
        <w:rPr>
          <w:rFonts w:ascii="Arial" w:hAnsi="Arial" w:cs="Arial"/>
          <w:color w:val="000000"/>
          <w:sz w:val="22"/>
          <w:szCs w:val="22"/>
        </w:rPr>
        <w:t>age = 9.46 years, SD = 1.28). RD grouping was based on parent reports and child scores on various reading tests. Reading comprehension was measured by the Woodcock Reading Mastery Test-III (Woodcock, 20</w:t>
      </w:r>
      <w:r w:rsidR="007F7444" w:rsidRPr="007F7444">
        <w:rPr>
          <w:rFonts w:ascii="Arial" w:hAnsi="Arial" w:cs="Arial"/>
          <w:color w:val="000000"/>
          <w:sz w:val="22"/>
          <w:szCs w:val="22"/>
        </w:rPr>
        <w:t>01</w:t>
      </w:r>
      <w:r w:rsidR="0095444F" w:rsidRPr="007F7444">
        <w:rPr>
          <w:rFonts w:ascii="Arial" w:hAnsi="Arial" w:cs="Arial"/>
          <w:color w:val="000000"/>
          <w:sz w:val="22"/>
          <w:szCs w:val="22"/>
        </w:rPr>
        <w:t>). The Go/No-Go task used animal pictures to represent Go and No-go conditions, with Emotional and Neutral conditions in a 2x2 design</w:t>
      </w:r>
      <w:r w:rsidR="007F7444" w:rsidRPr="007F7444">
        <w:rPr>
          <w:rFonts w:ascii="Arial" w:hAnsi="Arial" w:cs="Arial"/>
          <w:color w:val="000000"/>
          <w:sz w:val="22"/>
          <w:szCs w:val="22"/>
        </w:rPr>
        <w:t xml:space="preserve"> (Lamm et al., 2014)</w:t>
      </w:r>
      <w:r w:rsidR="0095444F" w:rsidRPr="007F7444">
        <w:rPr>
          <w:rFonts w:ascii="Arial" w:hAnsi="Arial" w:cs="Arial"/>
          <w:color w:val="000000"/>
          <w:sz w:val="22"/>
          <w:szCs w:val="22"/>
        </w:rPr>
        <w:t>. Children acted as zookeepers, pressing a button quickly to capture escaping animals (go trials), but not for monkeys, their helpers (no-go trials). There were 280 pictures across four blocks: Neutral (non-threatening) and Emotional (threatening and non-threatening). EEG was recorded continuously using a 128-electrode Geodesic Sensor net (EGI-</w:t>
      </w:r>
      <w:proofErr w:type="spellStart"/>
      <w:r w:rsidR="0095444F" w:rsidRPr="007F7444">
        <w:rPr>
          <w:rFonts w:ascii="Arial" w:hAnsi="Arial" w:cs="Arial"/>
          <w:color w:val="000000"/>
          <w:sz w:val="22"/>
          <w:szCs w:val="22"/>
        </w:rPr>
        <w:t>Magstim</w:t>
      </w:r>
      <w:proofErr w:type="spellEnd"/>
      <w:r w:rsidR="0095444F" w:rsidRPr="007F7444">
        <w:rPr>
          <w:rFonts w:ascii="Arial" w:hAnsi="Arial" w:cs="Arial"/>
          <w:color w:val="000000"/>
          <w:sz w:val="22"/>
          <w:szCs w:val="22"/>
        </w:rPr>
        <w:t>) and processed offline with EEGLAB and ERPLAB.</w:t>
      </w:r>
    </w:p>
    <w:p w14:paraId="137F31D5" w14:textId="77777777" w:rsidR="0095444F" w:rsidRPr="007F7444" w:rsidRDefault="003D6244" w:rsidP="0095444F">
      <w:pPr>
        <w:pStyle w:val="NormalWeb"/>
        <w:spacing w:before="240" w:beforeAutospacing="0" w:after="240" w:afterAutospacing="0"/>
        <w:rPr>
          <w:rFonts w:ascii="Arial" w:hAnsi="Arial" w:cs="Arial"/>
          <w:sz w:val="22"/>
          <w:szCs w:val="22"/>
        </w:rPr>
      </w:pPr>
      <w:r w:rsidRPr="007F7444">
        <w:rPr>
          <w:rFonts w:ascii="Arial" w:hAnsi="Arial" w:cs="Arial"/>
          <w:b/>
          <w:color w:val="000000"/>
          <w:sz w:val="22"/>
          <w:szCs w:val="22"/>
          <w:lang w:val="en-GB"/>
        </w:rPr>
        <w:t>Results</w:t>
      </w:r>
      <w:r w:rsidRPr="007F7444">
        <w:rPr>
          <w:rFonts w:ascii="Arial" w:hAnsi="Arial" w:cs="Arial"/>
          <w:color w:val="000000"/>
          <w:sz w:val="22"/>
          <w:szCs w:val="22"/>
          <w:lang w:val="en-GB"/>
        </w:rPr>
        <w:t xml:space="preserve">: </w:t>
      </w:r>
      <w:r w:rsidR="0095444F" w:rsidRPr="007F7444">
        <w:rPr>
          <w:rFonts w:ascii="Arial" w:hAnsi="Arial" w:cs="Arial"/>
          <w:color w:val="000000"/>
          <w:sz w:val="22"/>
          <w:szCs w:val="22"/>
        </w:rPr>
        <w:t>A significant correlation between reading comprehension and the N2 difference wave (</w:t>
      </w:r>
      <w:proofErr w:type="spellStart"/>
      <w:r w:rsidR="0095444F" w:rsidRPr="007F7444">
        <w:rPr>
          <w:rFonts w:ascii="Arial" w:hAnsi="Arial" w:cs="Arial"/>
          <w:color w:val="000000"/>
          <w:sz w:val="22"/>
          <w:szCs w:val="22"/>
        </w:rPr>
        <w:t>nogo</w:t>
      </w:r>
      <w:proofErr w:type="spellEnd"/>
      <w:r w:rsidR="0095444F" w:rsidRPr="007F7444">
        <w:rPr>
          <w:rFonts w:ascii="Arial" w:hAnsi="Arial" w:cs="Arial"/>
          <w:color w:val="000000"/>
          <w:sz w:val="22"/>
          <w:szCs w:val="22"/>
        </w:rPr>
        <w:t xml:space="preserve"> minus go; delta N2) in the Emotional condition led to a hierarchical regression to assess whether N2 predicted unique variance in reading comprehension. Age was first added as a control, followed by working memory, receptive vocabulary, and word reading efficiency. Delta N2 was added last. Including delta N2 significantly increased the predicted variance, R² = 0.047, </w:t>
      </w:r>
      <w:proofErr w:type="gramStart"/>
      <w:r w:rsidR="0095444F" w:rsidRPr="007F7444">
        <w:rPr>
          <w:rFonts w:ascii="Arial" w:hAnsi="Arial" w:cs="Arial"/>
          <w:color w:val="000000"/>
          <w:sz w:val="22"/>
          <w:szCs w:val="22"/>
        </w:rPr>
        <w:t>F(</w:t>
      </w:r>
      <w:proofErr w:type="gramEnd"/>
      <w:r w:rsidR="0095444F" w:rsidRPr="007F7444">
        <w:rPr>
          <w:rFonts w:ascii="Arial" w:hAnsi="Arial" w:cs="Arial"/>
          <w:color w:val="000000"/>
          <w:sz w:val="22"/>
          <w:szCs w:val="22"/>
        </w:rPr>
        <w:t xml:space="preserve">1, 42) = 6.85, p = .012. Delta N2 uniquely predicted variance in reading comprehension, B = -0.85, SE = 0.32, </w:t>
      </w:r>
      <w:proofErr w:type="gramStart"/>
      <w:r w:rsidR="0095444F" w:rsidRPr="007F7444">
        <w:rPr>
          <w:rFonts w:ascii="Arial" w:hAnsi="Arial" w:cs="Arial"/>
          <w:color w:val="000000"/>
          <w:sz w:val="22"/>
          <w:szCs w:val="22"/>
        </w:rPr>
        <w:t>t(</w:t>
      </w:r>
      <w:proofErr w:type="gramEnd"/>
      <w:r w:rsidR="0095444F" w:rsidRPr="007F7444">
        <w:rPr>
          <w:rFonts w:ascii="Arial" w:hAnsi="Arial" w:cs="Arial"/>
          <w:color w:val="000000"/>
          <w:sz w:val="22"/>
          <w:szCs w:val="22"/>
        </w:rPr>
        <w:t>42) = -2.62, p = .012, while receptive vocabulary, B = 0.610, SE = 0.148, t(42) = 4.11, p &lt; .001, and word reading efficiency, B = 0.552, SE = 0.111, t(42) = 4.96, p &lt; .001, remained significant. The model explained 71.2% of the variance in reading comprehension, R² = .712, adjusted R² = .677.</w:t>
      </w:r>
    </w:p>
    <w:p w14:paraId="5F4528F9" w14:textId="77777777" w:rsidR="0095444F" w:rsidRPr="007F7444" w:rsidRDefault="003D6244" w:rsidP="0095444F">
      <w:pPr>
        <w:pStyle w:val="NormalWeb"/>
        <w:spacing w:before="240" w:beforeAutospacing="0" w:after="240" w:afterAutospacing="0"/>
        <w:rPr>
          <w:rFonts w:ascii="Arial" w:hAnsi="Arial" w:cs="Arial"/>
          <w:sz w:val="22"/>
          <w:szCs w:val="22"/>
        </w:rPr>
      </w:pPr>
      <w:r w:rsidRPr="007F7444">
        <w:rPr>
          <w:rFonts w:ascii="Arial" w:hAnsi="Arial" w:cs="Arial"/>
          <w:b/>
          <w:iCs/>
          <w:color w:val="000000"/>
          <w:sz w:val="22"/>
          <w:szCs w:val="22"/>
          <w:lang w:val="en-GB"/>
        </w:rPr>
        <w:t xml:space="preserve">Discussion: </w:t>
      </w:r>
      <w:r w:rsidR="0095444F" w:rsidRPr="007F7444">
        <w:rPr>
          <w:rFonts w:ascii="Arial" w:hAnsi="Arial" w:cs="Arial"/>
          <w:color w:val="000000"/>
          <w:sz w:val="22"/>
          <w:szCs w:val="22"/>
        </w:rPr>
        <w:t>These findings highlight N2’s significance as a neural index of inhibitory control in understanding RD. Results show delta N2 uniquely predicts reading comprehension variance even after controlling for traditional cognitive and linguistic factors. The findings highlight (a) the crucial role of inhibitory control and the interaction between emotion and inhibitory processes in successful reading comprehension; (b) the importance of considering emotional factors when examining the neural mechanisms of executive functioning for children with reading difficulties.</w:t>
      </w:r>
    </w:p>
    <w:p w14:paraId="7AC50376" w14:textId="282D3556" w:rsidR="003D6244" w:rsidRPr="007F7444" w:rsidRDefault="003D6244" w:rsidP="003D6244">
      <w:pPr>
        <w:rPr>
          <w:rFonts w:ascii="Arial" w:hAnsi="Arial" w:cs="Arial"/>
          <w:color w:val="000000"/>
          <w:lang w:val="en-GB"/>
        </w:rPr>
      </w:pPr>
      <w:r w:rsidRPr="007F7444">
        <w:rPr>
          <w:rFonts w:ascii="Arial" w:hAnsi="Arial" w:cs="Arial"/>
          <w:b/>
          <w:color w:val="000000"/>
          <w:lang w:val="en-GB"/>
        </w:rPr>
        <w:t xml:space="preserve">References: </w:t>
      </w:r>
    </w:p>
    <w:p w14:paraId="1175E469" w14:textId="77777777" w:rsidR="0095444F" w:rsidRPr="007F7444" w:rsidRDefault="003D6244" w:rsidP="0059601C">
      <w:pPr>
        <w:pStyle w:val="FootnoteText"/>
        <w:rPr>
          <w:rFonts w:ascii="Arial" w:hAnsi="Arial" w:cs="Arial"/>
          <w:color w:val="222222"/>
          <w:sz w:val="22"/>
          <w:szCs w:val="22"/>
          <w:shd w:val="clear" w:color="auto" w:fill="FFFFFF"/>
        </w:rPr>
      </w:pPr>
      <w:r w:rsidRPr="007F7444">
        <w:rPr>
          <w:rStyle w:val="FootnoteReference"/>
          <w:rFonts w:ascii="Arial" w:hAnsi="Arial" w:cs="Arial"/>
          <w:sz w:val="22"/>
          <w:szCs w:val="22"/>
        </w:rPr>
        <w:lastRenderedPageBreak/>
        <w:footnoteRef/>
      </w:r>
      <w:r w:rsidRPr="007F7444">
        <w:rPr>
          <w:rFonts w:ascii="Arial" w:hAnsi="Arial" w:cs="Arial"/>
          <w:sz w:val="22"/>
          <w:szCs w:val="22"/>
        </w:rPr>
        <w:t xml:space="preserve"> </w:t>
      </w:r>
      <w:r w:rsidR="0095444F" w:rsidRPr="007F7444">
        <w:rPr>
          <w:rFonts w:ascii="Arial" w:hAnsi="Arial" w:cs="Arial"/>
          <w:color w:val="222222"/>
          <w:sz w:val="22"/>
          <w:szCs w:val="22"/>
          <w:shd w:val="clear" w:color="auto" w:fill="FFFFFF"/>
        </w:rPr>
        <w:t>Follmer, D. J. (2018). Executive function and reading comprehension: A meta-analytic review. </w:t>
      </w:r>
      <w:r w:rsidR="0095444F" w:rsidRPr="007F7444">
        <w:rPr>
          <w:rFonts w:ascii="Arial" w:hAnsi="Arial" w:cs="Arial"/>
          <w:i/>
          <w:iCs/>
          <w:color w:val="222222"/>
          <w:sz w:val="22"/>
          <w:szCs w:val="22"/>
          <w:shd w:val="clear" w:color="auto" w:fill="FFFFFF"/>
        </w:rPr>
        <w:t>Educational Psychologist</w:t>
      </w:r>
      <w:r w:rsidR="0095444F" w:rsidRPr="007F7444">
        <w:rPr>
          <w:rFonts w:ascii="Arial" w:hAnsi="Arial" w:cs="Arial"/>
          <w:color w:val="222222"/>
          <w:sz w:val="22"/>
          <w:szCs w:val="22"/>
          <w:shd w:val="clear" w:color="auto" w:fill="FFFFFF"/>
        </w:rPr>
        <w:t>, </w:t>
      </w:r>
      <w:r w:rsidR="0095444F" w:rsidRPr="007F7444">
        <w:rPr>
          <w:rFonts w:ascii="Arial" w:hAnsi="Arial" w:cs="Arial"/>
          <w:i/>
          <w:iCs/>
          <w:color w:val="222222"/>
          <w:sz w:val="22"/>
          <w:szCs w:val="22"/>
          <w:shd w:val="clear" w:color="auto" w:fill="FFFFFF"/>
        </w:rPr>
        <w:t>53</w:t>
      </w:r>
      <w:r w:rsidR="0095444F" w:rsidRPr="007F7444">
        <w:rPr>
          <w:rFonts w:ascii="Arial" w:hAnsi="Arial" w:cs="Arial"/>
          <w:color w:val="222222"/>
          <w:sz w:val="22"/>
          <w:szCs w:val="22"/>
          <w:shd w:val="clear" w:color="auto" w:fill="FFFFFF"/>
        </w:rPr>
        <w:t>(1), 42-60.</w:t>
      </w:r>
    </w:p>
    <w:p w14:paraId="2862C960" w14:textId="77777777" w:rsidR="007F7444" w:rsidRPr="007F7444" w:rsidRDefault="007F7444" w:rsidP="0059601C">
      <w:pPr>
        <w:pStyle w:val="FootnoteText"/>
        <w:rPr>
          <w:rFonts w:ascii="Arial" w:hAnsi="Arial" w:cs="Arial"/>
          <w:color w:val="222222"/>
          <w:sz w:val="22"/>
          <w:szCs w:val="22"/>
          <w:shd w:val="clear" w:color="auto" w:fill="FFFFFF"/>
        </w:rPr>
      </w:pPr>
    </w:p>
    <w:p w14:paraId="7AC5037A" w14:textId="6E74B6CC" w:rsidR="001C735E" w:rsidRPr="007F7444" w:rsidRDefault="003D6244" w:rsidP="0095444F">
      <w:pPr>
        <w:pStyle w:val="FootnoteText"/>
        <w:rPr>
          <w:rFonts w:ascii="Arial" w:hAnsi="Arial" w:cs="Arial"/>
          <w:color w:val="222222"/>
          <w:sz w:val="22"/>
          <w:szCs w:val="22"/>
          <w:shd w:val="clear" w:color="auto" w:fill="FFFFFF"/>
        </w:rPr>
      </w:pPr>
      <w:r w:rsidRPr="007F7444">
        <w:rPr>
          <w:rStyle w:val="FootnoteReference"/>
          <w:rFonts w:ascii="Arial" w:hAnsi="Arial" w:cs="Arial"/>
          <w:sz w:val="22"/>
          <w:szCs w:val="22"/>
        </w:rPr>
        <w:t>2</w:t>
      </w:r>
      <w:r w:rsidRPr="007F7444">
        <w:rPr>
          <w:rFonts w:ascii="Arial" w:hAnsi="Arial" w:cs="Arial"/>
          <w:sz w:val="22"/>
          <w:szCs w:val="22"/>
        </w:rPr>
        <w:t xml:space="preserve"> </w:t>
      </w:r>
      <w:r w:rsidR="0095444F" w:rsidRPr="007F7444">
        <w:rPr>
          <w:rFonts w:ascii="Arial" w:hAnsi="Arial" w:cs="Arial"/>
          <w:color w:val="222222"/>
          <w:sz w:val="22"/>
          <w:szCs w:val="22"/>
          <w:shd w:val="clear" w:color="auto" w:fill="FFFFFF"/>
        </w:rPr>
        <w:t>Willcutt, E. G., Doyle, A. E., Nigg, J. T., Faraone, S. V., &amp; Pennington, B. F. (2005). Validity of the executive function theory of attention-deficit/hyperactivity disorder: a meta-analytic review. </w:t>
      </w:r>
      <w:r w:rsidR="0095444F" w:rsidRPr="007F7444">
        <w:rPr>
          <w:rFonts w:ascii="Arial" w:hAnsi="Arial" w:cs="Arial"/>
          <w:i/>
          <w:iCs/>
          <w:color w:val="222222"/>
          <w:sz w:val="22"/>
          <w:szCs w:val="22"/>
          <w:shd w:val="clear" w:color="auto" w:fill="FFFFFF"/>
        </w:rPr>
        <w:t>Biological psychiatry</w:t>
      </w:r>
      <w:r w:rsidR="0095444F" w:rsidRPr="007F7444">
        <w:rPr>
          <w:rFonts w:ascii="Arial" w:hAnsi="Arial" w:cs="Arial"/>
          <w:color w:val="222222"/>
          <w:sz w:val="22"/>
          <w:szCs w:val="22"/>
          <w:shd w:val="clear" w:color="auto" w:fill="FFFFFF"/>
        </w:rPr>
        <w:t>, </w:t>
      </w:r>
      <w:r w:rsidR="0095444F" w:rsidRPr="007F7444">
        <w:rPr>
          <w:rFonts w:ascii="Arial" w:hAnsi="Arial" w:cs="Arial"/>
          <w:i/>
          <w:iCs/>
          <w:color w:val="222222"/>
          <w:sz w:val="22"/>
          <w:szCs w:val="22"/>
          <w:shd w:val="clear" w:color="auto" w:fill="FFFFFF"/>
        </w:rPr>
        <w:t>57</w:t>
      </w:r>
      <w:r w:rsidR="0095444F" w:rsidRPr="007F7444">
        <w:rPr>
          <w:rFonts w:ascii="Arial" w:hAnsi="Arial" w:cs="Arial"/>
          <w:color w:val="222222"/>
          <w:sz w:val="22"/>
          <w:szCs w:val="22"/>
          <w:shd w:val="clear" w:color="auto" w:fill="FFFFFF"/>
        </w:rPr>
        <w:t>(11), 1336-1346.</w:t>
      </w:r>
    </w:p>
    <w:p w14:paraId="02D77CA8" w14:textId="77777777" w:rsidR="0095444F" w:rsidRPr="007F7444" w:rsidRDefault="0095444F" w:rsidP="0095444F">
      <w:pPr>
        <w:pStyle w:val="FootnoteText"/>
        <w:rPr>
          <w:rFonts w:ascii="Arial" w:hAnsi="Arial" w:cs="Arial"/>
          <w:color w:val="222222"/>
          <w:sz w:val="22"/>
          <w:szCs w:val="22"/>
          <w:shd w:val="clear" w:color="auto" w:fill="FFFFFF"/>
        </w:rPr>
      </w:pPr>
    </w:p>
    <w:p w14:paraId="6F31C6AE" w14:textId="51244709" w:rsidR="0095444F" w:rsidRPr="007F7444" w:rsidRDefault="0095444F" w:rsidP="0095444F">
      <w:pPr>
        <w:pStyle w:val="FootnoteText"/>
        <w:rPr>
          <w:rFonts w:ascii="Arial" w:hAnsi="Arial" w:cs="Arial"/>
          <w:color w:val="222222"/>
          <w:sz w:val="22"/>
          <w:szCs w:val="22"/>
          <w:shd w:val="clear" w:color="auto" w:fill="FFFFFF"/>
        </w:rPr>
      </w:pPr>
      <w:r w:rsidRPr="007F7444">
        <w:rPr>
          <w:rStyle w:val="FootnoteReference"/>
          <w:rFonts w:ascii="Arial" w:hAnsi="Arial" w:cs="Arial"/>
          <w:sz w:val="22"/>
          <w:szCs w:val="22"/>
        </w:rPr>
        <w:t>3</w:t>
      </w:r>
      <w:r w:rsidRPr="007F7444">
        <w:rPr>
          <w:rFonts w:ascii="Arial" w:hAnsi="Arial" w:cs="Arial"/>
          <w:color w:val="222222"/>
          <w:sz w:val="22"/>
          <w:szCs w:val="22"/>
          <w:shd w:val="clear" w:color="auto" w:fill="FFFFFF"/>
        </w:rPr>
        <w:t>Chiappe, P., Siegel, L. S., &amp; Hasher, L. (2000). Working memory, inhibitory control, and reading disability. </w:t>
      </w:r>
      <w:r w:rsidRPr="007F7444">
        <w:rPr>
          <w:rFonts w:ascii="Arial" w:hAnsi="Arial" w:cs="Arial"/>
          <w:i/>
          <w:iCs/>
          <w:color w:val="222222"/>
          <w:sz w:val="22"/>
          <w:szCs w:val="22"/>
          <w:shd w:val="clear" w:color="auto" w:fill="FFFFFF"/>
        </w:rPr>
        <w:t>Memory &amp; cognition</w:t>
      </w:r>
      <w:r w:rsidRPr="007F7444">
        <w:rPr>
          <w:rFonts w:ascii="Arial" w:hAnsi="Arial" w:cs="Arial"/>
          <w:color w:val="222222"/>
          <w:sz w:val="22"/>
          <w:szCs w:val="22"/>
          <w:shd w:val="clear" w:color="auto" w:fill="FFFFFF"/>
        </w:rPr>
        <w:t>, </w:t>
      </w:r>
      <w:r w:rsidRPr="007F7444">
        <w:rPr>
          <w:rFonts w:ascii="Arial" w:hAnsi="Arial" w:cs="Arial"/>
          <w:i/>
          <w:iCs/>
          <w:color w:val="222222"/>
          <w:sz w:val="22"/>
          <w:szCs w:val="22"/>
          <w:shd w:val="clear" w:color="auto" w:fill="FFFFFF"/>
        </w:rPr>
        <w:t>28</w:t>
      </w:r>
      <w:r w:rsidRPr="007F7444">
        <w:rPr>
          <w:rFonts w:ascii="Arial" w:hAnsi="Arial" w:cs="Arial"/>
          <w:color w:val="222222"/>
          <w:sz w:val="22"/>
          <w:szCs w:val="22"/>
          <w:shd w:val="clear" w:color="auto" w:fill="FFFFFF"/>
        </w:rPr>
        <w:t>, 8-17.</w:t>
      </w:r>
    </w:p>
    <w:p w14:paraId="7AA30BD2" w14:textId="77777777" w:rsidR="0095444F" w:rsidRPr="007F7444" w:rsidRDefault="0095444F" w:rsidP="0095444F">
      <w:pPr>
        <w:pStyle w:val="FootnoteText"/>
        <w:rPr>
          <w:rFonts w:ascii="Arial" w:hAnsi="Arial" w:cs="Arial"/>
          <w:color w:val="222222"/>
          <w:sz w:val="22"/>
          <w:szCs w:val="22"/>
          <w:shd w:val="clear" w:color="auto" w:fill="FFFFFF"/>
        </w:rPr>
      </w:pPr>
    </w:p>
    <w:p w14:paraId="6FC1D4CD" w14:textId="2DEF0A31" w:rsidR="007F7444" w:rsidRPr="007F7444" w:rsidRDefault="0095444F" w:rsidP="0095444F">
      <w:pPr>
        <w:pStyle w:val="FootnoteText"/>
        <w:rPr>
          <w:rFonts w:ascii="Arial" w:hAnsi="Arial" w:cs="Arial"/>
          <w:color w:val="222222"/>
          <w:sz w:val="22"/>
          <w:szCs w:val="22"/>
          <w:shd w:val="clear" w:color="auto" w:fill="FFFFFF"/>
        </w:rPr>
      </w:pPr>
      <w:r w:rsidRPr="007F7444">
        <w:rPr>
          <w:rStyle w:val="FootnoteReference"/>
          <w:rFonts w:ascii="Arial" w:hAnsi="Arial" w:cs="Arial"/>
          <w:sz w:val="22"/>
          <w:szCs w:val="22"/>
        </w:rPr>
        <w:t>4</w:t>
      </w:r>
      <w:r w:rsidR="007F7444" w:rsidRPr="007F7444">
        <w:rPr>
          <w:rFonts w:ascii="Arial" w:hAnsi="Arial" w:cs="Arial"/>
          <w:color w:val="222222"/>
          <w:sz w:val="22"/>
          <w:szCs w:val="22"/>
          <w:shd w:val="clear" w:color="auto" w:fill="FFFFFF"/>
        </w:rPr>
        <w:t xml:space="preserve"> </w:t>
      </w:r>
      <w:r w:rsidR="007F7444" w:rsidRPr="007F7444">
        <w:rPr>
          <w:rFonts w:ascii="Arial" w:hAnsi="Arial" w:cs="Arial"/>
          <w:color w:val="222222"/>
          <w:sz w:val="22"/>
          <w:szCs w:val="22"/>
          <w:shd w:val="clear" w:color="auto" w:fill="FFFFFF"/>
        </w:rPr>
        <w:t>Grammer, J. K., Carrasco, M., Gehring, W. J., &amp; Morrison, F. J. (2014). Age-related changes in error processing in young children: A school-based investigation. </w:t>
      </w:r>
      <w:r w:rsidR="007F7444" w:rsidRPr="007F7444">
        <w:rPr>
          <w:rFonts w:ascii="Arial" w:hAnsi="Arial" w:cs="Arial"/>
          <w:i/>
          <w:iCs/>
          <w:color w:val="222222"/>
          <w:sz w:val="22"/>
          <w:szCs w:val="22"/>
          <w:shd w:val="clear" w:color="auto" w:fill="FFFFFF"/>
        </w:rPr>
        <w:t>Developmental cognitive neuroscience</w:t>
      </w:r>
      <w:r w:rsidR="007F7444" w:rsidRPr="007F7444">
        <w:rPr>
          <w:rFonts w:ascii="Arial" w:hAnsi="Arial" w:cs="Arial"/>
          <w:color w:val="222222"/>
          <w:sz w:val="22"/>
          <w:szCs w:val="22"/>
          <w:shd w:val="clear" w:color="auto" w:fill="FFFFFF"/>
        </w:rPr>
        <w:t>, </w:t>
      </w:r>
      <w:r w:rsidR="007F7444" w:rsidRPr="007F7444">
        <w:rPr>
          <w:rFonts w:ascii="Arial" w:hAnsi="Arial" w:cs="Arial"/>
          <w:i/>
          <w:iCs/>
          <w:color w:val="222222"/>
          <w:sz w:val="22"/>
          <w:szCs w:val="22"/>
          <w:shd w:val="clear" w:color="auto" w:fill="FFFFFF"/>
        </w:rPr>
        <w:t>9</w:t>
      </w:r>
      <w:r w:rsidR="007F7444" w:rsidRPr="007F7444">
        <w:rPr>
          <w:rFonts w:ascii="Arial" w:hAnsi="Arial" w:cs="Arial"/>
          <w:color w:val="222222"/>
          <w:sz w:val="22"/>
          <w:szCs w:val="22"/>
          <w:shd w:val="clear" w:color="auto" w:fill="FFFFFF"/>
        </w:rPr>
        <w:t>, 93-105.</w:t>
      </w:r>
    </w:p>
    <w:p w14:paraId="106629B6" w14:textId="77777777" w:rsidR="007F7444" w:rsidRPr="007F7444" w:rsidRDefault="007F7444" w:rsidP="0095444F">
      <w:pPr>
        <w:pStyle w:val="FootnoteText"/>
        <w:rPr>
          <w:rFonts w:ascii="Arial" w:hAnsi="Arial" w:cs="Arial"/>
          <w:color w:val="222222"/>
          <w:sz w:val="22"/>
          <w:szCs w:val="22"/>
          <w:shd w:val="clear" w:color="auto" w:fill="FFFFFF"/>
        </w:rPr>
      </w:pPr>
    </w:p>
    <w:p w14:paraId="7C49388A" w14:textId="78FE2DC5" w:rsidR="007F7444" w:rsidRPr="007F7444" w:rsidRDefault="007F7444" w:rsidP="0095444F">
      <w:pPr>
        <w:pStyle w:val="FootnoteText"/>
        <w:rPr>
          <w:rFonts w:ascii="Arial" w:hAnsi="Arial" w:cs="Arial"/>
          <w:color w:val="1C1D1E"/>
          <w:sz w:val="22"/>
          <w:szCs w:val="22"/>
          <w:shd w:val="clear" w:color="auto" w:fill="FFFFFF"/>
        </w:rPr>
      </w:pPr>
      <w:r w:rsidRPr="007F7444">
        <w:rPr>
          <w:rStyle w:val="FootnoteReference"/>
          <w:rFonts w:ascii="Arial" w:hAnsi="Arial" w:cs="Arial"/>
          <w:sz w:val="22"/>
          <w:szCs w:val="22"/>
        </w:rPr>
        <w:t>5</w:t>
      </w:r>
      <w:r w:rsidRPr="007F7444">
        <w:rPr>
          <w:rStyle w:val="author"/>
          <w:rFonts w:ascii="Arial" w:hAnsi="Arial" w:cs="Arial"/>
          <w:color w:val="1C1D1E"/>
          <w:sz w:val="22"/>
          <w:szCs w:val="22"/>
          <w:shd w:val="clear" w:color="auto" w:fill="FFFFFF"/>
        </w:rPr>
        <w:t>Woodcock, R. W.</w:t>
      </w:r>
      <w:r w:rsidRPr="007F7444">
        <w:rPr>
          <w:rFonts w:ascii="Arial" w:hAnsi="Arial" w:cs="Arial"/>
          <w:color w:val="1C1D1E"/>
          <w:sz w:val="22"/>
          <w:szCs w:val="22"/>
          <w:shd w:val="clear" w:color="auto" w:fill="FFFFFF"/>
        </w:rPr>
        <w:t>, </w:t>
      </w:r>
      <w:r w:rsidRPr="007F7444">
        <w:rPr>
          <w:rStyle w:val="author"/>
          <w:rFonts w:ascii="Arial" w:hAnsi="Arial" w:cs="Arial"/>
          <w:color w:val="1C1D1E"/>
          <w:sz w:val="22"/>
          <w:szCs w:val="22"/>
          <w:shd w:val="clear" w:color="auto" w:fill="FFFFFF"/>
        </w:rPr>
        <w:t>McGrew, K. S.</w:t>
      </w:r>
      <w:r w:rsidRPr="007F7444">
        <w:rPr>
          <w:rFonts w:ascii="Arial" w:hAnsi="Arial" w:cs="Arial"/>
          <w:color w:val="1C1D1E"/>
          <w:sz w:val="22"/>
          <w:szCs w:val="22"/>
          <w:shd w:val="clear" w:color="auto" w:fill="FFFFFF"/>
        </w:rPr>
        <w:t>, &amp; </w:t>
      </w:r>
      <w:r w:rsidRPr="007F7444">
        <w:rPr>
          <w:rStyle w:val="author"/>
          <w:rFonts w:ascii="Arial" w:hAnsi="Arial" w:cs="Arial"/>
          <w:color w:val="1C1D1E"/>
          <w:sz w:val="22"/>
          <w:szCs w:val="22"/>
          <w:shd w:val="clear" w:color="auto" w:fill="FFFFFF"/>
        </w:rPr>
        <w:t>Mather, N.</w:t>
      </w:r>
      <w:r w:rsidRPr="007F7444">
        <w:rPr>
          <w:rFonts w:ascii="Arial" w:hAnsi="Arial" w:cs="Arial"/>
          <w:color w:val="1C1D1E"/>
          <w:sz w:val="22"/>
          <w:szCs w:val="22"/>
          <w:shd w:val="clear" w:color="auto" w:fill="FFFFFF"/>
        </w:rPr>
        <w:t> (</w:t>
      </w:r>
      <w:r w:rsidRPr="007F7444">
        <w:rPr>
          <w:rStyle w:val="pubyear"/>
          <w:rFonts w:ascii="Arial" w:hAnsi="Arial" w:cs="Arial"/>
          <w:color w:val="1C1D1E"/>
          <w:sz w:val="22"/>
          <w:szCs w:val="22"/>
          <w:shd w:val="clear" w:color="auto" w:fill="FFFFFF"/>
        </w:rPr>
        <w:t>2001</w:t>
      </w:r>
      <w:r w:rsidRPr="007F7444">
        <w:rPr>
          <w:rFonts w:ascii="Arial" w:hAnsi="Arial" w:cs="Arial"/>
          <w:color w:val="1C1D1E"/>
          <w:sz w:val="22"/>
          <w:szCs w:val="22"/>
          <w:shd w:val="clear" w:color="auto" w:fill="FFFFFF"/>
        </w:rPr>
        <w:t>). </w:t>
      </w:r>
      <w:r w:rsidRPr="007F7444">
        <w:rPr>
          <w:rStyle w:val="booktitle"/>
          <w:rFonts w:ascii="Arial" w:hAnsi="Arial" w:cs="Arial"/>
          <w:i/>
          <w:iCs/>
          <w:color w:val="1C1D1E"/>
          <w:sz w:val="22"/>
          <w:szCs w:val="22"/>
          <w:shd w:val="clear" w:color="auto" w:fill="FFFFFF"/>
        </w:rPr>
        <w:t>Woodcock-Johnson III Tests of Cognitive Abilities</w:t>
      </w:r>
      <w:r w:rsidRPr="007F7444">
        <w:rPr>
          <w:rFonts w:ascii="Arial" w:hAnsi="Arial" w:cs="Arial"/>
          <w:color w:val="1C1D1E"/>
          <w:sz w:val="22"/>
          <w:szCs w:val="22"/>
          <w:shd w:val="clear" w:color="auto" w:fill="FFFFFF"/>
        </w:rPr>
        <w:t>. </w:t>
      </w:r>
      <w:r w:rsidRPr="007F7444">
        <w:rPr>
          <w:rStyle w:val="publisherlocation"/>
          <w:rFonts w:ascii="Arial" w:hAnsi="Arial" w:cs="Arial"/>
          <w:color w:val="1C1D1E"/>
          <w:sz w:val="22"/>
          <w:szCs w:val="22"/>
          <w:shd w:val="clear" w:color="auto" w:fill="FFFFFF"/>
        </w:rPr>
        <w:t>Chicago, IL</w:t>
      </w:r>
      <w:r w:rsidRPr="007F7444">
        <w:rPr>
          <w:rFonts w:ascii="Arial" w:hAnsi="Arial" w:cs="Arial"/>
          <w:color w:val="1C1D1E"/>
          <w:sz w:val="22"/>
          <w:szCs w:val="22"/>
          <w:shd w:val="clear" w:color="auto" w:fill="FFFFFF"/>
        </w:rPr>
        <w:t>: Riverside Publishing.</w:t>
      </w:r>
    </w:p>
    <w:p w14:paraId="7FA425A9" w14:textId="77777777" w:rsidR="007F7444" w:rsidRPr="007F7444" w:rsidRDefault="007F7444" w:rsidP="0095444F">
      <w:pPr>
        <w:pStyle w:val="FootnoteText"/>
        <w:rPr>
          <w:rFonts w:ascii="Arial" w:hAnsi="Arial" w:cs="Arial"/>
          <w:color w:val="1C1D1E"/>
          <w:sz w:val="22"/>
          <w:szCs w:val="22"/>
          <w:shd w:val="clear" w:color="auto" w:fill="FFFFFF"/>
        </w:rPr>
      </w:pPr>
    </w:p>
    <w:p w14:paraId="28C5283A" w14:textId="6FA2830B" w:rsidR="007F7444" w:rsidRPr="007F7444" w:rsidRDefault="007F7444" w:rsidP="0095444F">
      <w:pPr>
        <w:pStyle w:val="FootnoteText"/>
        <w:rPr>
          <w:rFonts w:ascii="Arial" w:hAnsi="Arial" w:cs="Arial"/>
          <w:sz w:val="22"/>
          <w:szCs w:val="22"/>
        </w:rPr>
      </w:pPr>
      <w:r w:rsidRPr="007F7444">
        <w:rPr>
          <w:rFonts w:ascii="Arial" w:hAnsi="Arial" w:cs="Arial"/>
          <w:color w:val="222222"/>
          <w:sz w:val="22"/>
          <w:szCs w:val="22"/>
          <w:shd w:val="clear" w:color="auto" w:fill="FFFFFF"/>
        </w:rPr>
        <w:t>6</w:t>
      </w:r>
      <w:r w:rsidRPr="007F7444">
        <w:rPr>
          <w:rFonts w:ascii="Arial" w:hAnsi="Arial" w:cs="Arial"/>
          <w:color w:val="222222"/>
          <w:sz w:val="22"/>
          <w:szCs w:val="22"/>
          <w:shd w:val="clear" w:color="auto" w:fill="FFFFFF"/>
        </w:rPr>
        <w:t xml:space="preserve">Lamm, C., Walker, O. L., Degnan, K. A., Henderson, H. A., Pine, D. S., McDermott, J. M., &amp; Fox, N. A. (2014). Cognitive control </w:t>
      </w:r>
      <w:proofErr w:type="gramStart"/>
      <w:r w:rsidRPr="007F7444">
        <w:rPr>
          <w:rFonts w:ascii="Arial" w:hAnsi="Arial" w:cs="Arial"/>
          <w:color w:val="222222"/>
          <w:sz w:val="22"/>
          <w:szCs w:val="22"/>
          <w:shd w:val="clear" w:color="auto" w:fill="FFFFFF"/>
        </w:rPr>
        <w:t>moderates</w:t>
      </w:r>
      <w:proofErr w:type="gramEnd"/>
      <w:r w:rsidRPr="007F7444">
        <w:rPr>
          <w:rFonts w:ascii="Arial" w:hAnsi="Arial" w:cs="Arial"/>
          <w:color w:val="222222"/>
          <w:sz w:val="22"/>
          <w:szCs w:val="22"/>
          <w:shd w:val="clear" w:color="auto" w:fill="FFFFFF"/>
        </w:rPr>
        <w:t xml:space="preserve"> early childhood temperament in predicting social behavior in 7</w:t>
      </w:r>
      <w:r w:rsidRPr="007F7444">
        <w:rPr>
          <w:rFonts w:ascii="Microsoft YaHei" w:eastAsia="Microsoft YaHei" w:hAnsi="Microsoft YaHei" w:cs="Microsoft YaHei" w:hint="eastAsia"/>
          <w:color w:val="222222"/>
          <w:sz w:val="22"/>
          <w:szCs w:val="22"/>
          <w:shd w:val="clear" w:color="auto" w:fill="FFFFFF"/>
        </w:rPr>
        <w:t>‐</w:t>
      </w:r>
      <w:r w:rsidRPr="007F7444">
        <w:rPr>
          <w:rFonts w:ascii="Arial" w:hAnsi="Arial" w:cs="Arial"/>
          <w:color w:val="222222"/>
          <w:sz w:val="22"/>
          <w:szCs w:val="22"/>
          <w:shd w:val="clear" w:color="auto" w:fill="FFFFFF"/>
        </w:rPr>
        <w:t>year</w:t>
      </w:r>
      <w:r w:rsidRPr="007F7444">
        <w:rPr>
          <w:rFonts w:ascii="Microsoft YaHei" w:eastAsia="Microsoft YaHei" w:hAnsi="Microsoft YaHei" w:cs="Microsoft YaHei" w:hint="eastAsia"/>
          <w:color w:val="222222"/>
          <w:sz w:val="22"/>
          <w:szCs w:val="22"/>
          <w:shd w:val="clear" w:color="auto" w:fill="FFFFFF"/>
        </w:rPr>
        <w:t>‐</w:t>
      </w:r>
      <w:r w:rsidRPr="007F7444">
        <w:rPr>
          <w:rFonts w:ascii="Arial" w:hAnsi="Arial" w:cs="Arial"/>
          <w:color w:val="222222"/>
          <w:sz w:val="22"/>
          <w:szCs w:val="22"/>
          <w:shd w:val="clear" w:color="auto" w:fill="FFFFFF"/>
        </w:rPr>
        <w:t>old children: An ERP study. </w:t>
      </w:r>
      <w:r w:rsidRPr="007F7444">
        <w:rPr>
          <w:rFonts w:ascii="Arial" w:hAnsi="Arial" w:cs="Arial"/>
          <w:i/>
          <w:iCs/>
          <w:color w:val="222222"/>
          <w:sz w:val="22"/>
          <w:szCs w:val="22"/>
          <w:shd w:val="clear" w:color="auto" w:fill="FFFFFF"/>
        </w:rPr>
        <w:t>Developmental science</w:t>
      </w:r>
      <w:r w:rsidRPr="007F7444">
        <w:rPr>
          <w:rFonts w:ascii="Arial" w:hAnsi="Arial" w:cs="Arial"/>
          <w:color w:val="222222"/>
          <w:sz w:val="22"/>
          <w:szCs w:val="22"/>
          <w:shd w:val="clear" w:color="auto" w:fill="FFFFFF"/>
        </w:rPr>
        <w:t>, </w:t>
      </w:r>
      <w:r w:rsidRPr="007F7444">
        <w:rPr>
          <w:rFonts w:ascii="Arial" w:hAnsi="Arial" w:cs="Arial"/>
          <w:i/>
          <w:iCs/>
          <w:color w:val="222222"/>
          <w:sz w:val="22"/>
          <w:szCs w:val="22"/>
          <w:shd w:val="clear" w:color="auto" w:fill="FFFFFF"/>
        </w:rPr>
        <w:t>17</w:t>
      </w:r>
      <w:r w:rsidRPr="007F7444">
        <w:rPr>
          <w:rFonts w:ascii="Arial" w:hAnsi="Arial" w:cs="Arial"/>
          <w:color w:val="222222"/>
          <w:sz w:val="22"/>
          <w:szCs w:val="22"/>
          <w:shd w:val="clear" w:color="auto" w:fill="FFFFFF"/>
        </w:rPr>
        <w:t>(5), 667-681.</w:t>
      </w:r>
    </w:p>
    <w:sectPr w:rsidR="007F7444" w:rsidRPr="007F74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1516E" w14:textId="77777777" w:rsidR="00C96740" w:rsidRDefault="00C96740" w:rsidP="00A16498">
      <w:pPr>
        <w:spacing w:after="0" w:line="240" w:lineRule="auto"/>
      </w:pPr>
      <w:r>
        <w:separator/>
      </w:r>
    </w:p>
  </w:endnote>
  <w:endnote w:type="continuationSeparator" w:id="0">
    <w:p w14:paraId="060AC7F9" w14:textId="77777777" w:rsidR="00C96740" w:rsidRDefault="00C96740"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D1834" w14:textId="77777777" w:rsidR="00C96740" w:rsidRDefault="00C96740" w:rsidP="00A16498">
      <w:pPr>
        <w:spacing w:after="0" w:line="240" w:lineRule="auto"/>
      </w:pPr>
      <w:r>
        <w:separator/>
      </w:r>
    </w:p>
  </w:footnote>
  <w:footnote w:type="continuationSeparator" w:id="0">
    <w:p w14:paraId="483664C5" w14:textId="77777777" w:rsidR="00C96740" w:rsidRDefault="00C96740"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1C1CDB20" w:rsidR="00A16498" w:rsidRDefault="0095444F">
    <w:pPr>
      <w:pStyle w:val="Header"/>
    </w:pPr>
    <w:r>
      <w:rPr>
        <w:noProof/>
      </w:rPr>
      <mc:AlternateContent>
        <mc:Choice Requires="wps">
          <w:drawing>
            <wp:anchor distT="0" distB="0" distL="114300" distR="114300" simplePos="0" relativeHeight="251659264" behindDoc="0" locked="0" layoutInCell="1" allowOverlap="1" wp14:anchorId="1A0F0E8E" wp14:editId="75425CE7">
              <wp:simplePos x="0" y="0"/>
              <wp:positionH relativeFrom="column">
                <wp:posOffset>-21590</wp:posOffset>
              </wp:positionH>
              <wp:positionV relativeFrom="paragraph">
                <wp:posOffset>-225425</wp:posOffset>
              </wp:positionV>
              <wp:extent cx="5371689" cy="457200"/>
              <wp:effectExtent l="0" t="0" r="19685" b="19050"/>
              <wp:wrapNone/>
              <wp:docPr id="13712250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1A0F0E8E" id="Rectangle 197" o:spid="_x0000_s1026" style="position:absolute;margin-left:-1.7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0MDE3trA0tzCxNDRW0lEKTi0uzszPAykwrAUArGeAGCwAAAA="/>
  </w:docVars>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7F7444"/>
    <w:rsid w:val="00801D2A"/>
    <w:rsid w:val="00817FE3"/>
    <w:rsid w:val="0087492A"/>
    <w:rsid w:val="008938D8"/>
    <w:rsid w:val="009462E3"/>
    <w:rsid w:val="0095444F"/>
    <w:rsid w:val="009B1DAB"/>
    <w:rsid w:val="009E1B56"/>
    <w:rsid w:val="00A16498"/>
    <w:rsid w:val="00AB7B37"/>
    <w:rsid w:val="00AE4ADB"/>
    <w:rsid w:val="00B226B4"/>
    <w:rsid w:val="00B64B10"/>
    <w:rsid w:val="00B71AFF"/>
    <w:rsid w:val="00BA2D2D"/>
    <w:rsid w:val="00C6243D"/>
    <w:rsid w:val="00C80718"/>
    <w:rsid w:val="00C96740"/>
    <w:rsid w:val="00CF3CDF"/>
    <w:rsid w:val="00D46241"/>
    <w:rsid w:val="00D60D08"/>
    <w:rsid w:val="00DC15FA"/>
    <w:rsid w:val="00E15391"/>
    <w:rsid w:val="00E34365"/>
    <w:rsid w:val="00EC1345"/>
    <w:rsid w:val="00F023E6"/>
    <w:rsid w:val="00F2162A"/>
    <w:rsid w:val="00FA7C1C"/>
    <w:rsid w:val="00FF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unhideWhenUsed/>
    <w:rsid w:val="0095444F"/>
    <w:pPr>
      <w:spacing w:before="100" w:beforeAutospacing="1" w:after="100" w:afterAutospacing="1" w:line="240" w:lineRule="auto"/>
    </w:pPr>
    <w:rPr>
      <w:rFonts w:ascii="SimSun" w:eastAsia="SimSun" w:hAnsi="SimSun" w:cs="SimSun"/>
      <w:sz w:val="24"/>
      <w:szCs w:val="24"/>
      <w:lang w:eastAsia="zh-CN"/>
    </w:rPr>
  </w:style>
  <w:style w:type="character" w:customStyle="1" w:styleId="author">
    <w:name w:val="author"/>
    <w:basedOn w:val="DefaultParagraphFont"/>
    <w:rsid w:val="007F7444"/>
  </w:style>
  <w:style w:type="character" w:customStyle="1" w:styleId="pubyear">
    <w:name w:val="pubyear"/>
    <w:basedOn w:val="DefaultParagraphFont"/>
    <w:rsid w:val="007F7444"/>
  </w:style>
  <w:style w:type="character" w:customStyle="1" w:styleId="booktitle">
    <w:name w:val="booktitle"/>
    <w:basedOn w:val="DefaultParagraphFont"/>
    <w:rsid w:val="007F7444"/>
  </w:style>
  <w:style w:type="character" w:customStyle="1" w:styleId="publisherlocation">
    <w:name w:val="publisherlocation"/>
    <w:basedOn w:val="DefaultParagraphFont"/>
    <w:rsid w:val="007F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433473">
      <w:bodyDiv w:val="1"/>
      <w:marLeft w:val="0"/>
      <w:marRight w:val="0"/>
      <w:marTop w:val="0"/>
      <w:marBottom w:val="0"/>
      <w:divBdr>
        <w:top w:val="none" w:sz="0" w:space="0" w:color="auto"/>
        <w:left w:val="none" w:sz="0" w:space="0" w:color="auto"/>
        <w:bottom w:val="none" w:sz="0" w:space="0" w:color="auto"/>
        <w:right w:val="none" w:sz="0" w:space="0" w:color="auto"/>
      </w:divBdr>
    </w:div>
    <w:div w:id="1493909360">
      <w:bodyDiv w:val="1"/>
      <w:marLeft w:val="0"/>
      <w:marRight w:val="0"/>
      <w:marTop w:val="0"/>
      <w:marBottom w:val="0"/>
      <w:divBdr>
        <w:top w:val="none" w:sz="0" w:space="0" w:color="auto"/>
        <w:left w:val="none" w:sz="0" w:space="0" w:color="auto"/>
        <w:bottom w:val="none" w:sz="0" w:space="0" w:color="auto"/>
        <w:right w:val="none" w:sz="0" w:space="0" w:color="auto"/>
      </w:divBdr>
    </w:div>
    <w:div w:id="1573856039">
      <w:bodyDiv w:val="1"/>
      <w:marLeft w:val="0"/>
      <w:marRight w:val="0"/>
      <w:marTop w:val="0"/>
      <w:marBottom w:val="0"/>
      <w:divBdr>
        <w:top w:val="none" w:sz="0" w:space="0" w:color="auto"/>
        <w:left w:val="none" w:sz="0" w:space="0" w:color="auto"/>
        <w:bottom w:val="none" w:sz="0" w:space="0" w:color="auto"/>
        <w:right w:val="none" w:sz="0" w:space="0" w:color="auto"/>
      </w:divBdr>
    </w:div>
    <w:div w:id="1962687832">
      <w:bodyDiv w:val="1"/>
      <w:marLeft w:val="0"/>
      <w:marRight w:val="0"/>
      <w:marTop w:val="0"/>
      <w:marBottom w:val="0"/>
      <w:divBdr>
        <w:top w:val="none" w:sz="0" w:space="0" w:color="auto"/>
        <w:left w:val="none" w:sz="0" w:space="0" w:color="auto"/>
        <w:bottom w:val="none" w:sz="0" w:space="0" w:color="auto"/>
        <w:right w:val="none" w:sz="0" w:space="0" w:color="auto"/>
      </w:divBdr>
    </w:div>
    <w:div w:id="2124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Qxinxin Shi</cp:lastModifiedBy>
  <cp:revision>4</cp:revision>
  <dcterms:created xsi:type="dcterms:W3CDTF">2023-09-01T15:06:00Z</dcterms:created>
  <dcterms:modified xsi:type="dcterms:W3CDTF">2024-11-04T09:19:00Z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