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CD37C19" w:rsidR="003D6244" w:rsidRPr="00D356CE" w:rsidRDefault="003D6244" w:rsidP="003D6244">
      <w:pPr>
        <w:rPr>
          <w:rFonts w:cstheme="minorHAnsi"/>
          <w:sz w:val="20"/>
          <w:szCs w:val="20"/>
        </w:rPr>
      </w:pPr>
      <w:r w:rsidRPr="00D356CE">
        <w:rPr>
          <w:rFonts w:cstheme="minorHAnsi"/>
          <w:b/>
          <w:sz w:val="20"/>
          <w:szCs w:val="20"/>
        </w:rPr>
        <w:t>Title</w:t>
      </w:r>
      <w:r w:rsidRPr="00D356CE">
        <w:rPr>
          <w:rFonts w:cstheme="minorHAnsi"/>
          <w:sz w:val="20"/>
          <w:szCs w:val="20"/>
        </w:rPr>
        <w:t xml:space="preserve">: </w:t>
      </w:r>
      <w:r w:rsidR="00D356CE" w:rsidRPr="00D356CE">
        <w:rPr>
          <w:rFonts w:cstheme="minorHAnsi"/>
          <w:sz w:val="20"/>
          <w:szCs w:val="20"/>
        </w:rPr>
        <w:t>Longitudinal investigation of gait and Alzheimer’s disease in adults with Down syndrome</w:t>
      </w:r>
    </w:p>
    <w:p w14:paraId="7AC50371" w14:textId="2B2D7EDA" w:rsidR="003D6244" w:rsidRPr="00D356CE" w:rsidRDefault="003D6244" w:rsidP="003D6244">
      <w:pPr>
        <w:rPr>
          <w:rFonts w:cstheme="minorHAnsi"/>
          <w:sz w:val="20"/>
          <w:szCs w:val="20"/>
          <w:vertAlign w:val="superscript"/>
        </w:rPr>
      </w:pPr>
      <w:r w:rsidRPr="00D356CE">
        <w:rPr>
          <w:rFonts w:cstheme="minorHAnsi"/>
          <w:b/>
          <w:sz w:val="20"/>
          <w:szCs w:val="20"/>
        </w:rPr>
        <w:t>Authors</w:t>
      </w:r>
      <w:r w:rsidRPr="00D356CE">
        <w:rPr>
          <w:rFonts w:cstheme="minorHAnsi"/>
          <w:sz w:val="20"/>
          <w:szCs w:val="20"/>
        </w:rPr>
        <w:t xml:space="preserve">: </w:t>
      </w:r>
      <w:r w:rsidR="00D356CE" w:rsidRPr="00D356CE">
        <w:rPr>
          <w:rFonts w:cstheme="minorHAnsi"/>
          <w:sz w:val="20"/>
          <w:szCs w:val="20"/>
        </w:rPr>
        <w:t>Ashlyn M. Barry</w:t>
      </w:r>
      <w:r w:rsidR="00D356CE" w:rsidRPr="00D356CE">
        <w:rPr>
          <w:rFonts w:cstheme="minorHAnsi"/>
          <w:sz w:val="20"/>
          <w:szCs w:val="20"/>
          <w:vertAlign w:val="superscript"/>
        </w:rPr>
        <w:t>1</w:t>
      </w:r>
      <w:r w:rsidR="00D356CE" w:rsidRPr="00D356CE">
        <w:rPr>
          <w:rFonts w:cstheme="minorHAnsi"/>
          <w:sz w:val="20"/>
          <w:szCs w:val="20"/>
        </w:rPr>
        <w:t>, Jamie C. Peven</w:t>
      </w:r>
      <w:r w:rsidR="00D356CE" w:rsidRPr="00D356CE">
        <w:rPr>
          <w:rFonts w:cstheme="minorHAnsi"/>
          <w:sz w:val="20"/>
          <w:szCs w:val="20"/>
          <w:vertAlign w:val="superscript"/>
        </w:rPr>
        <w:t>2</w:t>
      </w:r>
      <w:r w:rsidR="00D356CE" w:rsidRPr="00D356CE">
        <w:rPr>
          <w:rFonts w:cstheme="minorHAnsi"/>
          <w:sz w:val="20"/>
          <w:szCs w:val="20"/>
        </w:rPr>
        <w:t>, Benjamin L. Handen</w:t>
      </w:r>
      <w:r w:rsidR="00D356CE" w:rsidRPr="00D356CE">
        <w:rPr>
          <w:rFonts w:cstheme="minorHAnsi"/>
          <w:sz w:val="20"/>
          <w:szCs w:val="20"/>
          <w:vertAlign w:val="superscript"/>
        </w:rPr>
        <w:t>2</w:t>
      </w:r>
      <w:r w:rsidR="00D356CE" w:rsidRPr="00D356CE">
        <w:rPr>
          <w:rFonts w:cstheme="minorHAnsi"/>
          <w:sz w:val="20"/>
          <w:szCs w:val="20"/>
        </w:rPr>
        <w:t>, Daniel Bolt</w:t>
      </w:r>
      <w:r w:rsidR="00D356CE" w:rsidRPr="00D356CE">
        <w:rPr>
          <w:rFonts w:cstheme="minorHAnsi"/>
          <w:sz w:val="20"/>
          <w:szCs w:val="20"/>
          <w:vertAlign w:val="superscript"/>
        </w:rPr>
        <w:t>1</w:t>
      </w:r>
      <w:r w:rsidR="00D356CE" w:rsidRPr="00D356CE">
        <w:rPr>
          <w:rFonts w:cstheme="minorHAnsi"/>
          <w:sz w:val="20"/>
          <w:szCs w:val="20"/>
        </w:rPr>
        <w:t>, Bradley T. Christian</w:t>
      </w:r>
      <w:r w:rsidR="00D356CE" w:rsidRPr="00D356CE">
        <w:rPr>
          <w:rFonts w:cstheme="minorHAnsi"/>
          <w:sz w:val="20"/>
          <w:szCs w:val="20"/>
          <w:vertAlign w:val="superscript"/>
        </w:rPr>
        <w:t>1</w:t>
      </w:r>
      <w:r w:rsidR="00D356CE" w:rsidRPr="00D356CE">
        <w:rPr>
          <w:rFonts w:cstheme="minorHAnsi"/>
          <w:sz w:val="20"/>
          <w:szCs w:val="20"/>
        </w:rPr>
        <w:t xml:space="preserve">, </w:t>
      </w:r>
      <w:proofErr w:type="spellStart"/>
      <w:r w:rsidR="00D356CE" w:rsidRPr="00D356CE">
        <w:rPr>
          <w:rFonts w:cstheme="minorHAnsi"/>
          <w:sz w:val="20"/>
          <w:szCs w:val="20"/>
        </w:rPr>
        <w:t>Sigan</w:t>
      </w:r>
      <w:proofErr w:type="spellEnd"/>
      <w:r w:rsidR="00D356CE" w:rsidRPr="00D356CE">
        <w:rPr>
          <w:rFonts w:cstheme="minorHAnsi"/>
          <w:sz w:val="20"/>
          <w:szCs w:val="20"/>
        </w:rPr>
        <w:t xml:space="preserve"> L. Hartley</w:t>
      </w:r>
      <w:r w:rsidR="00D356CE" w:rsidRPr="00D356CE">
        <w:rPr>
          <w:rFonts w:cstheme="minorHAnsi"/>
          <w:sz w:val="20"/>
          <w:szCs w:val="20"/>
          <w:vertAlign w:val="superscript"/>
        </w:rPr>
        <w:t>1</w:t>
      </w:r>
    </w:p>
    <w:p w14:paraId="77FE6733" w14:textId="1930D1EB" w:rsidR="00452576" w:rsidRPr="00D356CE" w:rsidRDefault="003D6244" w:rsidP="003D6244">
      <w:pPr>
        <w:rPr>
          <w:rFonts w:cstheme="minorHAnsi"/>
          <w:b/>
          <w:iCs/>
          <w:color w:val="000000"/>
          <w:sz w:val="20"/>
          <w:szCs w:val="20"/>
          <w:lang w:val="en-GB"/>
        </w:rPr>
      </w:pPr>
      <w:r w:rsidRPr="00D356CE">
        <w:rPr>
          <w:rFonts w:cstheme="minorHAnsi"/>
          <w:b/>
          <w:sz w:val="20"/>
          <w:szCs w:val="20"/>
        </w:rPr>
        <w:t>Introduction</w:t>
      </w:r>
      <w:r w:rsidRPr="00D356CE">
        <w:rPr>
          <w:rFonts w:cstheme="minorHAnsi"/>
          <w:sz w:val="20"/>
          <w:szCs w:val="20"/>
        </w:rPr>
        <w:t xml:space="preserve">: </w:t>
      </w:r>
      <w:r w:rsidR="00D356CE" w:rsidRPr="00D356CE">
        <w:rPr>
          <w:rFonts w:cstheme="minorHAnsi"/>
          <w:sz w:val="20"/>
          <w:szCs w:val="20"/>
        </w:rPr>
        <w:t xml:space="preserve">Gait abnormalities are associated with AD in the general adult population </w:t>
      </w:r>
      <w:r w:rsidR="00D356CE" w:rsidRPr="00D356CE">
        <w:rPr>
          <w:rFonts w:cstheme="minorHAnsi"/>
          <w:sz w:val="20"/>
          <w:szCs w:val="20"/>
        </w:rPr>
        <w:fldChar w:fldCharType="begin"/>
      </w:r>
      <w:r w:rsidR="00D356CE" w:rsidRPr="00D356CE">
        <w:rPr>
          <w:rFonts w:cstheme="minorHAnsi"/>
          <w:sz w:val="20"/>
          <w:szCs w:val="20"/>
        </w:rPr>
        <w:instrText xml:space="preserve"> ADDIN ZOTERO_ITEM CSL_CITATION {"citationID":"n7eCeg4y","properties":{"formattedCitation":"(Pedersen et al., 2014; Sheridan &amp; Hausdorff, 2007)","plainCitation":"(Pedersen et al., 2014; Sheridan &amp; Hausdorff, 2007)","noteIndex":0},"citationItems":[{"id":2490,"uris":["http://zotero.org/users/10119326/items/TJ2MSJPT"],"itemData":{"id":2490,"type":"article-journal","abstract":"Background. The prevalence of mild cognitive impairment (MCI) and mobility limitations is high among older adults. The aim of this study was to investigate the association between MCI status and both performance-based and self-report measures of mobility in community-dwelling older adults.\nMethods.  An analysis was conducted on baseline data from the Boston Rehabilitative Impairment Study in the Elderly study, a cohort study of 430 primary care patients aged 65 or older. Neuropsychological tests identified participants with MCI and further subclassified those with impairment in memory domains (aMCI), nonmemory domains (naMCI), and multiple domains (mdMCI). Linear regression models were used to assess the association between MCI status and mobility performance in the Habitual Gait Speed, Figure of 8 Walk, Short Physical Performance Battery, and self-reported Late Life Function and Disability Instrument’s Basic Lower Extremity and Advanced Lower Extremity function scales.\nResults.  Participants had a mean age of 76.6 years, and 42% were characterized with MCI. Participants with MCI performed significantly worse than participants without MCI (No-MCI) on all performance and self-report measures (p &lt; .01). All MCI subtypes performed significantly worse than No-MCI on all mobility measures (p &lt; .05) except for aMCI versus No-MCI on the Figure of 8 Walk (p = .054) and Basic Lower Extremity (p = .11). Moreover, compared with aMCI, mdMCI manifested worse performance on the Figure of 8 Walk and Short Physical Performance Battery, and naMCI manifested worse performance on Short Physical Performance Battery and Basic Lower Extremity.\nConclusions. Among older community-dwelling primary care patients, performance on a broad range of mobility measures was worse among those with MCI, appearing poorest among those with nonmemory MCI.","container-title":"The Journals of Gerontology: Series A","DOI":"10.1093/gerona/glu063","ISSN":"1758-535X, 1079-5006","issue":"12","language":"en","page":"1511-1518","source":"DOI.org (Crossref)","title":"Mild Cognitive Impairment Status and Mobility Performance: An Analysis From the Boston RISE Study","title-short":"Mild Cognitive Impairment Status and Mobility Performance","volume":"69","author":[{"family":"Pedersen","given":"Mette M."},{"family":"Holt","given":"Nicole E."},{"family":"Grande","given":"Laura"},{"family":"Kurlinski","given":"Laura A."},{"family":"Beauchamp","given":"Marla K."},{"family":"Kiely","given":"Dan K."},{"family":"Petersen","given":"Janne"},{"family":"Leveille","given":"Suzanne"},{"family":"Bean","given":"Jonathan F."}],"issued":{"date-parts":[["2014",12]]}}},{"id":2572,"uris":["http://zotero.org/users/10119326/items/FBRMUKVC"],"itemData":{"id":2572,"type":"article-journal","abstract":"Alzheimer’s disease (AD) is generally understood as primarily affecting cognition while sparing motor function, at least until the later stages of the disease. Studies reported over the past 10 years, however, have documented a prevalence of falls in AD patients significantly higher than in age-matched normal elders; also persons with AD have been observed to have different walking patterns with characteristics that increase gait instability. Recent work in cognitive neuroscience has begun to demonstrate the necessity of intact cognition, particularly executive function, for competent motor control. We put the pieces of this puzzle together and review the current state of knowledge about gait and cognition in general along with an exploration of the association between dementia, gait impairment and falls in AD. We also briefly examine the current treatment of gait instability in AD, mainly exercise, and propose a new approach targeting cognition.","container-title":"Dementia and Geriatric Cognitive Disorders","DOI":"10.1159/000105126","ISSN":"1420-8008, 1421-9824","issue":"2","journalAbbreviation":"Dement Geriatr Cogn Disord","language":"en","license":"https://www.karger.com/Services/SiteLicenses","page":"125-137","source":"DOI.org (Crossref)","title":"The Role of Higher-Level Cognitive Function in Gait: Executive Dysfunction Contributes to Fall Risk in Alzheimer’s Disease","title-short":"The Role of Higher-Level Cognitive Function in Gait","volume":"24","author":[{"family":"Sheridan","given":"Pamela L."},{"family":"Hausdorff","given":"Jeffrey M."}],"issued":{"date-parts":[["2007"]]}}}],"schema":"https://github.com/citation-style-language/schema/raw/master/csl-citation.json"} </w:instrText>
      </w:r>
      <w:r w:rsidR="00D356CE" w:rsidRPr="00D356CE">
        <w:rPr>
          <w:rFonts w:cstheme="minorHAnsi"/>
          <w:sz w:val="20"/>
          <w:szCs w:val="20"/>
        </w:rPr>
        <w:fldChar w:fldCharType="separate"/>
      </w:r>
      <w:r w:rsidR="00D356CE" w:rsidRPr="00D356CE">
        <w:rPr>
          <w:rFonts w:cstheme="minorHAnsi"/>
          <w:noProof/>
          <w:sz w:val="20"/>
          <w:szCs w:val="20"/>
        </w:rPr>
        <w:t>(Pedersen et al., 2014; Sheridan &amp; Hausdorff, 2007)</w:t>
      </w:r>
      <w:r w:rsidR="00D356CE" w:rsidRPr="00D356CE">
        <w:rPr>
          <w:rFonts w:cstheme="minorHAnsi"/>
          <w:sz w:val="20"/>
          <w:szCs w:val="20"/>
        </w:rPr>
        <w:fldChar w:fldCharType="end"/>
      </w:r>
      <w:r w:rsidR="00D356CE" w:rsidRPr="00D356CE">
        <w:rPr>
          <w:rFonts w:cstheme="minorHAnsi"/>
          <w:sz w:val="20"/>
          <w:szCs w:val="20"/>
        </w:rPr>
        <w:t>, but it is unclear if gait impairments are a feature of DSAD. To explore this relationship in the DS population, the specific study aims were to: 1) examine gait across 32 months in relation to baseline biomarkers of PET amyloid-beta (Aβ), neurofibrillary tangles of tau (NFT) PET, and MRI-hippocampal volume; 2) determine whether change in gait across 32 months is related to change in cognitive functioning; and 3) compare changes in gait across 32 months based on clinical AD status.</w:t>
      </w:r>
    </w:p>
    <w:p w14:paraId="7AC50373" w14:textId="39A038F3"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D356CE" w:rsidRPr="00D356CE">
        <w:rPr>
          <w:rFonts w:cstheme="minorHAnsi"/>
          <w:sz w:val="20"/>
          <w:szCs w:val="20"/>
        </w:rPr>
        <w:t xml:space="preserve">Participants included 218 adults with DS (aged 25 to 72) who were part of the Alzheimer Biomarkers Consortium for Down Syndrome (ABC-DS; </w:t>
      </w:r>
      <w:r w:rsidR="00D356CE" w:rsidRPr="00D356CE">
        <w:rPr>
          <w:rFonts w:cstheme="minorHAnsi"/>
          <w:sz w:val="20"/>
          <w:szCs w:val="20"/>
        </w:rPr>
        <w:fldChar w:fldCharType="begin"/>
      </w:r>
      <w:r w:rsidR="00D356CE" w:rsidRPr="00D356CE">
        <w:rPr>
          <w:rFonts w:cstheme="minorHAnsi"/>
          <w:sz w:val="20"/>
          <w:szCs w:val="20"/>
        </w:rPr>
        <w:instrText xml:space="preserve"> ADDIN ZOTERO_ITEM CSL_CITATION {"citationID":"bBvD8roU","properties":{"formattedCitation":"(Handen et al., 2020)","plainCitation":"(Handen et al., 2020)","noteIndex":0},"citationItems":[{"id":2344,"uris":["http://zotero.org/users/10119326/items/RVV6X2R8"],"itemData":{"id":2344,"type":"article-journal","abstract":"Introduction: Adults with Down syndrome (DS) are at exceptionally high risk for Alzheimer’s disease (AD), with virtually all individuals developing key neuropathological features by age 40. Identifying biomarkers of AD progression in DS can provide valuable insights into pathogenesis and suggest targets for disease modifying treatments.","container-title":"Alzheimer's &amp; Dementia: Diagnosis, Assessment &amp; Disease Monitoring","DOI":"10.1002/dad2.12065","ISSN":"2352-8729, 2352-8729","issue":"1","journalAbbreviation":"Alzheimer's &amp;amp; Dementia: Diagnosis, Assessment &amp;amp; Disease Monitoring","language":"en","license":"http://creativecommons.org/licenses/by-nc-nd/4.0/","source":"DOI.org (Crossref)","title":"The Alzheimer's Biomarker Consortium‐Down Syndrome: Rationale and methodology","title-short":"The Alzheimer's Biomarker Consortium‐Down Syndrome","URL":"https://onlinelibrary.wiley.com/doi/10.1002/dad2.12065","volume":"12","author":[{"family":"Handen","given":"Benjamin L."},{"family":"Lott","given":"Ira T."},{"family":"Christian","given":"Bradley T."},{"family":"Schupf","given":"Nicole"},{"family":"OBryant","given":"Sid"},{"family":"Mapstone","given":"Mark"},{"family":"Fagan","given":"Anne M."},{"family":"Lee","given":"Joseph H."},{"family":"Tudorascu","given":"Dana"},{"family":"Wang","given":"Mei‐Cheng"},{"family":"Head","given":"Elizabeth"},{"family":"Klunk","given":"William"},{"family":"Ances","given":"Beau"},{"family":"Lai","given":"Florence"},{"family":"Zaman","given":"Shahid"},{"family":"Krinsky‐McHale","given":"Sharon"},{"family":"Brickman","given":"Adam M."},{"family":"Rosas","given":"H. Diana"},{"family":"Cohen","given":"Annie"},{"family":"Andrews","given":"Howard"},{"family":"Hartley","given":"Sigan"},{"family":"Silverman","given":"Wayne"},{"literal":"the Alzheimer's Biomarker Consortium‐Down Syndrome (ABC‐DS)"}],"accessed":{"date-parts":[["2024",6,25]]},"issued":{"date-parts":[["2020",1]]}}}],"schema":"https://github.com/citation-style-language/schema/raw/master/csl-citation.json"} </w:instrText>
      </w:r>
      <w:r w:rsidR="00D356CE" w:rsidRPr="00D356CE">
        <w:rPr>
          <w:rFonts w:cstheme="minorHAnsi"/>
          <w:sz w:val="20"/>
          <w:szCs w:val="20"/>
        </w:rPr>
        <w:fldChar w:fldCharType="separate"/>
      </w:r>
      <w:r w:rsidR="00D356CE" w:rsidRPr="00D356CE">
        <w:rPr>
          <w:rFonts w:cstheme="minorHAnsi"/>
          <w:noProof/>
          <w:sz w:val="20"/>
          <w:szCs w:val="20"/>
        </w:rPr>
        <w:t>Handen et al., 2020)</w:t>
      </w:r>
      <w:r w:rsidR="00D356CE" w:rsidRPr="00D356CE">
        <w:rPr>
          <w:rFonts w:cstheme="minorHAnsi"/>
          <w:sz w:val="20"/>
          <w:szCs w:val="20"/>
        </w:rPr>
        <w:fldChar w:fldCharType="end"/>
      </w:r>
      <w:r w:rsidR="00D356CE" w:rsidRPr="00D356CE">
        <w:rPr>
          <w:rFonts w:cstheme="minorHAnsi"/>
          <w:sz w:val="20"/>
          <w:szCs w:val="20"/>
        </w:rPr>
        <w:t>. Participants and their study partner completed a multi-day visit at baseline and 32 month follow-up. The adults with DS underwent structural MRI (hippocampal volume) and PET (Aβ, NFT) scans and completed cognitive (DSMSE), memory (mCRT), and gait functioning (Tinetti) assessments. The Tinetti Gait assessment includes two 15 foot walks and is scored in 8 domains, with a maximum of 12 points. The study partner reported on the participant’s medical history and functioning, including any dementia symptoms (NTG). Clinical AD status of cognitively stable, mild cognitive impairment (MCI) or dementia was determined based on a case consensus conference involving a psychologist, physician, and at least two research staff who were blind to neuroimaging data. A series of residual change regression models examined the relation between neuroimaging, cognitive functioning, and clinical AD status with change in gait performance across the 32 months. Age, intellectual disability level, and medical history of seizures, cataracts, and bone health conditions were associated with baseline gait and included in models as covariates.</w:t>
      </w:r>
    </w:p>
    <w:p w14:paraId="7AC50374" w14:textId="53F1951B" w:rsidR="003D6244" w:rsidRPr="00D356CE" w:rsidRDefault="003D6244" w:rsidP="003D6244">
      <w:pPr>
        <w:rPr>
          <w:rFonts w:cstheme="minorHAnsi"/>
          <w:iCs/>
          <w:color w:val="000000"/>
          <w:sz w:val="20"/>
          <w:szCs w:val="20"/>
          <w:lang w:val="en-GB"/>
        </w:rPr>
      </w:pPr>
      <w:r w:rsidRPr="00D356CE">
        <w:rPr>
          <w:rFonts w:cstheme="minorHAnsi"/>
          <w:b/>
          <w:color w:val="000000"/>
          <w:sz w:val="20"/>
          <w:szCs w:val="20"/>
          <w:lang w:val="en-GB"/>
        </w:rPr>
        <w:t>Results</w:t>
      </w:r>
      <w:r w:rsidRPr="00D356CE">
        <w:rPr>
          <w:rFonts w:cstheme="minorHAnsi"/>
          <w:color w:val="000000"/>
          <w:sz w:val="20"/>
          <w:szCs w:val="20"/>
          <w:lang w:val="en-GB"/>
        </w:rPr>
        <w:t xml:space="preserve">: </w:t>
      </w:r>
      <w:r w:rsidR="00D356CE" w:rsidRPr="00D356CE">
        <w:rPr>
          <w:rFonts w:cstheme="minorHAnsi"/>
          <w:sz w:val="20"/>
          <w:szCs w:val="20"/>
        </w:rPr>
        <w:t>Results indicated participants with dementia at 32 months had significantly lower gait scores than those who remained cognitively stable. Declines in cognitive ability on the DSMSE, mCRT, and informant-reported dementia symptoms (NTG) across the 32 months were associated with greater impairments in gait performance across that same period. Finally, higher baseline PET Aβ and NFT PET and lower MRI-hippocampal volume were associated with greater impairments in gait 32 months later.</w:t>
      </w:r>
    </w:p>
    <w:p w14:paraId="7AC50375" w14:textId="595E59E6" w:rsidR="003D6244" w:rsidRPr="00D356CE" w:rsidRDefault="003D6244" w:rsidP="003D6244">
      <w:pPr>
        <w:rPr>
          <w:rFonts w:cstheme="minorHAnsi"/>
          <w:color w:val="000000"/>
          <w:sz w:val="20"/>
          <w:szCs w:val="20"/>
          <w:lang w:val="en-GB"/>
        </w:rPr>
      </w:pPr>
      <w:r w:rsidRPr="00D356CE">
        <w:rPr>
          <w:rFonts w:cstheme="minorHAnsi"/>
          <w:b/>
          <w:iCs/>
          <w:color w:val="000000"/>
          <w:sz w:val="20"/>
          <w:szCs w:val="20"/>
          <w:lang w:val="en-GB"/>
        </w:rPr>
        <w:t xml:space="preserve">Discussion: </w:t>
      </w:r>
      <w:r w:rsidR="00D356CE" w:rsidRPr="00D356CE">
        <w:rPr>
          <w:rFonts w:cstheme="minorHAnsi"/>
          <w:sz w:val="20"/>
          <w:szCs w:val="20"/>
        </w:rPr>
        <w:t>Findings suggest that</w:t>
      </w:r>
      <w:r w:rsidR="00D356CE" w:rsidRPr="00D356CE">
        <w:rPr>
          <w:rFonts w:cstheme="minorHAnsi"/>
          <w:b/>
          <w:bCs/>
          <w:sz w:val="20"/>
          <w:szCs w:val="20"/>
        </w:rPr>
        <w:t xml:space="preserve"> </w:t>
      </w:r>
      <w:r w:rsidR="00D356CE" w:rsidRPr="00D356CE">
        <w:rPr>
          <w:rFonts w:cstheme="minorHAnsi"/>
          <w:sz w:val="20"/>
          <w:szCs w:val="20"/>
        </w:rPr>
        <w:t>gait impairments are a key feature of DSAD and begin early in disease development. Thus, gait assessments should be part of early AD screenings with adults with DS. Identifying a broad array of observable functional declines that are part of early symptomatic AD is important for screening efforts, especially for adults with DS who may have limited verbal abilities. The Tinetti gait assessment may offer a quick, cost-effective, non-invasive screen for gait impairments that occur as part of AD symptomology in adults with DS.</w:t>
      </w:r>
    </w:p>
    <w:p w14:paraId="7AC50376" w14:textId="577D853B"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3A44D1B5" w14:textId="77777777" w:rsidR="00D356CE" w:rsidRPr="00D356CE" w:rsidRDefault="00D356CE" w:rsidP="00D356CE">
      <w:pPr>
        <w:pStyle w:val="Bibliography"/>
        <w:rPr>
          <w:rFonts w:cstheme="minorHAnsi"/>
          <w:sz w:val="20"/>
          <w:szCs w:val="20"/>
        </w:rPr>
      </w:pPr>
      <w:r w:rsidRPr="00D356CE">
        <w:rPr>
          <w:rFonts w:cstheme="minorHAnsi"/>
          <w:b/>
          <w:bCs/>
          <w:sz w:val="20"/>
          <w:szCs w:val="20"/>
        </w:rPr>
        <w:fldChar w:fldCharType="begin"/>
      </w:r>
      <w:r w:rsidRPr="00D356CE">
        <w:rPr>
          <w:rFonts w:cstheme="minorHAnsi"/>
          <w:b/>
          <w:bCs/>
          <w:sz w:val="20"/>
          <w:szCs w:val="20"/>
        </w:rPr>
        <w:instrText xml:space="preserve"> ADDIN ZOTERO_BIBL {"uncited":[],"omitted":[],"custom":[]} CSL_BIBLIOGRAPHY </w:instrText>
      </w:r>
      <w:r w:rsidRPr="00D356CE">
        <w:rPr>
          <w:rFonts w:cstheme="minorHAnsi"/>
          <w:b/>
          <w:bCs/>
          <w:sz w:val="20"/>
          <w:szCs w:val="20"/>
        </w:rPr>
        <w:fldChar w:fldCharType="separate"/>
      </w:r>
      <w:proofErr w:type="spellStart"/>
      <w:r w:rsidRPr="00D356CE">
        <w:rPr>
          <w:rFonts w:cstheme="minorHAnsi"/>
          <w:sz w:val="20"/>
          <w:szCs w:val="20"/>
        </w:rPr>
        <w:t>Handen</w:t>
      </w:r>
      <w:proofErr w:type="spellEnd"/>
      <w:r w:rsidRPr="00D356CE">
        <w:rPr>
          <w:rFonts w:cstheme="minorHAnsi"/>
          <w:sz w:val="20"/>
          <w:szCs w:val="20"/>
        </w:rPr>
        <w:t xml:space="preserve">, B. L., Lott, I. T., Christian, B. T., </w:t>
      </w:r>
      <w:proofErr w:type="spellStart"/>
      <w:r w:rsidRPr="00D356CE">
        <w:rPr>
          <w:rFonts w:cstheme="minorHAnsi"/>
          <w:sz w:val="20"/>
          <w:szCs w:val="20"/>
        </w:rPr>
        <w:t>Schupf</w:t>
      </w:r>
      <w:proofErr w:type="spellEnd"/>
      <w:r w:rsidRPr="00D356CE">
        <w:rPr>
          <w:rFonts w:cstheme="minorHAnsi"/>
          <w:sz w:val="20"/>
          <w:szCs w:val="20"/>
        </w:rPr>
        <w:t xml:space="preserve">, N., </w:t>
      </w:r>
      <w:proofErr w:type="spellStart"/>
      <w:r w:rsidRPr="00D356CE">
        <w:rPr>
          <w:rFonts w:cstheme="minorHAnsi"/>
          <w:sz w:val="20"/>
          <w:szCs w:val="20"/>
        </w:rPr>
        <w:t>OBryant</w:t>
      </w:r>
      <w:proofErr w:type="spellEnd"/>
      <w:r w:rsidRPr="00D356CE">
        <w:rPr>
          <w:rFonts w:cstheme="minorHAnsi"/>
          <w:sz w:val="20"/>
          <w:szCs w:val="20"/>
        </w:rPr>
        <w:t xml:space="preserve">, S., </w:t>
      </w:r>
      <w:proofErr w:type="spellStart"/>
      <w:r w:rsidRPr="00D356CE">
        <w:rPr>
          <w:rFonts w:cstheme="minorHAnsi"/>
          <w:sz w:val="20"/>
          <w:szCs w:val="20"/>
        </w:rPr>
        <w:t>Mapstone</w:t>
      </w:r>
      <w:proofErr w:type="spellEnd"/>
      <w:r w:rsidRPr="00D356CE">
        <w:rPr>
          <w:rFonts w:cstheme="minorHAnsi"/>
          <w:sz w:val="20"/>
          <w:szCs w:val="20"/>
        </w:rPr>
        <w:t xml:space="preserve">, M., Fagan, A. M., Lee, J. H., </w:t>
      </w:r>
      <w:proofErr w:type="spellStart"/>
      <w:r w:rsidRPr="00D356CE">
        <w:rPr>
          <w:rFonts w:cstheme="minorHAnsi"/>
          <w:sz w:val="20"/>
          <w:szCs w:val="20"/>
        </w:rPr>
        <w:t>Tudorascu</w:t>
      </w:r>
      <w:proofErr w:type="spellEnd"/>
      <w:r w:rsidRPr="00D356CE">
        <w:rPr>
          <w:rFonts w:cstheme="minorHAnsi"/>
          <w:sz w:val="20"/>
          <w:szCs w:val="20"/>
        </w:rPr>
        <w:t xml:space="preserve">, D., Wang, M., Head, E., </w:t>
      </w:r>
      <w:proofErr w:type="spellStart"/>
      <w:r w:rsidRPr="00D356CE">
        <w:rPr>
          <w:rFonts w:cstheme="minorHAnsi"/>
          <w:sz w:val="20"/>
          <w:szCs w:val="20"/>
        </w:rPr>
        <w:t>Klunk</w:t>
      </w:r>
      <w:proofErr w:type="spellEnd"/>
      <w:r w:rsidRPr="00D356CE">
        <w:rPr>
          <w:rFonts w:cstheme="minorHAnsi"/>
          <w:sz w:val="20"/>
          <w:szCs w:val="20"/>
        </w:rPr>
        <w:t xml:space="preserve">, W., </w:t>
      </w:r>
      <w:proofErr w:type="spellStart"/>
      <w:r w:rsidRPr="00D356CE">
        <w:rPr>
          <w:rFonts w:cstheme="minorHAnsi"/>
          <w:sz w:val="20"/>
          <w:szCs w:val="20"/>
        </w:rPr>
        <w:t>Ances</w:t>
      </w:r>
      <w:proofErr w:type="spellEnd"/>
      <w:r w:rsidRPr="00D356CE">
        <w:rPr>
          <w:rFonts w:cstheme="minorHAnsi"/>
          <w:sz w:val="20"/>
          <w:szCs w:val="20"/>
        </w:rPr>
        <w:t xml:space="preserve">, B., Lai, F., Zaman, S., </w:t>
      </w:r>
      <w:proofErr w:type="spellStart"/>
      <w:r w:rsidRPr="00D356CE">
        <w:rPr>
          <w:rFonts w:cstheme="minorHAnsi"/>
          <w:sz w:val="20"/>
          <w:szCs w:val="20"/>
        </w:rPr>
        <w:t>Krinsky</w:t>
      </w:r>
      <w:proofErr w:type="spellEnd"/>
      <w:r w:rsidRPr="00D356CE">
        <w:rPr>
          <w:rFonts w:cstheme="minorHAnsi"/>
          <w:sz w:val="20"/>
          <w:szCs w:val="20"/>
        </w:rPr>
        <w:t xml:space="preserve">‐McHale, S., Brickman, A. M., Rosas, H. D., Cohen, A., … the Alzheimer’s Biomarker Consortium‐Down Syndrome (ABC‐DS). (2020). The Alzheimer’s Biomarker Consortium‐Down Syndrome: Rationale and methodology. </w:t>
      </w:r>
      <w:r w:rsidRPr="00D356CE">
        <w:rPr>
          <w:rFonts w:cstheme="minorHAnsi"/>
          <w:i/>
          <w:iCs/>
          <w:sz w:val="20"/>
          <w:szCs w:val="20"/>
        </w:rPr>
        <w:t>Alzheimer’s &amp; Dementia: Diagnosis, Assessment &amp; Disease Monitoring</w:t>
      </w:r>
      <w:r w:rsidRPr="00D356CE">
        <w:rPr>
          <w:rFonts w:cstheme="minorHAnsi"/>
          <w:sz w:val="20"/>
          <w:szCs w:val="20"/>
        </w:rPr>
        <w:t xml:space="preserve">, </w:t>
      </w:r>
      <w:r w:rsidRPr="00D356CE">
        <w:rPr>
          <w:rFonts w:cstheme="minorHAnsi"/>
          <w:i/>
          <w:iCs/>
          <w:sz w:val="20"/>
          <w:szCs w:val="20"/>
        </w:rPr>
        <w:t>12</w:t>
      </w:r>
      <w:r w:rsidRPr="00D356CE">
        <w:rPr>
          <w:rFonts w:cstheme="minorHAnsi"/>
          <w:sz w:val="20"/>
          <w:szCs w:val="20"/>
        </w:rPr>
        <w:t>(1). https://doi.org/10.1002/dad2.12065</w:t>
      </w:r>
    </w:p>
    <w:p w14:paraId="3D5D8A1F" w14:textId="77777777" w:rsidR="00D356CE" w:rsidRDefault="00D356CE" w:rsidP="00D356CE">
      <w:pPr>
        <w:pStyle w:val="Bibliography"/>
        <w:rPr>
          <w:rFonts w:cstheme="minorHAnsi"/>
          <w:sz w:val="20"/>
          <w:szCs w:val="20"/>
        </w:rPr>
      </w:pPr>
      <w:r w:rsidRPr="00D356CE">
        <w:rPr>
          <w:rFonts w:cstheme="minorHAnsi"/>
          <w:sz w:val="20"/>
          <w:szCs w:val="20"/>
          <w:lang w:val="de-DE"/>
        </w:rPr>
        <w:t xml:space="preserve">Pedersen, M. M., Holt, N. E., Grande, L., </w:t>
      </w:r>
      <w:proofErr w:type="spellStart"/>
      <w:r w:rsidRPr="00D356CE">
        <w:rPr>
          <w:rFonts w:cstheme="minorHAnsi"/>
          <w:sz w:val="20"/>
          <w:szCs w:val="20"/>
          <w:lang w:val="de-DE"/>
        </w:rPr>
        <w:t>Kurlinski</w:t>
      </w:r>
      <w:proofErr w:type="spellEnd"/>
      <w:r w:rsidRPr="00D356CE">
        <w:rPr>
          <w:rFonts w:cstheme="minorHAnsi"/>
          <w:sz w:val="20"/>
          <w:szCs w:val="20"/>
          <w:lang w:val="de-DE"/>
        </w:rPr>
        <w:t xml:space="preserve">, L. A., Beauchamp, M. K., </w:t>
      </w:r>
      <w:proofErr w:type="spellStart"/>
      <w:r w:rsidRPr="00D356CE">
        <w:rPr>
          <w:rFonts w:cstheme="minorHAnsi"/>
          <w:sz w:val="20"/>
          <w:szCs w:val="20"/>
          <w:lang w:val="de-DE"/>
        </w:rPr>
        <w:t>Kiely</w:t>
      </w:r>
      <w:proofErr w:type="spellEnd"/>
      <w:r w:rsidRPr="00D356CE">
        <w:rPr>
          <w:rFonts w:cstheme="minorHAnsi"/>
          <w:sz w:val="20"/>
          <w:szCs w:val="20"/>
          <w:lang w:val="de-DE"/>
        </w:rPr>
        <w:t xml:space="preserve">, D. K., Petersen, J., </w:t>
      </w:r>
      <w:proofErr w:type="spellStart"/>
      <w:r w:rsidRPr="00D356CE">
        <w:rPr>
          <w:rFonts w:cstheme="minorHAnsi"/>
          <w:sz w:val="20"/>
          <w:szCs w:val="20"/>
          <w:lang w:val="de-DE"/>
        </w:rPr>
        <w:t>Leveille</w:t>
      </w:r>
      <w:proofErr w:type="spellEnd"/>
      <w:r w:rsidRPr="00D356CE">
        <w:rPr>
          <w:rFonts w:cstheme="minorHAnsi"/>
          <w:sz w:val="20"/>
          <w:szCs w:val="20"/>
          <w:lang w:val="de-DE"/>
        </w:rPr>
        <w:t xml:space="preserve">, S., &amp; Bean, J. F. (2014). </w:t>
      </w:r>
      <w:r w:rsidRPr="00D356CE">
        <w:rPr>
          <w:rFonts w:cstheme="minorHAnsi"/>
          <w:sz w:val="20"/>
          <w:szCs w:val="20"/>
        </w:rPr>
        <w:t xml:space="preserve">Mild Cognitive Impairment Status and Mobility Performance: An Analysis </w:t>
      </w:r>
      <w:proofErr w:type="gramStart"/>
      <w:r w:rsidRPr="00D356CE">
        <w:rPr>
          <w:rFonts w:cstheme="minorHAnsi"/>
          <w:sz w:val="20"/>
          <w:szCs w:val="20"/>
        </w:rPr>
        <w:t>From</w:t>
      </w:r>
      <w:proofErr w:type="gramEnd"/>
      <w:r w:rsidRPr="00D356CE">
        <w:rPr>
          <w:rFonts w:cstheme="minorHAnsi"/>
          <w:sz w:val="20"/>
          <w:szCs w:val="20"/>
        </w:rPr>
        <w:t xml:space="preserve"> the Boston RISE Study. </w:t>
      </w:r>
      <w:r w:rsidRPr="00D356CE">
        <w:rPr>
          <w:rFonts w:cstheme="minorHAnsi"/>
          <w:i/>
          <w:iCs/>
          <w:sz w:val="20"/>
          <w:szCs w:val="20"/>
        </w:rPr>
        <w:t>The Journals of Gerontology: Series A</w:t>
      </w:r>
      <w:r w:rsidRPr="00D356CE">
        <w:rPr>
          <w:rFonts w:cstheme="minorHAnsi"/>
          <w:sz w:val="20"/>
          <w:szCs w:val="20"/>
        </w:rPr>
        <w:t xml:space="preserve">, </w:t>
      </w:r>
      <w:r w:rsidRPr="00D356CE">
        <w:rPr>
          <w:rFonts w:cstheme="minorHAnsi"/>
          <w:i/>
          <w:iCs/>
          <w:sz w:val="20"/>
          <w:szCs w:val="20"/>
        </w:rPr>
        <w:t>69</w:t>
      </w:r>
      <w:r w:rsidRPr="00D356CE">
        <w:rPr>
          <w:rFonts w:cstheme="minorHAnsi"/>
          <w:sz w:val="20"/>
          <w:szCs w:val="20"/>
        </w:rPr>
        <w:t>(12), 1511–1518. https://doi.org/10.1093/gerona/glu063</w:t>
      </w:r>
    </w:p>
    <w:p w14:paraId="66921444" w14:textId="4F2E46C3" w:rsidR="00D356CE" w:rsidRPr="00D356CE" w:rsidRDefault="00D356CE" w:rsidP="00D356CE">
      <w:pPr>
        <w:pStyle w:val="Bibliography"/>
        <w:rPr>
          <w:rFonts w:cstheme="minorHAnsi"/>
          <w:sz w:val="20"/>
          <w:szCs w:val="20"/>
        </w:rPr>
      </w:pPr>
      <w:r w:rsidRPr="00D356CE">
        <w:rPr>
          <w:rFonts w:cstheme="minorHAnsi"/>
          <w:sz w:val="20"/>
          <w:szCs w:val="20"/>
          <w:lang w:val="de-DE"/>
        </w:rPr>
        <w:t xml:space="preserve">Sheridan, P. L., &amp; </w:t>
      </w:r>
      <w:proofErr w:type="spellStart"/>
      <w:r w:rsidRPr="00D356CE">
        <w:rPr>
          <w:rFonts w:cstheme="minorHAnsi"/>
          <w:sz w:val="20"/>
          <w:szCs w:val="20"/>
          <w:lang w:val="de-DE"/>
        </w:rPr>
        <w:t>Hausdorff</w:t>
      </w:r>
      <w:proofErr w:type="spellEnd"/>
      <w:r w:rsidRPr="00D356CE">
        <w:rPr>
          <w:rFonts w:cstheme="minorHAnsi"/>
          <w:sz w:val="20"/>
          <w:szCs w:val="20"/>
          <w:lang w:val="de-DE"/>
        </w:rPr>
        <w:t xml:space="preserve">, J. M. (2007). </w:t>
      </w:r>
      <w:r w:rsidRPr="00D356CE">
        <w:rPr>
          <w:rFonts w:cstheme="minorHAnsi"/>
          <w:sz w:val="20"/>
          <w:szCs w:val="20"/>
        </w:rPr>
        <w:t xml:space="preserve">The Role of Higher-Level Cognitive Function in Gait: Executive Dysfunction Contributes to Fall Risk in Alzheimer’s Disease. </w:t>
      </w:r>
      <w:r w:rsidRPr="00D356CE">
        <w:rPr>
          <w:rFonts w:cstheme="minorHAnsi"/>
          <w:i/>
          <w:iCs/>
          <w:sz w:val="20"/>
          <w:szCs w:val="20"/>
        </w:rPr>
        <w:t>Dementia and Geriatric Cognitive Disorders</w:t>
      </w:r>
      <w:r w:rsidRPr="00D356CE">
        <w:rPr>
          <w:rFonts w:cstheme="minorHAnsi"/>
          <w:sz w:val="20"/>
          <w:szCs w:val="20"/>
        </w:rPr>
        <w:t xml:space="preserve">, </w:t>
      </w:r>
      <w:r w:rsidRPr="00D356CE">
        <w:rPr>
          <w:rFonts w:cstheme="minorHAnsi"/>
          <w:i/>
          <w:iCs/>
          <w:sz w:val="20"/>
          <w:szCs w:val="20"/>
        </w:rPr>
        <w:t>24</w:t>
      </w:r>
      <w:r w:rsidRPr="00D356CE">
        <w:rPr>
          <w:rFonts w:cstheme="minorHAnsi"/>
          <w:sz w:val="20"/>
          <w:szCs w:val="20"/>
        </w:rPr>
        <w:t>(2), 125–137. https://doi.org/10.1159/000105126</w:t>
      </w:r>
    </w:p>
    <w:p w14:paraId="461BF9A4" w14:textId="0D20627A" w:rsidR="00D356CE" w:rsidRPr="009E00A7" w:rsidRDefault="00D356CE" w:rsidP="00D356CE">
      <w:pPr>
        <w:rPr>
          <w:color w:val="000000"/>
          <w:sz w:val="20"/>
          <w:szCs w:val="20"/>
          <w:lang w:val="en-GB"/>
        </w:rPr>
      </w:pPr>
      <w:r w:rsidRPr="00D356CE">
        <w:rPr>
          <w:rFonts w:cstheme="minorHAnsi"/>
          <w:b/>
          <w:bCs/>
          <w:sz w:val="20"/>
          <w:szCs w:val="20"/>
        </w:rPr>
        <w:lastRenderedPageBreak/>
        <w:fldChar w:fldCharType="end"/>
      </w:r>
    </w:p>
    <w:p w14:paraId="7AC50377" w14:textId="3A5E7752" w:rsidR="003D6244" w:rsidRPr="008B1E03" w:rsidRDefault="003D6244" w:rsidP="003D6244">
      <w:pPr>
        <w:pStyle w:val="FootnoteText"/>
        <w:rPr>
          <w:lang w:val="en-CA"/>
        </w:rPr>
      </w:pPr>
      <w:r w:rsidRPr="008B1E03">
        <w:rPr>
          <w:rStyle w:val="FootnoteReference"/>
        </w:rPr>
        <w:footnoteRef/>
      </w:r>
      <w:r w:rsidRPr="008B1E03">
        <w:t xml:space="preserve"> </w:t>
      </w:r>
      <w:r w:rsidR="00D356CE">
        <w:rPr>
          <w:lang w:val="en-CA"/>
        </w:rPr>
        <w:t>University of Wisconsin-Madison</w:t>
      </w:r>
    </w:p>
    <w:p w14:paraId="7AC50379" w14:textId="611A08D4" w:rsidR="003D6244" w:rsidRPr="008B1E03" w:rsidRDefault="003D6244" w:rsidP="0059601C">
      <w:pPr>
        <w:pStyle w:val="FootnoteText"/>
      </w:pPr>
      <w:r>
        <w:rPr>
          <w:rStyle w:val="FootnoteReference"/>
        </w:rPr>
        <w:t>2</w:t>
      </w:r>
      <w:r w:rsidRPr="008B1E03">
        <w:t xml:space="preserve"> </w:t>
      </w:r>
      <w:r w:rsidR="00D356CE">
        <w:rPr>
          <w:lang w:val="en-CA"/>
        </w:rPr>
        <w:t>VA Pittsburgh Healthcare System</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F200E" w14:textId="77777777" w:rsidR="00076DFA" w:rsidRDefault="00076DFA" w:rsidP="00A16498">
      <w:pPr>
        <w:spacing w:after="0" w:line="240" w:lineRule="auto"/>
      </w:pPr>
      <w:r>
        <w:separator/>
      </w:r>
    </w:p>
  </w:endnote>
  <w:endnote w:type="continuationSeparator" w:id="0">
    <w:p w14:paraId="0ED309CA" w14:textId="77777777" w:rsidR="00076DFA" w:rsidRDefault="00076DFA"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4AA36" w14:textId="77777777" w:rsidR="00076DFA" w:rsidRDefault="00076DFA" w:rsidP="00A16498">
      <w:pPr>
        <w:spacing w:after="0" w:line="240" w:lineRule="auto"/>
      </w:pPr>
      <w:r>
        <w:separator/>
      </w:r>
    </w:p>
  </w:footnote>
  <w:footnote w:type="continuationSeparator" w:id="0">
    <w:p w14:paraId="194C8FD9" w14:textId="77777777" w:rsidR="00076DFA" w:rsidRDefault="00076DFA"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76DFA"/>
    <w:rsid w:val="000D0162"/>
    <w:rsid w:val="001C735E"/>
    <w:rsid w:val="00226854"/>
    <w:rsid w:val="00244C29"/>
    <w:rsid w:val="002872AA"/>
    <w:rsid w:val="002E6251"/>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02835"/>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C1588"/>
    <w:rsid w:val="009E1B56"/>
    <w:rsid w:val="00A16498"/>
    <w:rsid w:val="00AB7B37"/>
    <w:rsid w:val="00AE4ADB"/>
    <w:rsid w:val="00B226B4"/>
    <w:rsid w:val="00B71AFF"/>
    <w:rsid w:val="00BA2D2D"/>
    <w:rsid w:val="00C6243D"/>
    <w:rsid w:val="00C80718"/>
    <w:rsid w:val="00CF3CDF"/>
    <w:rsid w:val="00D356CE"/>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semiHidden/>
    <w:unhideWhenUsed/>
    <w:rsid w:val="00D3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Ashlyn Marie Barry</cp:lastModifiedBy>
  <cp:revision>2</cp:revision>
  <dcterms:created xsi:type="dcterms:W3CDTF">2024-11-03T16:16:00Z</dcterms:created>
  <dcterms:modified xsi:type="dcterms:W3CDTF">2024-11-03T16:16:00Z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