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50370" w14:textId="0C748322" w:rsidR="003D6244" w:rsidRPr="009E00A7" w:rsidRDefault="003D6244" w:rsidP="003D6244">
      <w:pPr>
        <w:rPr>
          <w:sz w:val="20"/>
          <w:szCs w:val="20"/>
        </w:rPr>
      </w:pPr>
      <w:r w:rsidRPr="009E00A7">
        <w:rPr>
          <w:b/>
          <w:sz w:val="20"/>
          <w:szCs w:val="20"/>
        </w:rPr>
        <w:t>Title</w:t>
      </w:r>
      <w:r w:rsidRPr="009E00A7">
        <w:rPr>
          <w:sz w:val="20"/>
          <w:szCs w:val="20"/>
        </w:rPr>
        <w:t xml:space="preserve">: </w:t>
      </w:r>
      <w:r w:rsidR="009E29F5" w:rsidRPr="009E29F5">
        <w:rPr>
          <w:sz w:val="20"/>
          <w:szCs w:val="20"/>
        </w:rPr>
        <w:t xml:space="preserve">Test-Retest Reliability of Automatic Language </w:t>
      </w:r>
      <w:proofErr w:type="spellStart"/>
      <w:r w:rsidR="009E29F5" w:rsidRPr="009E29F5">
        <w:rPr>
          <w:sz w:val="20"/>
          <w:szCs w:val="20"/>
        </w:rPr>
        <w:t>ENvironment</w:t>
      </w:r>
      <w:proofErr w:type="spellEnd"/>
      <w:r w:rsidR="009E29F5" w:rsidRPr="009E29F5">
        <w:rPr>
          <w:sz w:val="20"/>
          <w:szCs w:val="20"/>
        </w:rPr>
        <w:t xml:space="preserve"> Analysis (LENA) System Analyses with Young Children with Down Syndrome</w:t>
      </w:r>
    </w:p>
    <w:p w14:paraId="7AC50371" w14:textId="374412F1" w:rsidR="003D6244" w:rsidRPr="009E29F5" w:rsidRDefault="003D6244" w:rsidP="003D6244">
      <w:pPr>
        <w:rPr>
          <w:sz w:val="20"/>
          <w:szCs w:val="20"/>
          <w:vertAlign w:val="superscript"/>
        </w:rPr>
      </w:pPr>
      <w:r w:rsidRPr="009E00A7">
        <w:rPr>
          <w:b/>
          <w:sz w:val="20"/>
          <w:szCs w:val="20"/>
        </w:rPr>
        <w:t>Authors</w:t>
      </w:r>
      <w:r w:rsidRPr="009E00A7">
        <w:rPr>
          <w:sz w:val="20"/>
          <w:szCs w:val="20"/>
        </w:rPr>
        <w:t xml:space="preserve">: </w:t>
      </w:r>
      <w:r w:rsidR="009E29F5" w:rsidRPr="009E29F5">
        <w:rPr>
          <w:sz w:val="20"/>
          <w:szCs w:val="20"/>
        </w:rPr>
        <w:t>Miriam Kornelis</w:t>
      </w:r>
      <w:r w:rsidR="009E29F5">
        <w:rPr>
          <w:sz w:val="20"/>
          <w:szCs w:val="20"/>
          <w:vertAlign w:val="superscript"/>
        </w:rPr>
        <w:t>1</w:t>
      </w:r>
      <w:r w:rsidR="009E29F5" w:rsidRPr="009E29F5">
        <w:rPr>
          <w:sz w:val="20"/>
          <w:szCs w:val="20"/>
        </w:rPr>
        <w:t>, Marianne Elmquist</w:t>
      </w:r>
      <w:r w:rsidR="009E29F5">
        <w:rPr>
          <w:sz w:val="20"/>
          <w:szCs w:val="20"/>
          <w:vertAlign w:val="superscript"/>
        </w:rPr>
        <w:t>2</w:t>
      </w:r>
      <w:r w:rsidR="009E29F5" w:rsidRPr="009E29F5">
        <w:rPr>
          <w:sz w:val="20"/>
          <w:szCs w:val="20"/>
        </w:rPr>
        <w:t>, Claudia Schabes</w:t>
      </w:r>
      <w:r w:rsidR="009E29F5">
        <w:rPr>
          <w:sz w:val="20"/>
          <w:szCs w:val="20"/>
          <w:vertAlign w:val="superscript"/>
        </w:rPr>
        <w:t>2</w:t>
      </w:r>
      <w:r w:rsidR="009E29F5" w:rsidRPr="009E29F5">
        <w:rPr>
          <w:sz w:val="20"/>
          <w:szCs w:val="20"/>
        </w:rPr>
        <w:t>, Audra Sterling</w:t>
      </w:r>
      <w:r w:rsidR="009E29F5">
        <w:rPr>
          <w:sz w:val="20"/>
          <w:szCs w:val="20"/>
          <w:vertAlign w:val="superscript"/>
        </w:rPr>
        <w:t>2</w:t>
      </w:r>
      <w:r w:rsidR="009E29F5" w:rsidRPr="009E29F5">
        <w:rPr>
          <w:sz w:val="20"/>
          <w:szCs w:val="20"/>
        </w:rPr>
        <w:t>, &amp; Lizbeth Finestack</w:t>
      </w:r>
      <w:r w:rsidR="009E29F5">
        <w:rPr>
          <w:sz w:val="20"/>
          <w:szCs w:val="20"/>
          <w:vertAlign w:val="superscript"/>
        </w:rPr>
        <w:t>1</w:t>
      </w:r>
    </w:p>
    <w:p w14:paraId="4826060D" w14:textId="5B0B3CA2" w:rsidR="009E29F5" w:rsidRPr="009E29F5" w:rsidRDefault="003D6244" w:rsidP="009E29F5">
      <w:pPr>
        <w:rPr>
          <w:color w:val="000000"/>
          <w:sz w:val="20"/>
          <w:szCs w:val="20"/>
        </w:rPr>
      </w:pPr>
      <w:r w:rsidRPr="009E00A7">
        <w:rPr>
          <w:b/>
          <w:sz w:val="20"/>
          <w:szCs w:val="20"/>
        </w:rPr>
        <w:t>Introduction</w:t>
      </w:r>
      <w:r w:rsidRPr="009E00A7">
        <w:rPr>
          <w:sz w:val="20"/>
          <w:szCs w:val="20"/>
        </w:rPr>
        <w:t xml:space="preserve">: </w:t>
      </w:r>
      <w:r w:rsidR="009E29F5" w:rsidRPr="009E29F5">
        <w:rPr>
          <w:color w:val="000000"/>
          <w:sz w:val="20"/>
          <w:szCs w:val="20"/>
        </w:rPr>
        <w:t>Researchers and clinicians are challenged to identify appropriate outcome measures to evaluate language growth of young children with Down Syndrome (DS). Traditional, standardized norm-referenced assessments compare a child’s performance to typically developing peers, thus the results are often invalid. Additionally, these tests often do not consider outcomes in the context of a child’s typical environment and rely heavily on caregiver reporting, which is subject to bias. Thus, it is important to identify feasible and reliable outcome measures derived from caregiver-child interactions to evaluate child language ability and growth. </w:t>
      </w:r>
    </w:p>
    <w:p w14:paraId="7AC50373" w14:textId="04E7CDC8" w:rsidR="003D6244" w:rsidRDefault="009E29F5" w:rsidP="003D6244">
      <w:pPr>
        <w:rPr>
          <w:color w:val="000000"/>
          <w:sz w:val="20"/>
          <w:szCs w:val="20"/>
        </w:rPr>
      </w:pPr>
      <w:r w:rsidRPr="009E29F5">
        <w:rPr>
          <w:color w:val="000000"/>
          <w:sz w:val="20"/>
          <w:szCs w:val="20"/>
        </w:rPr>
        <w:t xml:space="preserve">An alternative home-based measure is language sample analysis with Language </w:t>
      </w:r>
      <w:proofErr w:type="spellStart"/>
      <w:r w:rsidRPr="009E29F5">
        <w:rPr>
          <w:color w:val="000000"/>
          <w:sz w:val="20"/>
          <w:szCs w:val="20"/>
        </w:rPr>
        <w:t>ENvironment</w:t>
      </w:r>
      <w:proofErr w:type="spellEnd"/>
      <w:r w:rsidRPr="009E29F5">
        <w:rPr>
          <w:color w:val="000000"/>
          <w:sz w:val="20"/>
          <w:szCs w:val="20"/>
        </w:rPr>
        <w:t xml:space="preserve"> Analysis System (LENA), which records and analyzes everything that the child hears and says within a 16-hour period. Automatic analyses report three measures of communicativeness: adult word count (AWC), child vocalization count (CVC), and conversational turn count (CTC). LENA is a promising and effective method for measuring early language (Wang et al., 2017). Prior investigations have reported the reliability of the automatic analyses with human counts of comparable measures (</w:t>
      </w:r>
      <w:proofErr w:type="spellStart"/>
      <w:r w:rsidRPr="009E29F5">
        <w:rPr>
          <w:color w:val="000000"/>
          <w:sz w:val="20"/>
          <w:szCs w:val="20"/>
        </w:rPr>
        <w:t>Canault</w:t>
      </w:r>
      <w:proofErr w:type="spellEnd"/>
      <w:r w:rsidRPr="009E29F5">
        <w:rPr>
          <w:color w:val="000000"/>
          <w:sz w:val="20"/>
          <w:szCs w:val="20"/>
        </w:rPr>
        <w:t xml:space="preserve"> et al., 2016; </w:t>
      </w:r>
      <w:proofErr w:type="spellStart"/>
      <w:r w:rsidRPr="009E29F5">
        <w:rPr>
          <w:color w:val="000000"/>
          <w:sz w:val="20"/>
          <w:szCs w:val="20"/>
        </w:rPr>
        <w:t>Pae</w:t>
      </w:r>
      <w:proofErr w:type="spellEnd"/>
      <w:r w:rsidRPr="009E29F5">
        <w:rPr>
          <w:color w:val="000000"/>
          <w:sz w:val="20"/>
          <w:szCs w:val="20"/>
        </w:rPr>
        <w:t xml:space="preserve"> et al., 2016). However, few investigations have reported the test-retest reliability of these measures. </w:t>
      </w:r>
      <w:proofErr w:type="spellStart"/>
      <w:r w:rsidRPr="009E29F5">
        <w:rPr>
          <w:color w:val="000000"/>
          <w:sz w:val="20"/>
          <w:szCs w:val="20"/>
        </w:rPr>
        <w:t>Gilkerson</w:t>
      </w:r>
      <w:proofErr w:type="spellEnd"/>
      <w:r w:rsidRPr="009E29F5">
        <w:rPr>
          <w:color w:val="000000"/>
          <w:sz w:val="20"/>
          <w:szCs w:val="20"/>
        </w:rPr>
        <w:t xml:space="preserve"> et al. (2017) investigated the test-retest reliability with 329 families with typically developing infants and toddlers between recordings 0-16 weeks apart, reporting Pearson correlation coefficients (</w:t>
      </w:r>
      <w:r w:rsidRPr="009E29F5">
        <w:rPr>
          <w:i/>
          <w:iCs/>
          <w:color w:val="000000"/>
          <w:sz w:val="20"/>
          <w:szCs w:val="20"/>
        </w:rPr>
        <w:t>r</w:t>
      </w:r>
      <w:r w:rsidRPr="009E29F5">
        <w:rPr>
          <w:color w:val="000000"/>
          <w:sz w:val="20"/>
          <w:szCs w:val="20"/>
        </w:rPr>
        <w:t xml:space="preserve">) of .60-.69. </w:t>
      </w:r>
      <w:proofErr w:type="spellStart"/>
      <w:r w:rsidRPr="009E29F5">
        <w:rPr>
          <w:color w:val="000000"/>
          <w:sz w:val="20"/>
          <w:szCs w:val="20"/>
        </w:rPr>
        <w:t>Nadwodny</w:t>
      </w:r>
      <w:proofErr w:type="spellEnd"/>
      <w:r w:rsidRPr="009E29F5">
        <w:rPr>
          <w:color w:val="000000"/>
          <w:sz w:val="20"/>
          <w:szCs w:val="20"/>
        </w:rPr>
        <w:t xml:space="preserve"> (2024) investigated the test-retest reliability of automatic LENA measures with 128 toddlers with social communication delays. Test-retest reliability were reported for recordings from a two-week period, with intraclass correlation (ICC) coefficients of .66-.75. Despite moderate test-retest reliability for young typically developing children and children with social communication delays, the test-retest reliability of these measures with young children with Down syndrome is unknown. </w:t>
      </w:r>
    </w:p>
    <w:p w14:paraId="3B1B59A7" w14:textId="167F505D" w:rsidR="009E29F5" w:rsidRPr="009E29F5" w:rsidRDefault="009E29F5" w:rsidP="003D6244">
      <w:pPr>
        <w:rPr>
          <w:b/>
          <w:bCs/>
          <w:color w:val="000000"/>
          <w:sz w:val="20"/>
          <w:szCs w:val="20"/>
        </w:rPr>
      </w:pPr>
      <w:r>
        <w:rPr>
          <w:b/>
          <w:bCs/>
          <w:color w:val="000000"/>
          <w:sz w:val="20"/>
          <w:szCs w:val="20"/>
        </w:rPr>
        <w:t xml:space="preserve">Methods: </w:t>
      </w:r>
      <w:r w:rsidRPr="009E29F5">
        <w:rPr>
          <w:color w:val="000000"/>
          <w:sz w:val="20"/>
          <w:szCs w:val="20"/>
        </w:rPr>
        <w:t xml:space="preserve">Fifteen caregivers of children with DS between the ages of 2- and 5-years-old and their child participated in this study to date. At two timepoints, four-to-six weeks apart, caregivers recorded two, 16-hour LENA recordings over the course of one week. Participants completed the four recordings independently and in the home environment. ICC coefficients were computed for daily AWC, CVC, and CTC values for both recordings completed within one week, and recordings completed within four- to six-weeks. </w:t>
      </w:r>
      <w:r w:rsidR="003E53FF">
        <w:rPr>
          <w:color w:val="000000"/>
          <w:sz w:val="20"/>
          <w:szCs w:val="20"/>
        </w:rPr>
        <w:t>Recruitment and d</w:t>
      </w:r>
      <w:r w:rsidRPr="009E29F5">
        <w:rPr>
          <w:color w:val="000000"/>
          <w:sz w:val="20"/>
          <w:szCs w:val="20"/>
        </w:rPr>
        <w:t>ata collection</w:t>
      </w:r>
      <w:r w:rsidR="003E53FF">
        <w:rPr>
          <w:color w:val="000000"/>
          <w:sz w:val="20"/>
          <w:szCs w:val="20"/>
        </w:rPr>
        <w:t xml:space="preserve"> for additional participants</w:t>
      </w:r>
      <w:r w:rsidRPr="009E29F5">
        <w:rPr>
          <w:color w:val="000000"/>
          <w:sz w:val="20"/>
          <w:szCs w:val="20"/>
        </w:rPr>
        <w:t xml:space="preserve"> </w:t>
      </w:r>
      <w:r w:rsidR="003E53FF">
        <w:rPr>
          <w:color w:val="000000"/>
          <w:sz w:val="20"/>
          <w:szCs w:val="20"/>
        </w:rPr>
        <w:t>are</w:t>
      </w:r>
      <w:r w:rsidRPr="009E29F5">
        <w:rPr>
          <w:color w:val="000000"/>
          <w:sz w:val="20"/>
          <w:szCs w:val="20"/>
        </w:rPr>
        <w:t xml:space="preserve"> in progress</w:t>
      </w:r>
      <w:r w:rsidR="003E53FF">
        <w:rPr>
          <w:color w:val="000000"/>
          <w:sz w:val="20"/>
          <w:szCs w:val="20"/>
        </w:rPr>
        <w:t xml:space="preserve"> and </w:t>
      </w:r>
      <w:r w:rsidRPr="009E29F5">
        <w:rPr>
          <w:color w:val="000000"/>
          <w:sz w:val="20"/>
          <w:szCs w:val="20"/>
        </w:rPr>
        <w:t>may be incorporated into the analysis prior to the symposium.</w:t>
      </w:r>
      <w:r w:rsidRPr="009E29F5">
        <w:rPr>
          <w:b/>
          <w:bCs/>
          <w:color w:val="000000"/>
          <w:sz w:val="20"/>
          <w:szCs w:val="20"/>
        </w:rPr>
        <w:t xml:space="preserve"> </w:t>
      </w:r>
    </w:p>
    <w:p w14:paraId="044558C0" w14:textId="3844290B" w:rsidR="009E29F5" w:rsidRPr="009E29F5" w:rsidRDefault="003D6244" w:rsidP="009E29F5">
      <w:pPr>
        <w:rPr>
          <w:color w:val="000000"/>
          <w:sz w:val="20"/>
          <w:szCs w:val="20"/>
        </w:rPr>
      </w:pPr>
      <w:r>
        <w:rPr>
          <w:b/>
          <w:color w:val="000000"/>
          <w:sz w:val="20"/>
          <w:szCs w:val="20"/>
          <w:lang w:val="en-GB"/>
        </w:rPr>
        <w:t>Results</w:t>
      </w:r>
      <w:r>
        <w:rPr>
          <w:color w:val="000000"/>
          <w:sz w:val="20"/>
          <w:szCs w:val="20"/>
          <w:lang w:val="en-GB"/>
        </w:rPr>
        <w:t xml:space="preserve">: </w:t>
      </w:r>
      <w:r w:rsidR="009E29F5" w:rsidRPr="009E29F5">
        <w:rPr>
          <w:color w:val="000000"/>
          <w:sz w:val="20"/>
          <w:szCs w:val="20"/>
        </w:rPr>
        <w:t>Participants (</w:t>
      </w:r>
      <w:r w:rsidR="009E29F5" w:rsidRPr="009E29F5">
        <w:rPr>
          <w:i/>
          <w:iCs/>
          <w:color w:val="000000"/>
          <w:sz w:val="20"/>
          <w:szCs w:val="20"/>
        </w:rPr>
        <w:t>n</w:t>
      </w:r>
      <w:r w:rsidR="009E29F5" w:rsidRPr="009E29F5">
        <w:rPr>
          <w:color w:val="000000"/>
          <w:sz w:val="20"/>
          <w:szCs w:val="20"/>
        </w:rPr>
        <w:t xml:space="preserve"> = 15) successfully completed 100% (</w:t>
      </w:r>
      <w:r w:rsidR="009E29F5" w:rsidRPr="009E29F5">
        <w:rPr>
          <w:i/>
          <w:iCs/>
          <w:color w:val="000000"/>
          <w:sz w:val="20"/>
          <w:szCs w:val="20"/>
        </w:rPr>
        <w:t>n</w:t>
      </w:r>
      <w:r w:rsidR="009E29F5" w:rsidRPr="009E29F5">
        <w:rPr>
          <w:color w:val="000000"/>
          <w:sz w:val="20"/>
          <w:szCs w:val="20"/>
        </w:rPr>
        <w:t xml:space="preserve"> = 60) of assigned LENA recordings. LENA recordings were 14-hours and 5-minutes in length, on average. </w:t>
      </w:r>
    </w:p>
    <w:p w14:paraId="736A677B" w14:textId="77777777" w:rsidR="009E29F5" w:rsidRPr="009E29F5" w:rsidRDefault="009E29F5" w:rsidP="009E29F5">
      <w:pPr>
        <w:rPr>
          <w:color w:val="000000"/>
          <w:sz w:val="20"/>
          <w:szCs w:val="20"/>
        </w:rPr>
      </w:pPr>
      <w:r w:rsidRPr="009E29F5">
        <w:rPr>
          <w:i/>
          <w:iCs/>
          <w:color w:val="000000"/>
          <w:sz w:val="20"/>
          <w:szCs w:val="20"/>
        </w:rPr>
        <w:t>Descriptive Statistics </w:t>
      </w:r>
    </w:p>
    <w:tbl>
      <w:tblPr>
        <w:tblW w:w="0" w:type="auto"/>
        <w:tblCellMar>
          <w:top w:w="15" w:type="dxa"/>
          <w:left w:w="15" w:type="dxa"/>
          <w:bottom w:w="15" w:type="dxa"/>
          <w:right w:w="15" w:type="dxa"/>
        </w:tblCellMar>
        <w:tblLook w:val="04A0" w:firstRow="1" w:lastRow="0" w:firstColumn="1" w:lastColumn="0" w:noHBand="0" w:noVBand="1"/>
      </w:tblPr>
      <w:tblGrid>
        <w:gridCol w:w="1092"/>
        <w:gridCol w:w="1379"/>
        <w:gridCol w:w="1379"/>
        <w:gridCol w:w="1379"/>
        <w:gridCol w:w="1379"/>
      </w:tblGrid>
      <w:tr w:rsidR="009E29F5" w:rsidRPr="009E29F5" w14:paraId="045BB715" w14:textId="77777777" w:rsidTr="009E29F5">
        <w:trPr>
          <w:trHeight w:val="141"/>
        </w:trPr>
        <w:tc>
          <w:tcPr>
            <w:tcW w:w="0" w:type="auto"/>
            <w:vMerge w:val="restart"/>
            <w:tcBorders>
              <w:top w:val="single" w:sz="8" w:space="0" w:color="000000"/>
            </w:tcBorders>
            <w:tcMar>
              <w:top w:w="100" w:type="dxa"/>
              <w:left w:w="100" w:type="dxa"/>
              <w:bottom w:w="100" w:type="dxa"/>
              <w:right w:w="100" w:type="dxa"/>
            </w:tcMar>
            <w:vAlign w:val="center"/>
            <w:hideMark/>
          </w:tcPr>
          <w:p w14:paraId="5410E08E" w14:textId="77777777" w:rsidR="009E29F5" w:rsidRPr="009E29F5" w:rsidRDefault="009E29F5" w:rsidP="009E29F5">
            <w:pPr>
              <w:spacing w:after="0" w:line="240" w:lineRule="auto"/>
              <w:rPr>
                <w:color w:val="000000"/>
                <w:sz w:val="20"/>
                <w:szCs w:val="20"/>
              </w:rPr>
            </w:pPr>
            <w:r w:rsidRPr="009E29F5">
              <w:rPr>
                <w:b/>
                <w:bCs/>
                <w:color w:val="000000"/>
                <w:sz w:val="20"/>
                <w:szCs w:val="20"/>
              </w:rPr>
              <w:t>Variable</w:t>
            </w:r>
          </w:p>
        </w:tc>
        <w:tc>
          <w:tcPr>
            <w:tcW w:w="0" w:type="auto"/>
            <w:gridSpan w:val="2"/>
            <w:tcBorders>
              <w:top w:val="single" w:sz="8" w:space="0" w:color="000000"/>
            </w:tcBorders>
            <w:tcMar>
              <w:top w:w="100" w:type="dxa"/>
              <w:left w:w="100" w:type="dxa"/>
              <w:bottom w:w="100" w:type="dxa"/>
              <w:right w:w="100" w:type="dxa"/>
            </w:tcMar>
            <w:hideMark/>
          </w:tcPr>
          <w:p w14:paraId="26837FA1"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Time 1</w:t>
            </w:r>
          </w:p>
        </w:tc>
        <w:tc>
          <w:tcPr>
            <w:tcW w:w="0" w:type="auto"/>
            <w:gridSpan w:val="2"/>
            <w:tcBorders>
              <w:top w:val="single" w:sz="8" w:space="0" w:color="000000"/>
            </w:tcBorders>
            <w:tcMar>
              <w:top w:w="100" w:type="dxa"/>
              <w:left w:w="100" w:type="dxa"/>
              <w:bottom w:w="100" w:type="dxa"/>
              <w:right w:w="100" w:type="dxa"/>
            </w:tcMar>
            <w:hideMark/>
          </w:tcPr>
          <w:p w14:paraId="1DC40760"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Time 2</w:t>
            </w:r>
          </w:p>
        </w:tc>
      </w:tr>
      <w:tr w:rsidR="009E29F5" w:rsidRPr="009E29F5" w14:paraId="6A8B7DBF" w14:textId="77777777" w:rsidTr="009E29F5">
        <w:trPr>
          <w:trHeight w:val="596"/>
        </w:trPr>
        <w:tc>
          <w:tcPr>
            <w:tcW w:w="0" w:type="auto"/>
            <w:vMerge/>
            <w:tcBorders>
              <w:top w:val="single" w:sz="8" w:space="0" w:color="000000"/>
            </w:tcBorders>
            <w:vAlign w:val="center"/>
            <w:hideMark/>
          </w:tcPr>
          <w:p w14:paraId="4D8B65DD" w14:textId="77777777" w:rsidR="009E29F5" w:rsidRPr="009E29F5" w:rsidRDefault="009E29F5" w:rsidP="009E29F5">
            <w:pPr>
              <w:spacing w:after="0" w:line="240" w:lineRule="auto"/>
              <w:rPr>
                <w:color w:val="000000"/>
                <w:sz w:val="20"/>
                <w:szCs w:val="20"/>
              </w:rPr>
            </w:pPr>
          </w:p>
        </w:tc>
        <w:tc>
          <w:tcPr>
            <w:tcW w:w="0" w:type="auto"/>
            <w:tcBorders>
              <w:bottom w:val="single" w:sz="8" w:space="0" w:color="000000"/>
            </w:tcBorders>
            <w:tcMar>
              <w:top w:w="100" w:type="dxa"/>
              <w:left w:w="100" w:type="dxa"/>
              <w:bottom w:w="100" w:type="dxa"/>
              <w:right w:w="100" w:type="dxa"/>
            </w:tcMar>
            <w:hideMark/>
          </w:tcPr>
          <w:p w14:paraId="77CFA2D4"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Day 1</w:t>
            </w:r>
          </w:p>
          <w:p w14:paraId="73A68D28" w14:textId="77777777" w:rsidR="009E29F5" w:rsidRPr="009E29F5" w:rsidRDefault="009E29F5" w:rsidP="009E29F5">
            <w:pPr>
              <w:spacing w:after="0" w:line="240" w:lineRule="auto"/>
              <w:jc w:val="center"/>
              <w:rPr>
                <w:color w:val="000000"/>
                <w:sz w:val="20"/>
                <w:szCs w:val="20"/>
              </w:rPr>
            </w:pPr>
            <w:r w:rsidRPr="009E29F5">
              <w:rPr>
                <w:i/>
                <w:iCs/>
                <w:color w:val="000000"/>
                <w:sz w:val="20"/>
                <w:szCs w:val="20"/>
              </w:rPr>
              <w:t xml:space="preserve">n = </w:t>
            </w:r>
            <w:r w:rsidRPr="009E29F5">
              <w:rPr>
                <w:color w:val="000000"/>
                <w:sz w:val="20"/>
                <w:szCs w:val="20"/>
              </w:rPr>
              <w:t>15</w:t>
            </w:r>
          </w:p>
        </w:tc>
        <w:tc>
          <w:tcPr>
            <w:tcW w:w="0" w:type="auto"/>
            <w:tcBorders>
              <w:bottom w:val="single" w:sz="8" w:space="0" w:color="000000"/>
            </w:tcBorders>
            <w:tcMar>
              <w:top w:w="100" w:type="dxa"/>
              <w:left w:w="100" w:type="dxa"/>
              <w:bottom w:w="100" w:type="dxa"/>
              <w:right w:w="100" w:type="dxa"/>
            </w:tcMar>
            <w:hideMark/>
          </w:tcPr>
          <w:p w14:paraId="57823855"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Day 2</w:t>
            </w:r>
          </w:p>
          <w:p w14:paraId="39B7F802" w14:textId="77777777" w:rsidR="009E29F5" w:rsidRPr="009E29F5" w:rsidRDefault="009E29F5" w:rsidP="009E29F5">
            <w:pPr>
              <w:spacing w:after="0" w:line="240" w:lineRule="auto"/>
              <w:jc w:val="center"/>
              <w:rPr>
                <w:color w:val="000000"/>
                <w:sz w:val="20"/>
                <w:szCs w:val="20"/>
              </w:rPr>
            </w:pPr>
            <w:r w:rsidRPr="009E29F5">
              <w:rPr>
                <w:i/>
                <w:iCs/>
                <w:color w:val="000000"/>
                <w:sz w:val="20"/>
                <w:szCs w:val="20"/>
              </w:rPr>
              <w:t xml:space="preserve">n = </w:t>
            </w:r>
            <w:r w:rsidRPr="009E29F5">
              <w:rPr>
                <w:color w:val="000000"/>
                <w:sz w:val="20"/>
                <w:szCs w:val="20"/>
              </w:rPr>
              <w:t>15</w:t>
            </w:r>
          </w:p>
        </w:tc>
        <w:tc>
          <w:tcPr>
            <w:tcW w:w="0" w:type="auto"/>
            <w:tcBorders>
              <w:bottom w:val="single" w:sz="8" w:space="0" w:color="000000"/>
            </w:tcBorders>
            <w:tcMar>
              <w:top w:w="100" w:type="dxa"/>
              <w:left w:w="100" w:type="dxa"/>
              <w:bottom w:w="100" w:type="dxa"/>
              <w:right w:w="100" w:type="dxa"/>
            </w:tcMar>
            <w:hideMark/>
          </w:tcPr>
          <w:p w14:paraId="61B24A7A"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Day 1</w:t>
            </w:r>
          </w:p>
          <w:p w14:paraId="0FE01DCA" w14:textId="77777777" w:rsidR="009E29F5" w:rsidRPr="009E29F5" w:rsidRDefault="009E29F5" w:rsidP="009E29F5">
            <w:pPr>
              <w:spacing w:after="0" w:line="240" w:lineRule="auto"/>
              <w:jc w:val="center"/>
              <w:rPr>
                <w:color w:val="000000"/>
                <w:sz w:val="20"/>
                <w:szCs w:val="20"/>
              </w:rPr>
            </w:pPr>
            <w:r w:rsidRPr="009E29F5">
              <w:rPr>
                <w:i/>
                <w:iCs/>
                <w:color w:val="000000"/>
                <w:sz w:val="20"/>
                <w:szCs w:val="20"/>
              </w:rPr>
              <w:t xml:space="preserve">n = </w:t>
            </w:r>
            <w:r w:rsidRPr="009E29F5">
              <w:rPr>
                <w:color w:val="000000"/>
                <w:sz w:val="20"/>
                <w:szCs w:val="20"/>
              </w:rPr>
              <w:t>15</w:t>
            </w:r>
          </w:p>
        </w:tc>
        <w:tc>
          <w:tcPr>
            <w:tcW w:w="0" w:type="auto"/>
            <w:tcBorders>
              <w:bottom w:val="single" w:sz="8" w:space="0" w:color="000000"/>
            </w:tcBorders>
            <w:tcMar>
              <w:top w:w="100" w:type="dxa"/>
              <w:left w:w="100" w:type="dxa"/>
              <w:bottom w:w="100" w:type="dxa"/>
              <w:right w:w="100" w:type="dxa"/>
            </w:tcMar>
            <w:hideMark/>
          </w:tcPr>
          <w:p w14:paraId="23E37E57" w14:textId="77777777" w:rsidR="009E29F5" w:rsidRPr="009E29F5" w:rsidRDefault="009E29F5" w:rsidP="009E29F5">
            <w:pPr>
              <w:spacing w:after="0" w:line="240" w:lineRule="auto"/>
              <w:jc w:val="center"/>
              <w:rPr>
                <w:color w:val="000000"/>
                <w:sz w:val="20"/>
                <w:szCs w:val="20"/>
              </w:rPr>
            </w:pPr>
            <w:r w:rsidRPr="009E29F5">
              <w:rPr>
                <w:b/>
                <w:bCs/>
                <w:color w:val="000000"/>
                <w:sz w:val="20"/>
                <w:szCs w:val="20"/>
              </w:rPr>
              <w:t>Day 2</w:t>
            </w:r>
          </w:p>
          <w:p w14:paraId="69728CAB" w14:textId="77777777" w:rsidR="009E29F5" w:rsidRPr="009E29F5" w:rsidRDefault="009E29F5" w:rsidP="009E29F5">
            <w:pPr>
              <w:spacing w:after="0" w:line="240" w:lineRule="auto"/>
              <w:jc w:val="center"/>
              <w:rPr>
                <w:color w:val="000000"/>
                <w:sz w:val="20"/>
                <w:szCs w:val="20"/>
              </w:rPr>
            </w:pPr>
            <w:r w:rsidRPr="009E29F5">
              <w:rPr>
                <w:i/>
                <w:iCs/>
                <w:color w:val="000000"/>
                <w:sz w:val="20"/>
                <w:szCs w:val="20"/>
              </w:rPr>
              <w:t xml:space="preserve">n = </w:t>
            </w:r>
            <w:r w:rsidRPr="009E29F5">
              <w:rPr>
                <w:color w:val="000000"/>
                <w:sz w:val="20"/>
                <w:szCs w:val="20"/>
              </w:rPr>
              <w:t>15</w:t>
            </w:r>
          </w:p>
        </w:tc>
      </w:tr>
      <w:tr w:rsidR="009E29F5" w:rsidRPr="009E29F5" w14:paraId="46249F07" w14:textId="77777777" w:rsidTr="009E29F5">
        <w:tc>
          <w:tcPr>
            <w:tcW w:w="0" w:type="auto"/>
            <w:tcBorders>
              <w:top w:val="single" w:sz="8" w:space="0" w:color="000000"/>
            </w:tcBorders>
            <w:tcMar>
              <w:top w:w="100" w:type="dxa"/>
              <w:left w:w="100" w:type="dxa"/>
              <w:bottom w:w="100" w:type="dxa"/>
              <w:right w:w="100" w:type="dxa"/>
            </w:tcMar>
            <w:hideMark/>
          </w:tcPr>
          <w:p w14:paraId="0463EB5F" w14:textId="77777777" w:rsidR="009E29F5" w:rsidRPr="009E29F5" w:rsidRDefault="009E29F5" w:rsidP="009E29F5">
            <w:pPr>
              <w:spacing w:after="0" w:line="240" w:lineRule="auto"/>
              <w:rPr>
                <w:color w:val="000000"/>
                <w:sz w:val="20"/>
                <w:szCs w:val="20"/>
              </w:rPr>
            </w:pPr>
            <w:r w:rsidRPr="009E29F5">
              <w:rPr>
                <w:color w:val="000000"/>
                <w:sz w:val="20"/>
                <w:szCs w:val="20"/>
              </w:rPr>
              <w:t>Daily AWC </w:t>
            </w:r>
          </w:p>
        </w:tc>
        <w:tc>
          <w:tcPr>
            <w:tcW w:w="0" w:type="auto"/>
            <w:tcBorders>
              <w:top w:val="single" w:sz="8" w:space="0" w:color="000000"/>
            </w:tcBorders>
            <w:tcMar>
              <w:top w:w="100" w:type="dxa"/>
              <w:left w:w="100" w:type="dxa"/>
              <w:bottom w:w="100" w:type="dxa"/>
              <w:right w:w="100" w:type="dxa"/>
            </w:tcMar>
            <w:hideMark/>
          </w:tcPr>
          <w:p w14:paraId="08494CF8" w14:textId="77777777" w:rsidR="009E29F5" w:rsidRPr="009E29F5" w:rsidRDefault="009E29F5" w:rsidP="009E29F5">
            <w:pPr>
              <w:spacing w:after="0" w:line="240" w:lineRule="auto"/>
              <w:jc w:val="center"/>
              <w:rPr>
                <w:color w:val="000000"/>
                <w:sz w:val="20"/>
                <w:szCs w:val="20"/>
              </w:rPr>
            </w:pPr>
            <w:r w:rsidRPr="009E29F5">
              <w:rPr>
                <w:color w:val="000000"/>
                <w:sz w:val="20"/>
                <w:szCs w:val="20"/>
              </w:rPr>
              <w:t>15,066 (5,575)</w:t>
            </w:r>
          </w:p>
        </w:tc>
        <w:tc>
          <w:tcPr>
            <w:tcW w:w="0" w:type="auto"/>
            <w:tcBorders>
              <w:top w:val="single" w:sz="8" w:space="0" w:color="000000"/>
            </w:tcBorders>
            <w:tcMar>
              <w:top w:w="100" w:type="dxa"/>
              <w:left w:w="100" w:type="dxa"/>
              <w:bottom w:w="100" w:type="dxa"/>
              <w:right w:w="100" w:type="dxa"/>
            </w:tcMar>
            <w:hideMark/>
          </w:tcPr>
          <w:p w14:paraId="7F1A7512" w14:textId="77777777" w:rsidR="009E29F5" w:rsidRPr="009E29F5" w:rsidRDefault="009E29F5" w:rsidP="009E29F5">
            <w:pPr>
              <w:spacing w:after="0" w:line="240" w:lineRule="auto"/>
              <w:jc w:val="center"/>
              <w:rPr>
                <w:color w:val="000000"/>
                <w:sz w:val="20"/>
                <w:szCs w:val="20"/>
              </w:rPr>
            </w:pPr>
            <w:r w:rsidRPr="009E29F5">
              <w:rPr>
                <w:color w:val="000000"/>
                <w:sz w:val="20"/>
                <w:szCs w:val="20"/>
              </w:rPr>
              <w:t>14,540 (3,796)</w:t>
            </w:r>
          </w:p>
        </w:tc>
        <w:tc>
          <w:tcPr>
            <w:tcW w:w="0" w:type="auto"/>
            <w:tcBorders>
              <w:top w:val="single" w:sz="8" w:space="0" w:color="000000"/>
            </w:tcBorders>
            <w:tcMar>
              <w:top w:w="100" w:type="dxa"/>
              <w:left w:w="100" w:type="dxa"/>
              <w:bottom w:w="100" w:type="dxa"/>
              <w:right w:w="100" w:type="dxa"/>
            </w:tcMar>
            <w:hideMark/>
          </w:tcPr>
          <w:p w14:paraId="350A2F79" w14:textId="77777777" w:rsidR="009E29F5" w:rsidRPr="009E29F5" w:rsidRDefault="009E29F5" w:rsidP="009E29F5">
            <w:pPr>
              <w:spacing w:after="0" w:line="240" w:lineRule="auto"/>
              <w:jc w:val="center"/>
              <w:rPr>
                <w:color w:val="000000"/>
                <w:sz w:val="20"/>
                <w:szCs w:val="20"/>
              </w:rPr>
            </w:pPr>
            <w:r w:rsidRPr="009E29F5">
              <w:rPr>
                <w:color w:val="000000"/>
                <w:sz w:val="20"/>
                <w:szCs w:val="20"/>
              </w:rPr>
              <w:t>10,736 (5,242)</w:t>
            </w:r>
          </w:p>
        </w:tc>
        <w:tc>
          <w:tcPr>
            <w:tcW w:w="0" w:type="auto"/>
            <w:tcBorders>
              <w:top w:val="single" w:sz="8" w:space="0" w:color="000000"/>
            </w:tcBorders>
            <w:tcMar>
              <w:top w:w="100" w:type="dxa"/>
              <w:left w:w="100" w:type="dxa"/>
              <w:bottom w:w="100" w:type="dxa"/>
              <w:right w:w="100" w:type="dxa"/>
            </w:tcMar>
            <w:hideMark/>
          </w:tcPr>
          <w:p w14:paraId="62CBF937" w14:textId="77777777" w:rsidR="009E29F5" w:rsidRPr="009E29F5" w:rsidRDefault="009E29F5" w:rsidP="009E29F5">
            <w:pPr>
              <w:spacing w:after="0" w:line="240" w:lineRule="auto"/>
              <w:jc w:val="center"/>
              <w:rPr>
                <w:color w:val="000000"/>
                <w:sz w:val="20"/>
                <w:szCs w:val="20"/>
              </w:rPr>
            </w:pPr>
            <w:r w:rsidRPr="009E29F5">
              <w:rPr>
                <w:color w:val="000000"/>
                <w:sz w:val="20"/>
                <w:szCs w:val="20"/>
              </w:rPr>
              <w:t>12,371 (6,367)</w:t>
            </w:r>
          </w:p>
        </w:tc>
      </w:tr>
      <w:tr w:rsidR="009E29F5" w:rsidRPr="009E29F5" w14:paraId="0D9BCE4A" w14:textId="77777777" w:rsidTr="009E29F5">
        <w:tc>
          <w:tcPr>
            <w:tcW w:w="0" w:type="auto"/>
            <w:tcMar>
              <w:top w:w="100" w:type="dxa"/>
              <w:left w:w="100" w:type="dxa"/>
              <w:bottom w:w="100" w:type="dxa"/>
              <w:right w:w="100" w:type="dxa"/>
            </w:tcMar>
            <w:hideMark/>
          </w:tcPr>
          <w:p w14:paraId="05F5A68A" w14:textId="77777777" w:rsidR="009E29F5" w:rsidRPr="009E29F5" w:rsidRDefault="009E29F5" w:rsidP="009E29F5">
            <w:pPr>
              <w:spacing w:after="0" w:line="240" w:lineRule="auto"/>
              <w:rPr>
                <w:color w:val="000000"/>
                <w:sz w:val="20"/>
                <w:szCs w:val="20"/>
              </w:rPr>
            </w:pPr>
            <w:r w:rsidRPr="009E29F5">
              <w:rPr>
                <w:color w:val="000000"/>
                <w:sz w:val="20"/>
                <w:szCs w:val="20"/>
              </w:rPr>
              <w:t>Daily CVC</w:t>
            </w:r>
          </w:p>
        </w:tc>
        <w:tc>
          <w:tcPr>
            <w:tcW w:w="0" w:type="auto"/>
            <w:tcMar>
              <w:top w:w="100" w:type="dxa"/>
              <w:left w:w="100" w:type="dxa"/>
              <w:bottom w:w="100" w:type="dxa"/>
              <w:right w:w="100" w:type="dxa"/>
            </w:tcMar>
            <w:hideMark/>
          </w:tcPr>
          <w:p w14:paraId="3C02AB30" w14:textId="77777777" w:rsidR="009E29F5" w:rsidRPr="009E29F5" w:rsidRDefault="009E29F5" w:rsidP="009E29F5">
            <w:pPr>
              <w:spacing w:after="0" w:line="240" w:lineRule="auto"/>
              <w:jc w:val="center"/>
              <w:rPr>
                <w:color w:val="000000"/>
                <w:sz w:val="20"/>
                <w:szCs w:val="20"/>
              </w:rPr>
            </w:pPr>
            <w:r w:rsidRPr="009E29F5">
              <w:rPr>
                <w:color w:val="000000"/>
                <w:sz w:val="20"/>
                <w:szCs w:val="20"/>
              </w:rPr>
              <w:t>2,550 (1,168)</w:t>
            </w:r>
          </w:p>
        </w:tc>
        <w:tc>
          <w:tcPr>
            <w:tcW w:w="0" w:type="auto"/>
            <w:tcMar>
              <w:top w:w="100" w:type="dxa"/>
              <w:left w:w="100" w:type="dxa"/>
              <w:bottom w:w="100" w:type="dxa"/>
              <w:right w:w="100" w:type="dxa"/>
            </w:tcMar>
            <w:hideMark/>
          </w:tcPr>
          <w:p w14:paraId="4D6E2CF9" w14:textId="77777777" w:rsidR="009E29F5" w:rsidRPr="009E29F5" w:rsidRDefault="009E29F5" w:rsidP="009E29F5">
            <w:pPr>
              <w:spacing w:after="0" w:line="240" w:lineRule="auto"/>
              <w:jc w:val="center"/>
              <w:rPr>
                <w:color w:val="000000"/>
                <w:sz w:val="20"/>
                <w:szCs w:val="20"/>
              </w:rPr>
            </w:pPr>
            <w:r w:rsidRPr="009E29F5">
              <w:rPr>
                <w:color w:val="000000"/>
                <w:sz w:val="20"/>
                <w:szCs w:val="20"/>
              </w:rPr>
              <w:t>2,423 (690)</w:t>
            </w:r>
          </w:p>
        </w:tc>
        <w:tc>
          <w:tcPr>
            <w:tcW w:w="0" w:type="auto"/>
            <w:tcMar>
              <w:top w:w="100" w:type="dxa"/>
              <w:left w:w="100" w:type="dxa"/>
              <w:bottom w:w="100" w:type="dxa"/>
              <w:right w:w="100" w:type="dxa"/>
            </w:tcMar>
            <w:hideMark/>
          </w:tcPr>
          <w:p w14:paraId="16C032D0" w14:textId="77777777" w:rsidR="009E29F5" w:rsidRPr="009E29F5" w:rsidRDefault="009E29F5" w:rsidP="009E29F5">
            <w:pPr>
              <w:spacing w:after="0" w:line="240" w:lineRule="auto"/>
              <w:jc w:val="center"/>
              <w:rPr>
                <w:color w:val="000000"/>
                <w:sz w:val="20"/>
                <w:szCs w:val="20"/>
              </w:rPr>
            </w:pPr>
            <w:r w:rsidRPr="009E29F5">
              <w:rPr>
                <w:color w:val="000000"/>
                <w:sz w:val="20"/>
                <w:szCs w:val="20"/>
              </w:rPr>
              <w:t>1,944 (1,047)</w:t>
            </w:r>
          </w:p>
        </w:tc>
        <w:tc>
          <w:tcPr>
            <w:tcW w:w="0" w:type="auto"/>
            <w:tcMar>
              <w:top w:w="100" w:type="dxa"/>
              <w:left w:w="100" w:type="dxa"/>
              <w:bottom w:w="100" w:type="dxa"/>
              <w:right w:w="100" w:type="dxa"/>
            </w:tcMar>
            <w:hideMark/>
          </w:tcPr>
          <w:p w14:paraId="666A0DAF" w14:textId="77777777" w:rsidR="009E29F5" w:rsidRPr="009E29F5" w:rsidRDefault="009E29F5" w:rsidP="009E29F5">
            <w:pPr>
              <w:spacing w:after="0" w:line="240" w:lineRule="auto"/>
              <w:jc w:val="center"/>
              <w:rPr>
                <w:color w:val="000000"/>
                <w:sz w:val="20"/>
                <w:szCs w:val="20"/>
              </w:rPr>
            </w:pPr>
            <w:r w:rsidRPr="009E29F5">
              <w:rPr>
                <w:color w:val="000000"/>
                <w:sz w:val="20"/>
                <w:szCs w:val="20"/>
              </w:rPr>
              <w:t>2,005 (989)</w:t>
            </w:r>
          </w:p>
        </w:tc>
      </w:tr>
      <w:tr w:rsidR="009E29F5" w:rsidRPr="009E29F5" w14:paraId="4638E275" w14:textId="77777777" w:rsidTr="009E29F5">
        <w:tc>
          <w:tcPr>
            <w:tcW w:w="0" w:type="auto"/>
            <w:tcBorders>
              <w:bottom w:val="single" w:sz="8" w:space="0" w:color="000000"/>
            </w:tcBorders>
            <w:tcMar>
              <w:top w:w="100" w:type="dxa"/>
              <w:left w:w="100" w:type="dxa"/>
              <w:bottom w:w="100" w:type="dxa"/>
              <w:right w:w="100" w:type="dxa"/>
            </w:tcMar>
            <w:hideMark/>
          </w:tcPr>
          <w:p w14:paraId="2D45ACF3" w14:textId="77777777" w:rsidR="009E29F5" w:rsidRPr="009E29F5" w:rsidRDefault="009E29F5" w:rsidP="009E29F5">
            <w:pPr>
              <w:spacing w:after="0" w:line="240" w:lineRule="auto"/>
              <w:rPr>
                <w:color w:val="000000"/>
                <w:sz w:val="20"/>
                <w:szCs w:val="20"/>
              </w:rPr>
            </w:pPr>
            <w:r w:rsidRPr="009E29F5">
              <w:rPr>
                <w:color w:val="000000"/>
                <w:sz w:val="20"/>
                <w:szCs w:val="20"/>
              </w:rPr>
              <w:t>Daily CTC</w:t>
            </w:r>
          </w:p>
        </w:tc>
        <w:tc>
          <w:tcPr>
            <w:tcW w:w="0" w:type="auto"/>
            <w:tcBorders>
              <w:bottom w:val="single" w:sz="8" w:space="0" w:color="000000"/>
            </w:tcBorders>
            <w:tcMar>
              <w:top w:w="100" w:type="dxa"/>
              <w:left w:w="100" w:type="dxa"/>
              <w:bottom w:w="100" w:type="dxa"/>
              <w:right w:w="100" w:type="dxa"/>
            </w:tcMar>
            <w:hideMark/>
          </w:tcPr>
          <w:p w14:paraId="6508A55D" w14:textId="77777777" w:rsidR="009E29F5" w:rsidRPr="009E29F5" w:rsidRDefault="009E29F5" w:rsidP="009E29F5">
            <w:pPr>
              <w:spacing w:after="0" w:line="240" w:lineRule="auto"/>
              <w:jc w:val="center"/>
              <w:rPr>
                <w:color w:val="000000"/>
                <w:sz w:val="20"/>
                <w:szCs w:val="20"/>
              </w:rPr>
            </w:pPr>
            <w:r w:rsidRPr="009E29F5">
              <w:rPr>
                <w:color w:val="000000"/>
                <w:sz w:val="20"/>
                <w:szCs w:val="20"/>
              </w:rPr>
              <w:t>708 (301)</w:t>
            </w:r>
          </w:p>
        </w:tc>
        <w:tc>
          <w:tcPr>
            <w:tcW w:w="0" w:type="auto"/>
            <w:tcBorders>
              <w:bottom w:val="single" w:sz="8" w:space="0" w:color="000000"/>
            </w:tcBorders>
            <w:tcMar>
              <w:top w:w="100" w:type="dxa"/>
              <w:left w:w="100" w:type="dxa"/>
              <w:bottom w:w="100" w:type="dxa"/>
              <w:right w:w="100" w:type="dxa"/>
            </w:tcMar>
            <w:hideMark/>
          </w:tcPr>
          <w:p w14:paraId="17BCDEBE" w14:textId="77777777" w:rsidR="009E29F5" w:rsidRPr="009E29F5" w:rsidRDefault="009E29F5" w:rsidP="009E29F5">
            <w:pPr>
              <w:spacing w:after="0" w:line="240" w:lineRule="auto"/>
              <w:jc w:val="center"/>
              <w:rPr>
                <w:color w:val="000000"/>
                <w:sz w:val="20"/>
                <w:szCs w:val="20"/>
              </w:rPr>
            </w:pPr>
            <w:r w:rsidRPr="009E29F5">
              <w:rPr>
                <w:color w:val="000000"/>
                <w:sz w:val="20"/>
                <w:szCs w:val="20"/>
              </w:rPr>
              <w:t>670 (200)</w:t>
            </w:r>
          </w:p>
        </w:tc>
        <w:tc>
          <w:tcPr>
            <w:tcW w:w="0" w:type="auto"/>
            <w:tcBorders>
              <w:bottom w:val="single" w:sz="8" w:space="0" w:color="000000"/>
            </w:tcBorders>
            <w:tcMar>
              <w:top w:w="100" w:type="dxa"/>
              <w:left w:w="100" w:type="dxa"/>
              <w:bottom w:w="100" w:type="dxa"/>
              <w:right w:w="100" w:type="dxa"/>
            </w:tcMar>
            <w:hideMark/>
          </w:tcPr>
          <w:p w14:paraId="43B9DF76" w14:textId="77777777" w:rsidR="009E29F5" w:rsidRPr="009E29F5" w:rsidRDefault="009E29F5" w:rsidP="009E29F5">
            <w:pPr>
              <w:spacing w:after="0" w:line="240" w:lineRule="auto"/>
              <w:jc w:val="center"/>
              <w:rPr>
                <w:color w:val="000000"/>
                <w:sz w:val="20"/>
                <w:szCs w:val="20"/>
              </w:rPr>
            </w:pPr>
            <w:r w:rsidRPr="009E29F5">
              <w:rPr>
                <w:color w:val="000000"/>
                <w:sz w:val="20"/>
                <w:szCs w:val="20"/>
              </w:rPr>
              <w:t>489 (330)</w:t>
            </w:r>
          </w:p>
        </w:tc>
        <w:tc>
          <w:tcPr>
            <w:tcW w:w="0" w:type="auto"/>
            <w:tcBorders>
              <w:bottom w:val="single" w:sz="8" w:space="0" w:color="000000"/>
            </w:tcBorders>
            <w:tcMar>
              <w:top w:w="100" w:type="dxa"/>
              <w:left w:w="100" w:type="dxa"/>
              <w:bottom w:w="100" w:type="dxa"/>
              <w:right w:w="100" w:type="dxa"/>
            </w:tcMar>
            <w:hideMark/>
          </w:tcPr>
          <w:p w14:paraId="4CBE93CC" w14:textId="77777777" w:rsidR="009E29F5" w:rsidRPr="009E29F5" w:rsidRDefault="009E29F5" w:rsidP="009E29F5">
            <w:pPr>
              <w:spacing w:after="0" w:line="240" w:lineRule="auto"/>
              <w:jc w:val="center"/>
              <w:rPr>
                <w:color w:val="000000"/>
                <w:sz w:val="20"/>
                <w:szCs w:val="20"/>
              </w:rPr>
            </w:pPr>
            <w:r w:rsidRPr="009E29F5">
              <w:rPr>
                <w:color w:val="000000"/>
                <w:sz w:val="20"/>
                <w:szCs w:val="20"/>
              </w:rPr>
              <w:t>533 (256)</w:t>
            </w:r>
          </w:p>
        </w:tc>
      </w:tr>
    </w:tbl>
    <w:p w14:paraId="0F548B2F" w14:textId="77777777" w:rsidR="009E29F5" w:rsidRPr="009E29F5" w:rsidRDefault="009E29F5" w:rsidP="009E29F5">
      <w:pPr>
        <w:spacing w:after="0" w:line="240" w:lineRule="auto"/>
        <w:rPr>
          <w:color w:val="000000"/>
          <w:sz w:val="20"/>
          <w:szCs w:val="20"/>
        </w:rPr>
      </w:pPr>
      <w:r w:rsidRPr="009E29F5">
        <w:rPr>
          <w:i/>
          <w:iCs/>
          <w:color w:val="000000"/>
          <w:sz w:val="20"/>
          <w:szCs w:val="20"/>
        </w:rPr>
        <w:t xml:space="preserve">Note. </w:t>
      </w:r>
      <w:r w:rsidRPr="009E29F5">
        <w:rPr>
          <w:color w:val="000000"/>
          <w:sz w:val="20"/>
          <w:szCs w:val="20"/>
        </w:rPr>
        <w:t>Mean (SD)</w:t>
      </w:r>
    </w:p>
    <w:p w14:paraId="7AC50374" w14:textId="0513B857" w:rsidR="003D6244" w:rsidRPr="009E29F5" w:rsidRDefault="009E29F5" w:rsidP="003D6244">
      <w:pPr>
        <w:rPr>
          <w:color w:val="000000"/>
          <w:sz w:val="20"/>
          <w:szCs w:val="20"/>
        </w:rPr>
      </w:pPr>
      <w:r w:rsidRPr="009E29F5">
        <w:rPr>
          <w:color w:val="000000"/>
          <w:sz w:val="20"/>
          <w:szCs w:val="20"/>
        </w:rPr>
        <w:lastRenderedPageBreak/>
        <w:t>Comparisons between recordings completed within one</w:t>
      </w:r>
      <w:r>
        <w:rPr>
          <w:color w:val="000000"/>
          <w:sz w:val="20"/>
          <w:szCs w:val="20"/>
        </w:rPr>
        <w:t xml:space="preserve"> </w:t>
      </w:r>
      <w:r w:rsidRPr="009E29F5">
        <w:rPr>
          <w:color w:val="000000"/>
          <w:sz w:val="20"/>
          <w:szCs w:val="20"/>
        </w:rPr>
        <w:t>week yielded ICC coefficients of .56 (AWC), .75 (CVC), and .64 (CTC). Comparisons between recordings completed within four to six</w:t>
      </w:r>
      <w:r>
        <w:rPr>
          <w:color w:val="000000"/>
          <w:sz w:val="20"/>
          <w:szCs w:val="20"/>
        </w:rPr>
        <w:t xml:space="preserve"> </w:t>
      </w:r>
      <w:r w:rsidRPr="009E29F5">
        <w:rPr>
          <w:color w:val="000000"/>
          <w:sz w:val="20"/>
          <w:szCs w:val="20"/>
        </w:rPr>
        <w:t>weeks yielded ICC coefficients of .49 (AWC), .74 (CVC), and .61 (CTC). </w:t>
      </w:r>
    </w:p>
    <w:p w14:paraId="7AC50375" w14:textId="4BCE1E17" w:rsidR="003D6244" w:rsidRPr="009E29F5" w:rsidRDefault="003D6244" w:rsidP="003D6244">
      <w:pPr>
        <w:rPr>
          <w:iCs/>
          <w:color w:val="000000"/>
          <w:sz w:val="20"/>
          <w:szCs w:val="20"/>
        </w:rPr>
      </w:pPr>
      <w:r>
        <w:rPr>
          <w:b/>
          <w:iCs/>
          <w:color w:val="000000"/>
          <w:sz w:val="20"/>
          <w:szCs w:val="20"/>
          <w:lang w:val="en-GB"/>
        </w:rPr>
        <w:t xml:space="preserve">Discussion: </w:t>
      </w:r>
      <w:r w:rsidR="009E29F5" w:rsidRPr="009E29F5">
        <w:rPr>
          <w:iCs/>
          <w:color w:val="000000"/>
          <w:sz w:val="20"/>
          <w:szCs w:val="20"/>
        </w:rPr>
        <w:t xml:space="preserve">With moderate to strong correlations across recording times, satisfactory reliability is demonstrated for automated LENA analyses. Language sampling with LENA takes place in the child’s home environment without examiners present. This increases the ecological validity of the measures and has the potential to increase the reach of study teams by reducing family burden. Results from our study have the potential to change how researchers and clinicians can collect caregiver-child interactions in a manner that is reliable and convenient for families. </w:t>
      </w:r>
    </w:p>
    <w:p w14:paraId="3250C062" w14:textId="77777777" w:rsidR="009E29F5" w:rsidRPr="009E29F5" w:rsidRDefault="003D6244" w:rsidP="009E29F5">
      <w:pPr>
        <w:rPr>
          <w:color w:val="000000"/>
          <w:sz w:val="20"/>
          <w:szCs w:val="20"/>
        </w:rPr>
      </w:pPr>
      <w:r w:rsidRPr="00514B99">
        <w:rPr>
          <w:b/>
          <w:color w:val="000000"/>
          <w:sz w:val="20"/>
          <w:szCs w:val="20"/>
          <w:lang w:val="en-GB"/>
        </w:rPr>
        <w:t>References</w:t>
      </w:r>
      <w:r>
        <w:rPr>
          <w:b/>
          <w:color w:val="000000"/>
          <w:sz w:val="20"/>
          <w:szCs w:val="20"/>
          <w:lang w:val="en-GB"/>
        </w:rPr>
        <w:t xml:space="preserve">: </w:t>
      </w:r>
      <w:proofErr w:type="spellStart"/>
      <w:r w:rsidR="009E29F5" w:rsidRPr="009E29F5">
        <w:rPr>
          <w:color w:val="000000"/>
          <w:sz w:val="20"/>
          <w:szCs w:val="20"/>
        </w:rPr>
        <w:t>Canault</w:t>
      </w:r>
      <w:proofErr w:type="spellEnd"/>
      <w:r w:rsidR="009E29F5" w:rsidRPr="009E29F5">
        <w:rPr>
          <w:color w:val="000000"/>
          <w:sz w:val="20"/>
          <w:szCs w:val="20"/>
        </w:rPr>
        <w:t xml:space="preserve">, M., Le Normand, M.-T., </w:t>
      </w:r>
      <w:proofErr w:type="spellStart"/>
      <w:r w:rsidR="009E29F5" w:rsidRPr="009E29F5">
        <w:rPr>
          <w:color w:val="000000"/>
          <w:sz w:val="20"/>
          <w:szCs w:val="20"/>
        </w:rPr>
        <w:t>Foudil</w:t>
      </w:r>
      <w:proofErr w:type="spellEnd"/>
      <w:r w:rsidR="009E29F5" w:rsidRPr="009E29F5">
        <w:rPr>
          <w:color w:val="000000"/>
          <w:sz w:val="20"/>
          <w:szCs w:val="20"/>
        </w:rPr>
        <w:t xml:space="preserve">, S., </w:t>
      </w:r>
      <w:proofErr w:type="spellStart"/>
      <w:r w:rsidR="009E29F5" w:rsidRPr="009E29F5">
        <w:rPr>
          <w:color w:val="000000"/>
          <w:sz w:val="20"/>
          <w:szCs w:val="20"/>
        </w:rPr>
        <w:t>Loundon</w:t>
      </w:r>
      <w:proofErr w:type="spellEnd"/>
      <w:r w:rsidR="009E29F5" w:rsidRPr="009E29F5">
        <w:rPr>
          <w:color w:val="000000"/>
          <w:sz w:val="20"/>
          <w:szCs w:val="20"/>
        </w:rPr>
        <w:t xml:space="preserve">, N., &amp; Thai-Van, H. (2016). Reliability of the Language </w:t>
      </w:r>
      <w:proofErr w:type="spellStart"/>
      <w:r w:rsidR="009E29F5" w:rsidRPr="009E29F5">
        <w:rPr>
          <w:color w:val="000000"/>
          <w:sz w:val="20"/>
          <w:szCs w:val="20"/>
        </w:rPr>
        <w:t>ENvironment</w:t>
      </w:r>
      <w:proofErr w:type="spellEnd"/>
      <w:r w:rsidR="009E29F5" w:rsidRPr="009E29F5">
        <w:rPr>
          <w:color w:val="000000"/>
          <w:sz w:val="20"/>
          <w:szCs w:val="20"/>
        </w:rPr>
        <w:t xml:space="preserve"> Analysis system (LENATM) in European French. Behavior Research Methods, 48(3), 1109–1124. https://doi.org/10.3758/s13428-015-0634-8</w:t>
      </w:r>
    </w:p>
    <w:p w14:paraId="5EF1398E" w14:textId="77777777" w:rsidR="009E29F5" w:rsidRPr="009E29F5" w:rsidRDefault="009E29F5" w:rsidP="009E29F5">
      <w:pPr>
        <w:rPr>
          <w:color w:val="000000"/>
          <w:sz w:val="20"/>
          <w:szCs w:val="20"/>
        </w:rPr>
      </w:pPr>
      <w:proofErr w:type="spellStart"/>
      <w:r w:rsidRPr="009E29F5">
        <w:rPr>
          <w:color w:val="000000"/>
          <w:sz w:val="20"/>
          <w:szCs w:val="20"/>
        </w:rPr>
        <w:t>Gilkerson</w:t>
      </w:r>
      <w:proofErr w:type="spellEnd"/>
      <w:r w:rsidRPr="009E29F5">
        <w:rPr>
          <w:color w:val="000000"/>
          <w:sz w:val="20"/>
          <w:szCs w:val="20"/>
        </w:rPr>
        <w:t xml:space="preserve">, J., Richards, J. A., Warren, S. F., Montgomery, J. K., Greenwood, C. R., Kimbrough </w:t>
      </w:r>
      <w:proofErr w:type="spellStart"/>
      <w:r w:rsidRPr="009E29F5">
        <w:rPr>
          <w:color w:val="000000"/>
          <w:sz w:val="20"/>
          <w:szCs w:val="20"/>
        </w:rPr>
        <w:t>Oller</w:t>
      </w:r>
      <w:proofErr w:type="spellEnd"/>
      <w:r w:rsidRPr="009E29F5">
        <w:rPr>
          <w:color w:val="000000"/>
          <w:sz w:val="20"/>
          <w:szCs w:val="20"/>
        </w:rPr>
        <w:t>, D., Hansen, J. H. L., &amp; Paul, T. D. (2017). Mapping the Early Language Environment Using All-Day Recordings and Automated Analysis. American Journal of Speech-Language Pathology, 26(2), 248–265. https://doi.org/10.1044/2016_AJSLP-15-0169</w:t>
      </w:r>
    </w:p>
    <w:p w14:paraId="6739E123" w14:textId="77777777" w:rsidR="009E29F5" w:rsidRPr="009E29F5" w:rsidRDefault="009E29F5" w:rsidP="009E29F5">
      <w:pPr>
        <w:rPr>
          <w:color w:val="000000"/>
          <w:sz w:val="20"/>
          <w:szCs w:val="20"/>
        </w:rPr>
      </w:pPr>
      <w:proofErr w:type="spellStart"/>
      <w:r w:rsidRPr="009E29F5">
        <w:rPr>
          <w:color w:val="000000"/>
          <w:sz w:val="20"/>
          <w:szCs w:val="20"/>
        </w:rPr>
        <w:t>Nadwodny</w:t>
      </w:r>
      <w:proofErr w:type="spellEnd"/>
      <w:r w:rsidRPr="009E29F5">
        <w:rPr>
          <w:color w:val="000000"/>
          <w:sz w:val="20"/>
          <w:szCs w:val="20"/>
        </w:rPr>
        <w:t>, N. (2024). The Language Environmental Analysis (LENA) System in Toddlers with Early Indicators of Autism: Test-Retest Reliability and Construct Validity [Graduate Masters Theses]. University of Massachusetts Boston.</w:t>
      </w:r>
    </w:p>
    <w:p w14:paraId="327EF2C7" w14:textId="77777777" w:rsidR="009E29F5" w:rsidRPr="009E29F5" w:rsidRDefault="009E29F5" w:rsidP="009E29F5">
      <w:pPr>
        <w:rPr>
          <w:color w:val="000000"/>
          <w:sz w:val="20"/>
          <w:szCs w:val="20"/>
        </w:rPr>
      </w:pPr>
      <w:proofErr w:type="spellStart"/>
      <w:r w:rsidRPr="009E29F5">
        <w:rPr>
          <w:color w:val="000000"/>
          <w:sz w:val="20"/>
          <w:szCs w:val="20"/>
        </w:rPr>
        <w:t>Pae</w:t>
      </w:r>
      <w:proofErr w:type="spellEnd"/>
      <w:r w:rsidRPr="009E29F5">
        <w:rPr>
          <w:color w:val="000000"/>
          <w:sz w:val="20"/>
          <w:szCs w:val="20"/>
        </w:rPr>
        <w:t xml:space="preserve">, S., Yoon, H., </w:t>
      </w:r>
      <w:proofErr w:type="spellStart"/>
      <w:r w:rsidRPr="009E29F5">
        <w:rPr>
          <w:color w:val="000000"/>
          <w:sz w:val="20"/>
          <w:szCs w:val="20"/>
        </w:rPr>
        <w:t>Seol</w:t>
      </w:r>
      <w:proofErr w:type="spellEnd"/>
      <w:r w:rsidRPr="009E29F5">
        <w:rPr>
          <w:color w:val="000000"/>
          <w:sz w:val="20"/>
          <w:szCs w:val="20"/>
        </w:rPr>
        <w:t xml:space="preserve">, A., </w:t>
      </w:r>
      <w:proofErr w:type="spellStart"/>
      <w:r w:rsidRPr="009E29F5">
        <w:rPr>
          <w:color w:val="000000"/>
          <w:sz w:val="20"/>
          <w:szCs w:val="20"/>
        </w:rPr>
        <w:t>Gilkerson</w:t>
      </w:r>
      <w:proofErr w:type="spellEnd"/>
      <w:r w:rsidRPr="009E29F5">
        <w:rPr>
          <w:color w:val="000000"/>
          <w:sz w:val="20"/>
          <w:szCs w:val="20"/>
        </w:rPr>
        <w:t>, J., Richards, J. A., Ma, L., &amp; Topping, K. (2016). Effects of feedback on parent–child language with infants and toddlers in Korea. First Language, 36(6), 549–569. https://doi.org/10.1177/0142723716649273</w:t>
      </w:r>
    </w:p>
    <w:p w14:paraId="1BCA8674" w14:textId="77777777" w:rsidR="009E29F5" w:rsidRDefault="009E29F5" w:rsidP="009E29F5">
      <w:pPr>
        <w:rPr>
          <w:color w:val="000000"/>
          <w:sz w:val="20"/>
          <w:szCs w:val="20"/>
        </w:rPr>
      </w:pPr>
      <w:r w:rsidRPr="009E29F5">
        <w:rPr>
          <w:color w:val="000000"/>
          <w:sz w:val="20"/>
          <w:szCs w:val="20"/>
        </w:rPr>
        <w:t xml:space="preserve">Wang, Y., Hartman, M., Aziz, N. A. A., Arora, S., Shi, L., &amp; </w:t>
      </w:r>
      <w:proofErr w:type="spellStart"/>
      <w:r w:rsidRPr="009E29F5">
        <w:rPr>
          <w:color w:val="000000"/>
          <w:sz w:val="20"/>
          <w:szCs w:val="20"/>
        </w:rPr>
        <w:t>Tunison</w:t>
      </w:r>
      <w:proofErr w:type="spellEnd"/>
      <w:r w:rsidRPr="009E29F5">
        <w:rPr>
          <w:color w:val="000000"/>
          <w:sz w:val="20"/>
          <w:szCs w:val="20"/>
        </w:rPr>
        <w:t>, E. (2017). A Systematic Review of the Use of LENA Technology. American Annals of the Deaf, 162(3), 295–311.</w:t>
      </w:r>
    </w:p>
    <w:p w14:paraId="7AC50377" w14:textId="394B60BA" w:rsidR="003D6244" w:rsidRPr="009E29F5" w:rsidRDefault="003D6244" w:rsidP="009E29F5">
      <w:pPr>
        <w:rPr>
          <w:sz w:val="20"/>
          <w:szCs w:val="20"/>
          <w:lang w:val="en-CA"/>
        </w:rPr>
      </w:pPr>
      <w:r w:rsidRPr="009E29F5">
        <w:rPr>
          <w:rStyle w:val="FootnoteReference"/>
          <w:sz w:val="20"/>
          <w:szCs w:val="20"/>
        </w:rPr>
        <w:footnoteRef/>
      </w:r>
      <w:r w:rsidRPr="009E29F5">
        <w:rPr>
          <w:sz w:val="20"/>
          <w:szCs w:val="20"/>
        </w:rPr>
        <w:t xml:space="preserve"> </w:t>
      </w:r>
      <w:r w:rsidR="009E29F5" w:rsidRPr="009E29F5">
        <w:rPr>
          <w:sz w:val="20"/>
          <w:szCs w:val="20"/>
          <w:lang w:val="en-CA"/>
        </w:rPr>
        <w:t>University of Minnesota – Twin Cities</w:t>
      </w:r>
    </w:p>
    <w:p w14:paraId="7AC50379" w14:textId="0E205DB5" w:rsidR="003D6244" w:rsidRPr="009E29F5" w:rsidRDefault="003D6244" w:rsidP="0059601C">
      <w:pPr>
        <w:pStyle w:val="FootnoteText"/>
      </w:pPr>
      <w:r w:rsidRPr="009E29F5">
        <w:rPr>
          <w:rStyle w:val="FootnoteReference"/>
        </w:rPr>
        <w:t>2</w:t>
      </w:r>
      <w:r w:rsidRPr="009E29F5">
        <w:t xml:space="preserve"> </w:t>
      </w:r>
      <w:r w:rsidRPr="009E29F5">
        <w:rPr>
          <w:lang w:val="en-CA"/>
        </w:rPr>
        <w:t>University</w:t>
      </w:r>
      <w:r w:rsidR="0059601C" w:rsidRPr="009E29F5">
        <w:rPr>
          <w:lang w:val="en-CA"/>
        </w:rPr>
        <w:t xml:space="preserve"> </w:t>
      </w:r>
      <w:r w:rsidR="009E29F5" w:rsidRPr="009E29F5">
        <w:rPr>
          <w:lang w:val="en-CA"/>
        </w:rPr>
        <w:t>of Wisconsin, Madison</w:t>
      </w: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CF10F" w14:textId="77777777" w:rsidR="00FF313E" w:rsidRDefault="00FF313E" w:rsidP="00A16498">
      <w:pPr>
        <w:spacing w:after="0" w:line="240" w:lineRule="auto"/>
      </w:pPr>
      <w:r>
        <w:separator/>
      </w:r>
    </w:p>
  </w:endnote>
  <w:endnote w:type="continuationSeparator" w:id="0">
    <w:p w14:paraId="4D234C56" w14:textId="77777777" w:rsidR="00FF313E" w:rsidRDefault="00FF313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altName w:val="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FE579" w14:textId="77777777" w:rsidR="00FF313E" w:rsidRDefault="00FF313E" w:rsidP="00A16498">
      <w:pPr>
        <w:spacing w:after="0" w:line="240" w:lineRule="auto"/>
      </w:pPr>
      <w:r>
        <w:separator/>
      </w:r>
    </w:p>
  </w:footnote>
  <w:footnote w:type="continuationSeparator" w:id="0">
    <w:p w14:paraId="03A7FC4B" w14:textId="77777777" w:rsidR="00FF313E" w:rsidRDefault="00FF313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0A40CA04"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0A40CA04"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E1EB8"/>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E53FF"/>
    <w:rsid w:val="003F558A"/>
    <w:rsid w:val="00412A17"/>
    <w:rsid w:val="00444D82"/>
    <w:rsid w:val="004473AC"/>
    <w:rsid w:val="00452576"/>
    <w:rsid w:val="0045428A"/>
    <w:rsid w:val="005426C8"/>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B1DAB"/>
    <w:rsid w:val="009E1B56"/>
    <w:rsid w:val="009E29F5"/>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313E"/>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9E29F5"/>
    <w:rPr>
      <w:rFonts w:ascii="Times New Roman" w:hAnsi="Times New Roman" w:cs="Times New Roman"/>
      <w:sz w:val="24"/>
      <w:szCs w:val="24"/>
    </w:rPr>
  </w:style>
  <w:style w:type="character" w:styleId="Hyperlink">
    <w:name w:val="Hyperlink"/>
    <w:basedOn w:val="DefaultParagraphFont"/>
    <w:uiPriority w:val="99"/>
    <w:unhideWhenUsed/>
    <w:rsid w:val="009E29F5"/>
    <w:rPr>
      <w:color w:val="0000FF" w:themeColor="hyperlink"/>
      <w:u w:val="single"/>
    </w:rPr>
  </w:style>
  <w:style w:type="character" w:styleId="UnresolvedMention">
    <w:name w:val="Unresolved Mention"/>
    <w:basedOn w:val="DefaultParagraphFont"/>
    <w:uiPriority w:val="99"/>
    <w:semiHidden/>
    <w:unhideWhenUsed/>
    <w:rsid w:val="009E29F5"/>
    <w:rPr>
      <w:color w:val="605E5C"/>
      <w:shd w:val="clear" w:color="auto" w:fill="E1DFDD"/>
    </w:rPr>
  </w:style>
  <w:style w:type="character" w:styleId="FollowedHyperlink">
    <w:name w:val="FollowedHyperlink"/>
    <w:basedOn w:val="DefaultParagraphFont"/>
    <w:uiPriority w:val="99"/>
    <w:semiHidden/>
    <w:unhideWhenUsed/>
    <w:rsid w:val="005426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574075">
      <w:bodyDiv w:val="1"/>
      <w:marLeft w:val="0"/>
      <w:marRight w:val="0"/>
      <w:marTop w:val="0"/>
      <w:marBottom w:val="0"/>
      <w:divBdr>
        <w:top w:val="none" w:sz="0" w:space="0" w:color="auto"/>
        <w:left w:val="none" w:sz="0" w:space="0" w:color="auto"/>
        <w:bottom w:val="none" w:sz="0" w:space="0" w:color="auto"/>
        <w:right w:val="none" w:sz="0" w:space="0" w:color="auto"/>
      </w:divBdr>
    </w:div>
    <w:div w:id="286668773">
      <w:bodyDiv w:val="1"/>
      <w:marLeft w:val="0"/>
      <w:marRight w:val="0"/>
      <w:marTop w:val="0"/>
      <w:marBottom w:val="0"/>
      <w:divBdr>
        <w:top w:val="none" w:sz="0" w:space="0" w:color="auto"/>
        <w:left w:val="none" w:sz="0" w:space="0" w:color="auto"/>
        <w:bottom w:val="none" w:sz="0" w:space="0" w:color="auto"/>
        <w:right w:val="none" w:sz="0" w:space="0" w:color="auto"/>
      </w:divBdr>
    </w:div>
    <w:div w:id="315377215">
      <w:bodyDiv w:val="1"/>
      <w:marLeft w:val="0"/>
      <w:marRight w:val="0"/>
      <w:marTop w:val="0"/>
      <w:marBottom w:val="0"/>
      <w:divBdr>
        <w:top w:val="none" w:sz="0" w:space="0" w:color="auto"/>
        <w:left w:val="none" w:sz="0" w:space="0" w:color="auto"/>
        <w:bottom w:val="none" w:sz="0" w:space="0" w:color="auto"/>
        <w:right w:val="none" w:sz="0" w:space="0" w:color="auto"/>
      </w:divBdr>
    </w:div>
    <w:div w:id="385375367">
      <w:bodyDiv w:val="1"/>
      <w:marLeft w:val="0"/>
      <w:marRight w:val="0"/>
      <w:marTop w:val="0"/>
      <w:marBottom w:val="0"/>
      <w:divBdr>
        <w:top w:val="none" w:sz="0" w:space="0" w:color="auto"/>
        <w:left w:val="none" w:sz="0" w:space="0" w:color="auto"/>
        <w:bottom w:val="none" w:sz="0" w:space="0" w:color="auto"/>
        <w:right w:val="none" w:sz="0" w:space="0" w:color="auto"/>
      </w:divBdr>
    </w:div>
    <w:div w:id="626280278">
      <w:bodyDiv w:val="1"/>
      <w:marLeft w:val="0"/>
      <w:marRight w:val="0"/>
      <w:marTop w:val="0"/>
      <w:marBottom w:val="0"/>
      <w:divBdr>
        <w:top w:val="none" w:sz="0" w:space="0" w:color="auto"/>
        <w:left w:val="none" w:sz="0" w:space="0" w:color="auto"/>
        <w:bottom w:val="none" w:sz="0" w:space="0" w:color="auto"/>
        <w:right w:val="none" w:sz="0" w:space="0" w:color="auto"/>
      </w:divBdr>
    </w:div>
    <w:div w:id="647058641">
      <w:bodyDiv w:val="1"/>
      <w:marLeft w:val="0"/>
      <w:marRight w:val="0"/>
      <w:marTop w:val="0"/>
      <w:marBottom w:val="0"/>
      <w:divBdr>
        <w:top w:val="none" w:sz="0" w:space="0" w:color="auto"/>
        <w:left w:val="none" w:sz="0" w:space="0" w:color="auto"/>
        <w:bottom w:val="none" w:sz="0" w:space="0" w:color="auto"/>
        <w:right w:val="none" w:sz="0" w:space="0" w:color="auto"/>
      </w:divBdr>
    </w:div>
    <w:div w:id="959915596">
      <w:bodyDiv w:val="1"/>
      <w:marLeft w:val="0"/>
      <w:marRight w:val="0"/>
      <w:marTop w:val="0"/>
      <w:marBottom w:val="0"/>
      <w:divBdr>
        <w:top w:val="none" w:sz="0" w:space="0" w:color="auto"/>
        <w:left w:val="none" w:sz="0" w:space="0" w:color="auto"/>
        <w:bottom w:val="none" w:sz="0" w:space="0" w:color="auto"/>
        <w:right w:val="none" w:sz="0" w:space="0" w:color="auto"/>
      </w:divBdr>
    </w:div>
    <w:div w:id="1000352456">
      <w:bodyDiv w:val="1"/>
      <w:marLeft w:val="0"/>
      <w:marRight w:val="0"/>
      <w:marTop w:val="0"/>
      <w:marBottom w:val="0"/>
      <w:divBdr>
        <w:top w:val="none" w:sz="0" w:space="0" w:color="auto"/>
        <w:left w:val="none" w:sz="0" w:space="0" w:color="auto"/>
        <w:bottom w:val="none" w:sz="0" w:space="0" w:color="auto"/>
        <w:right w:val="none" w:sz="0" w:space="0" w:color="auto"/>
      </w:divBdr>
    </w:div>
    <w:div w:id="1267737070">
      <w:bodyDiv w:val="1"/>
      <w:marLeft w:val="0"/>
      <w:marRight w:val="0"/>
      <w:marTop w:val="0"/>
      <w:marBottom w:val="0"/>
      <w:divBdr>
        <w:top w:val="none" w:sz="0" w:space="0" w:color="auto"/>
        <w:left w:val="none" w:sz="0" w:space="0" w:color="auto"/>
        <w:bottom w:val="none" w:sz="0" w:space="0" w:color="auto"/>
        <w:right w:val="none" w:sz="0" w:space="0" w:color="auto"/>
      </w:divBdr>
    </w:div>
    <w:div w:id="1475871037">
      <w:bodyDiv w:val="1"/>
      <w:marLeft w:val="0"/>
      <w:marRight w:val="0"/>
      <w:marTop w:val="0"/>
      <w:marBottom w:val="0"/>
      <w:divBdr>
        <w:top w:val="none" w:sz="0" w:space="0" w:color="auto"/>
        <w:left w:val="none" w:sz="0" w:space="0" w:color="auto"/>
        <w:bottom w:val="none" w:sz="0" w:space="0" w:color="auto"/>
        <w:right w:val="none" w:sz="0" w:space="0" w:color="auto"/>
      </w:divBdr>
    </w:div>
    <w:div w:id="1477184183">
      <w:bodyDiv w:val="1"/>
      <w:marLeft w:val="0"/>
      <w:marRight w:val="0"/>
      <w:marTop w:val="0"/>
      <w:marBottom w:val="0"/>
      <w:divBdr>
        <w:top w:val="none" w:sz="0" w:space="0" w:color="auto"/>
        <w:left w:val="none" w:sz="0" w:space="0" w:color="auto"/>
        <w:bottom w:val="none" w:sz="0" w:space="0" w:color="auto"/>
        <w:right w:val="none" w:sz="0" w:space="0" w:color="auto"/>
      </w:divBdr>
    </w:div>
    <w:div w:id="1488008302">
      <w:bodyDiv w:val="1"/>
      <w:marLeft w:val="0"/>
      <w:marRight w:val="0"/>
      <w:marTop w:val="0"/>
      <w:marBottom w:val="0"/>
      <w:divBdr>
        <w:top w:val="none" w:sz="0" w:space="0" w:color="auto"/>
        <w:left w:val="none" w:sz="0" w:space="0" w:color="auto"/>
        <w:bottom w:val="none" w:sz="0" w:space="0" w:color="auto"/>
        <w:right w:val="none" w:sz="0" w:space="0" w:color="auto"/>
      </w:divBdr>
    </w:div>
    <w:div w:id="1490246986">
      <w:bodyDiv w:val="1"/>
      <w:marLeft w:val="0"/>
      <w:marRight w:val="0"/>
      <w:marTop w:val="0"/>
      <w:marBottom w:val="0"/>
      <w:divBdr>
        <w:top w:val="none" w:sz="0" w:space="0" w:color="auto"/>
        <w:left w:val="none" w:sz="0" w:space="0" w:color="auto"/>
        <w:bottom w:val="none" w:sz="0" w:space="0" w:color="auto"/>
        <w:right w:val="none" w:sz="0" w:space="0" w:color="auto"/>
      </w:divBdr>
    </w:div>
    <w:div w:id="1566451159">
      <w:bodyDiv w:val="1"/>
      <w:marLeft w:val="0"/>
      <w:marRight w:val="0"/>
      <w:marTop w:val="0"/>
      <w:marBottom w:val="0"/>
      <w:divBdr>
        <w:top w:val="none" w:sz="0" w:space="0" w:color="auto"/>
        <w:left w:val="none" w:sz="0" w:space="0" w:color="auto"/>
        <w:bottom w:val="none" w:sz="0" w:space="0" w:color="auto"/>
        <w:right w:val="none" w:sz="0" w:space="0" w:color="auto"/>
      </w:divBdr>
    </w:div>
    <w:div w:id="2010064229">
      <w:bodyDiv w:val="1"/>
      <w:marLeft w:val="0"/>
      <w:marRight w:val="0"/>
      <w:marTop w:val="0"/>
      <w:marBottom w:val="0"/>
      <w:divBdr>
        <w:top w:val="none" w:sz="0" w:space="0" w:color="auto"/>
        <w:left w:val="none" w:sz="0" w:space="0" w:color="auto"/>
        <w:bottom w:val="none" w:sz="0" w:space="0" w:color="auto"/>
        <w:right w:val="none" w:sz="0" w:space="0" w:color="auto"/>
      </w:divBdr>
    </w:div>
    <w:div w:id="20504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Miriam Kornelis</cp:lastModifiedBy>
  <cp:revision>3</cp:revision>
  <dcterms:created xsi:type="dcterms:W3CDTF">2024-11-01T20:42:00Z</dcterms:created>
  <dcterms:modified xsi:type="dcterms:W3CDTF">2024-11-01T20:46:00Z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