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87DE2" w14:textId="77777777" w:rsidR="00701FC0" w:rsidRPr="008D6418" w:rsidRDefault="00701FC0" w:rsidP="00701FC0">
      <w:pPr>
        <w:rPr>
          <w:sz w:val="20"/>
          <w:szCs w:val="20"/>
        </w:rPr>
      </w:pPr>
      <w:r w:rsidRPr="008D6418">
        <w:rPr>
          <w:b/>
          <w:sz w:val="20"/>
          <w:szCs w:val="20"/>
        </w:rPr>
        <w:t>Title</w:t>
      </w:r>
      <w:r w:rsidRPr="008D6418">
        <w:rPr>
          <w:sz w:val="20"/>
          <w:szCs w:val="20"/>
        </w:rPr>
        <w:t>: Reliability of Reduced Language Sample Length for the IPSyn: Research and Clinical Considerations</w:t>
      </w:r>
    </w:p>
    <w:p w14:paraId="2A424C53" w14:textId="171364B7" w:rsidR="00701FC0" w:rsidRPr="008D6418" w:rsidRDefault="00701FC0" w:rsidP="00701FC0">
      <w:pPr>
        <w:rPr>
          <w:sz w:val="20"/>
          <w:szCs w:val="20"/>
          <w:vertAlign w:val="superscript"/>
        </w:rPr>
      </w:pPr>
      <w:r w:rsidRPr="008D6418">
        <w:rPr>
          <w:b/>
          <w:sz w:val="20"/>
          <w:szCs w:val="20"/>
        </w:rPr>
        <w:t>Authors</w:t>
      </w:r>
      <w:r w:rsidRPr="008D6418">
        <w:rPr>
          <w:sz w:val="20"/>
          <w:szCs w:val="20"/>
        </w:rPr>
        <w:t>: Valtierra</w:t>
      </w:r>
      <w:r w:rsidR="007A123A" w:rsidRPr="008D6418">
        <w:rPr>
          <w:sz w:val="20"/>
          <w:szCs w:val="20"/>
        </w:rPr>
        <w:t>,</w:t>
      </w:r>
      <w:r w:rsidRPr="008D6418">
        <w:rPr>
          <w:sz w:val="20"/>
          <w:szCs w:val="20"/>
        </w:rPr>
        <w:t xml:space="preserve"> A.M.</w:t>
      </w:r>
      <w:r w:rsidRPr="008D6418">
        <w:rPr>
          <w:sz w:val="20"/>
          <w:szCs w:val="20"/>
          <w:vertAlign w:val="superscript"/>
        </w:rPr>
        <w:t>1</w:t>
      </w:r>
      <w:r w:rsidRPr="008D6418">
        <w:rPr>
          <w:sz w:val="20"/>
          <w:szCs w:val="20"/>
        </w:rPr>
        <w:t xml:space="preserve">, </w:t>
      </w:r>
      <w:r w:rsidR="001E28D6" w:rsidRPr="008D6418">
        <w:rPr>
          <w:sz w:val="20"/>
          <w:szCs w:val="20"/>
        </w:rPr>
        <w:t>Byrd</w:t>
      </w:r>
      <w:r w:rsidR="007A123A" w:rsidRPr="008D6418">
        <w:rPr>
          <w:sz w:val="20"/>
          <w:szCs w:val="20"/>
        </w:rPr>
        <w:t>, E.</w:t>
      </w:r>
      <w:r w:rsidR="007A123A" w:rsidRPr="008D6418">
        <w:rPr>
          <w:sz w:val="20"/>
          <w:szCs w:val="20"/>
          <w:vertAlign w:val="superscript"/>
        </w:rPr>
        <w:t>2</w:t>
      </w:r>
      <w:r w:rsidR="001E28D6" w:rsidRPr="008D6418">
        <w:rPr>
          <w:sz w:val="20"/>
          <w:szCs w:val="20"/>
        </w:rPr>
        <w:t xml:space="preserve">, </w:t>
      </w:r>
      <w:r w:rsidRPr="008D6418">
        <w:rPr>
          <w:sz w:val="20"/>
          <w:szCs w:val="20"/>
        </w:rPr>
        <w:t>Dietrich, M</w:t>
      </w:r>
      <w:r w:rsidR="00AB758C">
        <w:rPr>
          <w:sz w:val="20"/>
          <w:szCs w:val="20"/>
        </w:rPr>
        <w:t>.S</w:t>
      </w:r>
      <w:r w:rsidRPr="008D6418">
        <w:rPr>
          <w:sz w:val="20"/>
          <w:szCs w:val="20"/>
        </w:rPr>
        <w:t>.</w:t>
      </w:r>
      <w:r w:rsidR="001F1FA7" w:rsidRPr="008D6418">
        <w:rPr>
          <w:sz w:val="20"/>
          <w:szCs w:val="20"/>
          <w:vertAlign w:val="superscript"/>
        </w:rPr>
        <w:t>1</w:t>
      </w:r>
      <w:r w:rsidR="001F1FA7">
        <w:rPr>
          <w:sz w:val="20"/>
          <w:szCs w:val="20"/>
          <w:vertAlign w:val="superscript"/>
        </w:rPr>
        <w:t>,</w:t>
      </w:r>
      <w:r w:rsidRPr="008D6418">
        <w:rPr>
          <w:sz w:val="20"/>
          <w:szCs w:val="20"/>
          <w:vertAlign w:val="superscript"/>
        </w:rPr>
        <w:t>2</w:t>
      </w:r>
      <w:r w:rsidRPr="008D6418">
        <w:rPr>
          <w:sz w:val="20"/>
          <w:szCs w:val="20"/>
        </w:rPr>
        <w:t>, Hall, M</w:t>
      </w:r>
      <w:r w:rsidR="004507A3">
        <w:rPr>
          <w:sz w:val="20"/>
          <w:szCs w:val="20"/>
        </w:rPr>
        <w:t>.L</w:t>
      </w:r>
      <w:r w:rsidRPr="008D6418">
        <w:rPr>
          <w:sz w:val="20"/>
          <w:szCs w:val="20"/>
        </w:rPr>
        <w:t>.</w:t>
      </w:r>
      <w:r w:rsidRPr="008D6418">
        <w:rPr>
          <w:rStyle w:val="FootnoteReference"/>
          <w:sz w:val="20"/>
          <w:szCs w:val="20"/>
        </w:rPr>
        <w:t>3</w:t>
      </w:r>
      <w:r w:rsidRPr="008D6418">
        <w:rPr>
          <w:sz w:val="20"/>
          <w:szCs w:val="20"/>
        </w:rPr>
        <w:t xml:space="preserve">, </w:t>
      </w:r>
      <w:r w:rsidR="269EDAE0" w:rsidRPr="3DDF6855">
        <w:rPr>
          <w:sz w:val="20"/>
          <w:szCs w:val="20"/>
        </w:rPr>
        <w:t>Walker, A.</w:t>
      </w:r>
      <w:r w:rsidR="269EDAE0" w:rsidRPr="3DDF6855">
        <w:rPr>
          <w:sz w:val="20"/>
          <w:szCs w:val="20"/>
          <w:vertAlign w:val="superscript"/>
        </w:rPr>
        <w:t>2</w:t>
      </w:r>
      <w:r w:rsidR="269EDAE0" w:rsidRPr="3DDF6855">
        <w:rPr>
          <w:sz w:val="20"/>
          <w:szCs w:val="20"/>
        </w:rPr>
        <w:t xml:space="preserve">, </w:t>
      </w:r>
      <w:r w:rsidRPr="008D6418">
        <w:rPr>
          <w:sz w:val="20"/>
          <w:szCs w:val="20"/>
        </w:rPr>
        <w:t>Bustos, J.</w:t>
      </w:r>
      <w:r w:rsidRPr="008D6418">
        <w:rPr>
          <w:rStyle w:val="FootnoteReference"/>
          <w:sz w:val="20"/>
          <w:szCs w:val="20"/>
        </w:rPr>
        <w:t>4</w:t>
      </w:r>
      <w:r w:rsidRPr="008D6418">
        <w:rPr>
          <w:sz w:val="20"/>
          <w:szCs w:val="20"/>
        </w:rPr>
        <w:t>,</w:t>
      </w:r>
      <w:r w:rsidRPr="008D6418">
        <w:rPr>
          <w:sz w:val="20"/>
          <w:szCs w:val="20"/>
          <w:vertAlign w:val="superscript"/>
        </w:rPr>
        <w:t xml:space="preserve"> </w:t>
      </w:r>
      <w:r w:rsidRPr="008D6418">
        <w:rPr>
          <w:sz w:val="20"/>
          <w:szCs w:val="20"/>
        </w:rPr>
        <w:t>&amp; McDaniel, J.</w:t>
      </w:r>
      <w:r w:rsidR="00CC1658">
        <w:rPr>
          <w:sz w:val="20"/>
          <w:szCs w:val="20"/>
          <w:vertAlign w:val="superscript"/>
        </w:rPr>
        <w:t>5</w:t>
      </w:r>
    </w:p>
    <w:p w14:paraId="2CBF6E4B" w14:textId="5C590DA0" w:rsidR="00C948BE" w:rsidRPr="008D6418" w:rsidRDefault="00701FC0" w:rsidP="00701FC0">
      <w:pPr>
        <w:rPr>
          <w:sz w:val="20"/>
          <w:szCs w:val="20"/>
        </w:rPr>
      </w:pPr>
      <w:r w:rsidRPr="008D6418">
        <w:rPr>
          <w:b/>
          <w:sz w:val="20"/>
          <w:szCs w:val="20"/>
        </w:rPr>
        <w:t>Introduction</w:t>
      </w:r>
      <w:r w:rsidRPr="008D6418">
        <w:rPr>
          <w:sz w:val="20"/>
          <w:szCs w:val="20"/>
        </w:rPr>
        <w:t xml:space="preserve">: Language sample analysis (LSA) can </w:t>
      </w:r>
      <w:r w:rsidR="00B81396" w:rsidRPr="008D6418">
        <w:rPr>
          <w:sz w:val="20"/>
          <w:szCs w:val="20"/>
        </w:rPr>
        <w:t>provide</w:t>
      </w:r>
      <w:r w:rsidR="00BC3274" w:rsidRPr="008D6418">
        <w:rPr>
          <w:sz w:val="20"/>
          <w:szCs w:val="20"/>
        </w:rPr>
        <w:t xml:space="preserve"> information about children’s spontaneous, expressive language </w:t>
      </w:r>
      <w:r w:rsidR="00BF5490" w:rsidRPr="008D6418">
        <w:rPr>
          <w:sz w:val="20"/>
          <w:szCs w:val="20"/>
        </w:rPr>
        <w:t>for</w:t>
      </w:r>
      <w:r w:rsidRPr="008D6418">
        <w:rPr>
          <w:sz w:val="20"/>
          <w:szCs w:val="20"/>
        </w:rPr>
        <w:t xml:space="preserve"> research and clinical</w:t>
      </w:r>
      <w:r w:rsidR="0019371A" w:rsidRPr="008D6418">
        <w:rPr>
          <w:sz w:val="20"/>
          <w:szCs w:val="20"/>
        </w:rPr>
        <w:t xml:space="preserve"> purposes. Using</w:t>
      </w:r>
      <w:r w:rsidRPr="008D6418">
        <w:rPr>
          <w:sz w:val="20"/>
          <w:szCs w:val="20"/>
        </w:rPr>
        <w:t xml:space="preserve"> LSA to measure deaf and hard of hearing (DHH) children’s expressive language captures areas of weakness that are often overlooked by omnibus language assessments</w:t>
      </w:r>
      <w:r w:rsidR="00636642">
        <w:rPr>
          <w:sz w:val="20"/>
          <w:szCs w:val="20"/>
        </w:rPr>
        <w:t xml:space="preserve">[1] </w:t>
      </w:r>
      <w:r w:rsidR="00AF6C77">
        <w:rPr>
          <w:sz w:val="20"/>
          <w:szCs w:val="20"/>
        </w:rPr>
        <w:t xml:space="preserve">and </w:t>
      </w:r>
      <w:r w:rsidRPr="008D6418">
        <w:rPr>
          <w:sz w:val="20"/>
          <w:szCs w:val="20"/>
        </w:rPr>
        <w:t xml:space="preserve">serves as an avenue for evidence-based </w:t>
      </w:r>
      <w:r w:rsidR="001347E5" w:rsidRPr="008D6418">
        <w:rPr>
          <w:sz w:val="20"/>
          <w:szCs w:val="20"/>
        </w:rPr>
        <w:t>language assessment and intervention</w:t>
      </w:r>
      <w:r w:rsidRPr="008D6418">
        <w:rPr>
          <w:sz w:val="20"/>
          <w:szCs w:val="20"/>
        </w:rPr>
        <w:t xml:space="preserve">. </w:t>
      </w:r>
      <w:r w:rsidR="002765F8" w:rsidRPr="008D6418">
        <w:rPr>
          <w:sz w:val="20"/>
          <w:szCs w:val="20"/>
        </w:rPr>
        <w:t xml:space="preserve">Currently, speech-language pathologists often </w:t>
      </w:r>
      <w:r w:rsidR="001F1FA7">
        <w:rPr>
          <w:sz w:val="20"/>
          <w:szCs w:val="20"/>
        </w:rPr>
        <w:t>use</w:t>
      </w:r>
      <w:r w:rsidR="002765F8" w:rsidRPr="008D6418">
        <w:rPr>
          <w:sz w:val="20"/>
          <w:szCs w:val="20"/>
        </w:rPr>
        <w:t xml:space="preserve"> self-designed methods rather than standardized analyses</w:t>
      </w:r>
      <w:r w:rsidR="001F5605">
        <w:rPr>
          <w:sz w:val="20"/>
          <w:szCs w:val="20"/>
        </w:rPr>
        <w:t xml:space="preserve"> for LSA</w:t>
      </w:r>
      <w:r w:rsidR="00190CA9">
        <w:rPr>
          <w:sz w:val="20"/>
          <w:szCs w:val="20"/>
        </w:rPr>
        <w:t>[2]</w:t>
      </w:r>
      <w:r w:rsidR="0009243F" w:rsidRPr="008D6418">
        <w:rPr>
          <w:sz w:val="20"/>
          <w:szCs w:val="20"/>
        </w:rPr>
        <w:t xml:space="preserve">. </w:t>
      </w:r>
      <w:r w:rsidR="002765F8" w:rsidRPr="008D6418">
        <w:rPr>
          <w:sz w:val="20"/>
          <w:szCs w:val="20"/>
        </w:rPr>
        <w:t xml:space="preserve">Increasing </w:t>
      </w:r>
      <w:r w:rsidR="00761901">
        <w:rPr>
          <w:sz w:val="20"/>
          <w:szCs w:val="20"/>
        </w:rPr>
        <w:t xml:space="preserve">the </w:t>
      </w:r>
      <w:r w:rsidR="002765F8" w:rsidRPr="008D6418">
        <w:rPr>
          <w:sz w:val="20"/>
          <w:szCs w:val="20"/>
        </w:rPr>
        <w:t>use of standardized LSA procedures</w:t>
      </w:r>
      <w:r w:rsidR="00EE7546">
        <w:rPr>
          <w:sz w:val="20"/>
          <w:szCs w:val="20"/>
        </w:rPr>
        <w:t xml:space="preserve">, such as the </w:t>
      </w:r>
      <w:r w:rsidR="00EE7546" w:rsidRPr="008D6418">
        <w:rPr>
          <w:sz w:val="20"/>
          <w:szCs w:val="20"/>
        </w:rPr>
        <w:t>Index of Productive Syntax (IPSyn</w:t>
      </w:r>
      <w:r w:rsidR="00EE7546">
        <w:rPr>
          <w:sz w:val="20"/>
          <w:szCs w:val="20"/>
        </w:rPr>
        <w:t>)[3],</w:t>
      </w:r>
      <w:r w:rsidR="002765F8" w:rsidRPr="008D6418">
        <w:rPr>
          <w:sz w:val="20"/>
          <w:szCs w:val="20"/>
        </w:rPr>
        <w:t xml:space="preserve"> is expected to benefit DHH children </w:t>
      </w:r>
      <w:r w:rsidR="002765F8" w:rsidRPr="009151FF">
        <w:rPr>
          <w:sz w:val="20"/>
          <w:szCs w:val="20"/>
        </w:rPr>
        <w:t>by systematically identifying</w:t>
      </w:r>
      <w:r w:rsidR="009151FF">
        <w:rPr>
          <w:sz w:val="20"/>
          <w:szCs w:val="20"/>
        </w:rPr>
        <w:t xml:space="preserve"> </w:t>
      </w:r>
      <w:r w:rsidR="002765F8" w:rsidRPr="008D6418">
        <w:rPr>
          <w:sz w:val="20"/>
          <w:szCs w:val="20"/>
        </w:rPr>
        <w:t xml:space="preserve">and monitoring their language </w:t>
      </w:r>
      <w:r w:rsidR="009151FF">
        <w:rPr>
          <w:sz w:val="20"/>
          <w:szCs w:val="20"/>
        </w:rPr>
        <w:t>needs</w:t>
      </w:r>
      <w:r w:rsidR="005B4BCA" w:rsidRPr="008D6418">
        <w:rPr>
          <w:sz w:val="20"/>
          <w:szCs w:val="20"/>
        </w:rPr>
        <w:t>.</w:t>
      </w:r>
      <w:r w:rsidR="002E0BDD" w:rsidRPr="008D6418">
        <w:rPr>
          <w:sz w:val="20"/>
          <w:szCs w:val="20"/>
        </w:rPr>
        <w:t xml:space="preserve"> </w:t>
      </w:r>
      <w:r w:rsidR="00063789">
        <w:rPr>
          <w:sz w:val="20"/>
          <w:szCs w:val="20"/>
        </w:rPr>
        <w:t>However, a</w:t>
      </w:r>
      <w:r w:rsidR="007960FE" w:rsidRPr="008D6418">
        <w:rPr>
          <w:sz w:val="20"/>
          <w:szCs w:val="20"/>
        </w:rPr>
        <w:t xml:space="preserve"> barrier for using the IPSyn, particularly for clinicians, is the time it takes to collec</w:t>
      </w:r>
      <w:r w:rsidR="009151FF">
        <w:rPr>
          <w:sz w:val="20"/>
          <w:szCs w:val="20"/>
        </w:rPr>
        <w:t xml:space="preserve">t </w:t>
      </w:r>
      <w:r w:rsidR="007960FE" w:rsidRPr="008D6418">
        <w:rPr>
          <w:sz w:val="20"/>
          <w:szCs w:val="20"/>
        </w:rPr>
        <w:t xml:space="preserve">and analyze the </w:t>
      </w:r>
      <w:r w:rsidR="006650C1">
        <w:rPr>
          <w:sz w:val="20"/>
          <w:szCs w:val="20"/>
        </w:rPr>
        <w:t>required</w:t>
      </w:r>
      <w:r w:rsidR="007960FE" w:rsidRPr="008D6418">
        <w:rPr>
          <w:sz w:val="20"/>
          <w:szCs w:val="20"/>
        </w:rPr>
        <w:t xml:space="preserve"> 100 child utterances</w:t>
      </w:r>
      <w:r w:rsidR="00C90A7F">
        <w:rPr>
          <w:sz w:val="20"/>
          <w:szCs w:val="20"/>
        </w:rPr>
        <w:t>[</w:t>
      </w:r>
      <w:r w:rsidR="00A5235C">
        <w:rPr>
          <w:sz w:val="20"/>
          <w:szCs w:val="20"/>
        </w:rPr>
        <w:t>2,4-6]</w:t>
      </w:r>
      <w:r w:rsidR="007960FE" w:rsidRPr="00AB6FCE">
        <w:rPr>
          <w:sz w:val="20"/>
          <w:szCs w:val="20"/>
        </w:rPr>
        <w:t>).</w:t>
      </w:r>
      <w:r w:rsidR="000A224E" w:rsidRPr="00AB6FCE">
        <w:rPr>
          <w:sz w:val="20"/>
          <w:szCs w:val="20"/>
        </w:rPr>
        <w:t xml:space="preserve"> Yang and colleagues</w:t>
      </w:r>
      <w:r w:rsidR="00A5235C">
        <w:rPr>
          <w:sz w:val="20"/>
          <w:szCs w:val="20"/>
        </w:rPr>
        <w:t>[7]</w:t>
      </w:r>
      <w:r w:rsidR="000A224E" w:rsidRPr="00AB6FCE">
        <w:rPr>
          <w:sz w:val="20"/>
          <w:szCs w:val="20"/>
        </w:rPr>
        <w:t xml:space="preserve"> found that their shortened IPSyn (IPSyn-C) improved reliability over the original IPSyn when scoring from reduced samples of 50 </w:t>
      </w:r>
      <w:r w:rsidR="007259AD">
        <w:rPr>
          <w:sz w:val="20"/>
          <w:szCs w:val="20"/>
        </w:rPr>
        <w:t xml:space="preserve">rather than 100 </w:t>
      </w:r>
      <w:r w:rsidR="000A224E" w:rsidRPr="00AB6FCE">
        <w:rPr>
          <w:sz w:val="20"/>
          <w:szCs w:val="20"/>
        </w:rPr>
        <w:t>utterances.</w:t>
      </w:r>
    </w:p>
    <w:p w14:paraId="1DDFD927" w14:textId="14A6D774" w:rsidR="00290FD1" w:rsidRPr="008D6418" w:rsidRDefault="00F71B83" w:rsidP="00701FC0">
      <w:pPr>
        <w:rPr>
          <w:sz w:val="20"/>
          <w:szCs w:val="20"/>
        </w:rPr>
      </w:pPr>
      <w:r w:rsidRPr="008D6418">
        <w:rPr>
          <w:sz w:val="20"/>
          <w:szCs w:val="20"/>
        </w:rPr>
        <w:t>We extend this work to our sample of DHH children with the following research questions: Is the IPSyn scored from 50 utterances from play and conversation contexts sufficiently reliable for (RQ1) research purposes and (RQ2) clinical purposes</w:t>
      </w:r>
      <w:r w:rsidR="00D54B77">
        <w:rPr>
          <w:sz w:val="20"/>
          <w:szCs w:val="20"/>
        </w:rPr>
        <w:t>? We addressed th</w:t>
      </w:r>
      <w:r w:rsidR="00717053">
        <w:rPr>
          <w:sz w:val="20"/>
          <w:szCs w:val="20"/>
        </w:rPr>
        <w:t>ese questions via</w:t>
      </w:r>
      <w:r w:rsidRPr="008D6418">
        <w:rPr>
          <w:sz w:val="20"/>
          <w:szCs w:val="20"/>
        </w:rPr>
        <w:t xml:space="preserve">: (a) correlations between </w:t>
      </w:r>
      <w:r w:rsidR="00E02F5F">
        <w:rPr>
          <w:sz w:val="20"/>
          <w:szCs w:val="20"/>
        </w:rPr>
        <w:t xml:space="preserve">IPSyn </w:t>
      </w:r>
      <w:r w:rsidRPr="008D6418">
        <w:rPr>
          <w:sz w:val="20"/>
          <w:szCs w:val="20"/>
        </w:rPr>
        <w:t xml:space="preserve">scores from reduced </w:t>
      </w:r>
      <w:r w:rsidR="005D34C2">
        <w:rPr>
          <w:sz w:val="20"/>
          <w:szCs w:val="20"/>
        </w:rPr>
        <w:t>50-utterance</w:t>
      </w:r>
      <w:r w:rsidR="005D34C2" w:rsidRPr="008D6418">
        <w:rPr>
          <w:sz w:val="20"/>
          <w:szCs w:val="20"/>
        </w:rPr>
        <w:t xml:space="preserve"> </w:t>
      </w:r>
      <w:r w:rsidRPr="008D6418">
        <w:rPr>
          <w:sz w:val="20"/>
          <w:szCs w:val="20"/>
        </w:rPr>
        <w:t xml:space="preserve">and full </w:t>
      </w:r>
      <w:r w:rsidR="001E07CB">
        <w:rPr>
          <w:sz w:val="20"/>
          <w:szCs w:val="20"/>
        </w:rPr>
        <w:t xml:space="preserve">100-utterance </w:t>
      </w:r>
      <w:r w:rsidRPr="008D6418">
        <w:rPr>
          <w:sz w:val="20"/>
          <w:szCs w:val="20"/>
        </w:rPr>
        <w:t xml:space="preserve">samples, (b) correlations between </w:t>
      </w:r>
      <w:r w:rsidR="00E02F5F">
        <w:rPr>
          <w:sz w:val="20"/>
          <w:szCs w:val="20"/>
        </w:rPr>
        <w:t xml:space="preserve">IPSyn </w:t>
      </w:r>
      <w:r w:rsidRPr="008D6418">
        <w:rPr>
          <w:sz w:val="20"/>
          <w:szCs w:val="20"/>
        </w:rPr>
        <w:t xml:space="preserve">scores from </w:t>
      </w:r>
      <w:r w:rsidR="00F00CF4">
        <w:rPr>
          <w:sz w:val="20"/>
          <w:szCs w:val="20"/>
        </w:rPr>
        <w:t>th</w:t>
      </w:r>
      <w:r w:rsidR="00A40DA1">
        <w:rPr>
          <w:sz w:val="20"/>
          <w:szCs w:val="20"/>
        </w:rPr>
        <w:t>e samples of the first 50 and second 50 utterances</w:t>
      </w:r>
      <w:r w:rsidRPr="008D6418">
        <w:rPr>
          <w:sz w:val="20"/>
          <w:szCs w:val="20"/>
        </w:rPr>
        <w:t xml:space="preserve">, (c) internal consistency </w:t>
      </w:r>
      <w:r w:rsidR="00F6032B">
        <w:rPr>
          <w:sz w:val="20"/>
          <w:szCs w:val="20"/>
        </w:rPr>
        <w:t xml:space="preserve">of </w:t>
      </w:r>
      <w:r w:rsidR="006D15E4">
        <w:rPr>
          <w:sz w:val="20"/>
          <w:szCs w:val="20"/>
        </w:rPr>
        <w:t>items</w:t>
      </w:r>
      <w:r w:rsidR="00F6032B">
        <w:rPr>
          <w:sz w:val="20"/>
          <w:szCs w:val="20"/>
        </w:rPr>
        <w:t xml:space="preserve"> </w:t>
      </w:r>
      <w:r w:rsidR="006D15E4">
        <w:rPr>
          <w:sz w:val="20"/>
          <w:szCs w:val="20"/>
        </w:rPr>
        <w:t>for</w:t>
      </w:r>
      <w:r w:rsidR="00F6032B">
        <w:rPr>
          <w:sz w:val="20"/>
          <w:szCs w:val="20"/>
        </w:rPr>
        <w:t xml:space="preserve"> </w:t>
      </w:r>
      <w:r w:rsidRPr="008D6418">
        <w:rPr>
          <w:sz w:val="20"/>
          <w:szCs w:val="20"/>
        </w:rPr>
        <w:t>reduced</w:t>
      </w:r>
      <w:r w:rsidR="00307910">
        <w:rPr>
          <w:sz w:val="20"/>
          <w:szCs w:val="20"/>
        </w:rPr>
        <w:t xml:space="preserve"> </w:t>
      </w:r>
      <w:r w:rsidRPr="008D6418">
        <w:rPr>
          <w:sz w:val="20"/>
          <w:szCs w:val="20"/>
        </w:rPr>
        <w:t xml:space="preserve">and full samples, and (d) </w:t>
      </w:r>
      <w:r w:rsidR="00EB0B52">
        <w:rPr>
          <w:sz w:val="20"/>
          <w:szCs w:val="20"/>
        </w:rPr>
        <w:t>comparison of IPSyn and</w:t>
      </w:r>
      <w:r w:rsidRPr="008D6418">
        <w:rPr>
          <w:sz w:val="20"/>
          <w:szCs w:val="20"/>
        </w:rPr>
        <w:t xml:space="preserve"> IPSyn-C reliability</w:t>
      </w:r>
      <w:r w:rsidR="00EB0B52">
        <w:rPr>
          <w:sz w:val="20"/>
          <w:szCs w:val="20"/>
        </w:rPr>
        <w:t>.</w:t>
      </w:r>
      <w:r w:rsidRPr="008D6418">
        <w:rPr>
          <w:sz w:val="20"/>
          <w:szCs w:val="20"/>
        </w:rPr>
        <w:t xml:space="preserve"> Efficient LSA analyses are needed for research and clinical purposes. </w:t>
      </w:r>
      <w:r w:rsidR="00BB671C">
        <w:rPr>
          <w:sz w:val="20"/>
          <w:szCs w:val="20"/>
        </w:rPr>
        <w:t>Yet,</w:t>
      </w:r>
      <w:r w:rsidR="00BB671C" w:rsidRPr="008D6418">
        <w:rPr>
          <w:sz w:val="20"/>
          <w:szCs w:val="20"/>
        </w:rPr>
        <w:t xml:space="preserve"> </w:t>
      </w:r>
      <w:r w:rsidRPr="008D6418">
        <w:rPr>
          <w:sz w:val="20"/>
          <w:szCs w:val="20"/>
        </w:rPr>
        <w:t xml:space="preserve">the </w:t>
      </w:r>
      <w:r w:rsidR="00BB671C">
        <w:rPr>
          <w:sz w:val="20"/>
          <w:szCs w:val="20"/>
        </w:rPr>
        <w:t>relative importance</w:t>
      </w:r>
      <w:r w:rsidRPr="008D6418">
        <w:rPr>
          <w:sz w:val="20"/>
          <w:szCs w:val="20"/>
        </w:rPr>
        <w:t xml:space="preserve"> of saving time versus maximizing precision may be different. </w:t>
      </w:r>
      <w:r w:rsidR="001E0123">
        <w:rPr>
          <w:sz w:val="20"/>
          <w:szCs w:val="20"/>
        </w:rPr>
        <w:t>R</w:t>
      </w:r>
      <w:r w:rsidRPr="008D6418">
        <w:rPr>
          <w:sz w:val="20"/>
          <w:szCs w:val="20"/>
        </w:rPr>
        <w:t xml:space="preserve">esearchers </w:t>
      </w:r>
      <w:r w:rsidR="001E0123">
        <w:rPr>
          <w:sz w:val="20"/>
          <w:szCs w:val="20"/>
        </w:rPr>
        <w:t xml:space="preserve">may </w:t>
      </w:r>
      <w:r w:rsidRPr="008D6418">
        <w:rPr>
          <w:sz w:val="20"/>
          <w:szCs w:val="20"/>
        </w:rPr>
        <w:t>prioritize measurement precision</w:t>
      </w:r>
      <w:r w:rsidR="001E0123">
        <w:rPr>
          <w:sz w:val="20"/>
          <w:szCs w:val="20"/>
        </w:rPr>
        <w:t xml:space="preserve"> over time to</w:t>
      </w:r>
      <w:r w:rsidRPr="008D6418">
        <w:rPr>
          <w:sz w:val="20"/>
          <w:szCs w:val="20"/>
        </w:rPr>
        <w:t xml:space="preserve"> minimize error and maximize power</w:t>
      </w:r>
      <w:r w:rsidR="003E1723">
        <w:rPr>
          <w:sz w:val="20"/>
          <w:szCs w:val="20"/>
        </w:rPr>
        <w:t>[8]</w:t>
      </w:r>
      <w:r w:rsidRPr="008D6418">
        <w:rPr>
          <w:sz w:val="20"/>
          <w:szCs w:val="20"/>
        </w:rPr>
        <w:t>. On the other hand, clinically, time may be weighted more heavily than precision.</w:t>
      </w:r>
    </w:p>
    <w:p w14:paraId="695110BE" w14:textId="6E525569" w:rsidR="00790360" w:rsidRPr="008D6418" w:rsidRDefault="00701FC0" w:rsidP="00701FC0">
      <w:pPr>
        <w:rPr>
          <w:sz w:val="20"/>
          <w:szCs w:val="20"/>
        </w:rPr>
      </w:pPr>
      <w:r w:rsidRPr="008D6418">
        <w:rPr>
          <w:b/>
          <w:sz w:val="20"/>
          <w:szCs w:val="20"/>
          <w:lang w:val="en-GB"/>
        </w:rPr>
        <w:t>Method</w:t>
      </w:r>
      <w:r w:rsidRPr="008D6418">
        <w:rPr>
          <w:sz w:val="20"/>
          <w:szCs w:val="20"/>
          <w:lang w:val="en-GB"/>
        </w:rPr>
        <w:t xml:space="preserve">: </w:t>
      </w:r>
      <w:r w:rsidR="008B6196" w:rsidRPr="008B6196">
        <w:rPr>
          <w:sz w:val="20"/>
          <w:szCs w:val="20"/>
        </w:rPr>
        <w:t xml:space="preserve">We transcribed English language samples from DHH children aged 2 to 6 years in </w:t>
      </w:r>
      <w:r w:rsidR="00FF6B5F">
        <w:rPr>
          <w:sz w:val="20"/>
          <w:szCs w:val="20"/>
        </w:rPr>
        <w:t>two</w:t>
      </w:r>
      <w:r w:rsidR="008B6196" w:rsidRPr="008B6196">
        <w:rPr>
          <w:sz w:val="20"/>
          <w:szCs w:val="20"/>
        </w:rPr>
        <w:t xml:space="preserve"> contexts: play (</w:t>
      </w:r>
      <w:r w:rsidR="008B6196" w:rsidRPr="008B6196">
        <w:rPr>
          <w:i/>
          <w:iCs/>
          <w:sz w:val="20"/>
          <w:szCs w:val="20"/>
        </w:rPr>
        <w:t>n</w:t>
      </w:r>
      <w:r w:rsidR="008B6196" w:rsidRPr="008B6196">
        <w:rPr>
          <w:sz w:val="20"/>
          <w:szCs w:val="20"/>
        </w:rPr>
        <w:t xml:space="preserve"> = 32) and conversation (</w:t>
      </w:r>
      <w:r w:rsidR="008B6196" w:rsidRPr="008B6196">
        <w:rPr>
          <w:i/>
          <w:iCs/>
          <w:sz w:val="20"/>
          <w:szCs w:val="20"/>
        </w:rPr>
        <w:t>n</w:t>
      </w:r>
      <w:r w:rsidR="008B6196" w:rsidRPr="008B6196">
        <w:rPr>
          <w:sz w:val="20"/>
          <w:szCs w:val="20"/>
        </w:rPr>
        <w:t xml:space="preserve"> = 19), each 12-20 minutes long. </w:t>
      </w:r>
      <w:r w:rsidR="00790360" w:rsidRPr="008D6418">
        <w:rPr>
          <w:sz w:val="20"/>
          <w:szCs w:val="20"/>
        </w:rPr>
        <w:t>We scored the IPSyn and IPSyn-C using the first 50, second 50, and first 100 eligible utterances to derive total scores and scores for each of the four subscales.</w:t>
      </w:r>
    </w:p>
    <w:p w14:paraId="5F68B428" w14:textId="12453285" w:rsidR="007C4B37" w:rsidRPr="008D6418" w:rsidRDefault="007C4B37" w:rsidP="007C4B37">
      <w:pPr>
        <w:rPr>
          <w:sz w:val="20"/>
          <w:szCs w:val="20"/>
          <w:lang w:val="en-GB"/>
        </w:rPr>
      </w:pPr>
      <w:r w:rsidRPr="008D6418">
        <w:rPr>
          <w:b/>
          <w:sz w:val="20"/>
          <w:szCs w:val="20"/>
          <w:lang w:val="en-GB"/>
        </w:rPr>
        <w:t>Results</w:t>
      </w:r>
      <w:r w:rsidRPr="008D6418">
        <w:rPr>
          <w:sz w:val="20"/>
          <w:szCs w:val="20"/>
          <w:lang w:val="en-GB"/>
        </w:rPr>
        <w:t xml:space="preserve">: To evaluate the correlation between scores from full and reduced samples, we calculated Spearman’s rho </w:t>
      </w:r>
      <w:r w:rsidR="005560C2">
        <w:rPr>
          <w:sz w:val="20"/>
          <w:szCs w:val="20"/>
          <w:lang w:val="en-GB"/>
        </w:rPr>
        <w:t xml:space="preserve">in </w:t>
      </w:r>
      <w:r w:rsidR="00D94073">
        <w:rPr>
          <w:sz w:val="20"/>
          <w:szCs w:val="20"/>
          <w:lang w:val="en-GB"/>
        </w:rPr>
        <w:t xml:space="preserve">play and conversation contexts </w:t>
      </w:r>
      <w:r w:rsidRPr="008D6418">
        <w:rPr>
          <w:sz w:val="20"/>
          <w:szCs w:val="20"/>
          <w:lang w:val="en-GB"/>
        </w:rPr>
        <w:t xml:space="preserve">between IPSyn scores derived from the first </w:t>
      </w:r>
      <w:r w:rsidR="00094AA9">
        <w:rPr>
          <w:sz w:val="20"/>
          <w:szCs w:val="20"/>
          <w:lang w:val="en-GB"/>
        </w:rPr>
        <w:t xml:space="preserve">and second </w:t>
      </w:r>
      <w:r w:rsidRPr="008D6418">
        <w:rPr>
          <w:sz w:val="20"/>
          <w:szCs w:val="20"/>
          <w:lang w:val="en-GB"/>
        </w:rPr>
        <w:t>50 utterances of the sample and IPSyn scores derived from the full sample of 100 utterance</w:t>
      </w:r>
      <w:r w:rsidR="00962602">
        <w:rPr>
          <w:sz w:val="20"/>
          <w:szCs w:val="20"/>
          <w:lang w:val="en-GB"/>
        </w:rPr>
        <w:t>s</w:t>
      </w:r>
      <w:r w:rsidR="00411CCE">
        <w:rPr>
          <w:sz w:val="20"/>
          <w:szCs w:val="20"/>
          <w:lang w:val="en-GB"/>
        </w:rPr>
        <w:t xml:space="preserve">. </w:t>
      </w:r>
      <w:r w:rsidRPr="008D6418">
        <w:rPr>
          <w:sz w:val="20"/>
          <w:szCs w:val="20"/>
          <w:lang w:val="en-GB"/>
        </w:rPr>
        <w:t xml:space="preserve">As shown in Table 1, Spearman’s rho for all </w:t>
      </w:r>
      <w:r w:rsidRPr="000B2845">
        <w:rPr>
          <w:sz w:val="20"/>
          <w:szCs w:val="20"/>
          <w:lang w:val="en-GB"/>
        </w:rPr>
        <w:t>comparisons exceeded our criterion of .80, as did all subscale scores derived from the first 50 utterances from a play context</w:t>
      </w:r>
      <w:r w:rsidR="002704A2" w:rsidRPr="000B2845">
        <w:rPr>
          <w:sz w:val="20"/>
          <w:szCs w:val="20"/>
          <w:lang w:val="en-GB"/>
        </w:rPr>
        <w:t xml:space="preserve">. </w:t>
      </w:r>
      <w:r w:rsidR="00FF44A0" w:rsidRPr="0098642E">
        <w:rPr>
          <w:sz w:val="20"/>
          <w:szCs w:val="20"/>
        </w:rPr>
        <w:t xml:space="preserve">To test whether the IPSyn-C improved reliability compared to the IPSyn, we compared these same pairs of scores for the IPSyn-C. </w:t>
      </w:r>
      <w:r w:rsidRPr="0098642E">
        <w:rPr>
          <w:sz w:val="20"/>
          <w:szCs w:val="20"/>
          <w:lang w:val="en-GB"/>
        </w:rPr>
        <w:t xml:space="preserve">Spearman’s rho </w:t>
      </w:r>
      <w:r w:rsidR="00456C43" w:rsidRPr="0098642E">
        <w:rPr>
          <w:sz w:val="20"/>
          <w:szCs w:val="20"/>
          <w:lang w:val="en-GB"/>
        </w:rPr>
        <w:t>exceeded our criterion of .80</w:t>
      </w:r>
      <w:r w:rsidR="00986107" w:rsidRPr="0098642E">
        <w:rPr>
          <w:sz w:val="20"/>
          <w:szCs w:val="20"/>
          <w:lang w:val="en-GB"/>
        </w:rPr>
        <w:t xml:space="preserve"> </w:t>
      </w:r>
      <w:r w:rsidRPr="0098642E">
        <w:rPr>
          <w:sz w:val="20"/>
          <w:szCs w:val="20"/>
          <w:lang w:val="en-GB"/>
        </w:rPr>
        <w:t xml:space="preserve">for </w:t>
      </w:r>
      <w:r w:rsidR="009C3B5C">
        <w:rPr>
          <w:sz w:val="20"/>
          <w:szCs w:val="20"/>
          <w:lang w:val="en-GB"/>
        </w:rPr>
        <w:t>three of the four</w:t>
      </w:r>
      <w:r w:rsidR="009C3B5C" w:rsidRPr="0098642E">
        <w:rPr>
          <w:sz w:val="20"/>
          <w:szCs w:val="20"/>
          <w:lang w:val="en-GB"/>
        </w:rPr>
        <w:t xml:space="preserve"> </w:t>
      </w:r>
      <w:r w:rsidRPr="0098642E">
        <w:rPr>
          <w:sz w:val="20"/>
          <w:szCs w:val="20"/>
          <w:lang w:val="en-GB"/>
        </w:rPr>
        <w:t>comparisons on the IPSyn-C</w:t>
      </w:r>
      <w:r w:rsidR="00DF3668">
        <w:rPr>
          <w:sz w:val="20"/>
          <w:szCs w:val="20"/>
          <w:lang w:val="en-GB"/>
        </w:rPr>
        <w:t>.</w:t>
      </w:r>
      <w:r w:rsidR="00266728">
        <w:rPr>
          <w:sz w:val="20"/>
          <w:szCs w:val="20"/>
          <w:lang w:val="en-GB"/>
        </w:rPr>
        <w:t xml:space="preserve"> </w:t>
      </w:r>
      <w:r w:rsidR="008252D9" w:rsidRPr="0098642E">
        <w:rPr>
          <w:sz w:val="20"/>
          <w:szCs w:val="20"/>
          <w:lang w:val="en-GB"/>
        </w:rPr>
        <w:t>However, a</w:t>
      </w:r>
      <w:r w:rsidR="00097B5D" w:rsidRPr="0098642E">
        <w:rPr>
          <w:sz w:val="20"/>
          <w:szCs w:val="20"/>
          <w:lang w:val="en-GB"/>
        </w:rPr>
        <w:t xml:space="preserve">s shown in </w:t>
      </w:r>
      <w:r w:rsidRPr="0098642E">
        <w:rPr>
          <w:sz w:val="20"/>
          <w:szCs w:val="20"/>
          <w:lang w:val="en-GB"/>
        </w:rPr>
        <w:t>Table 1</w:t>
      </w:r>
      <w:r w:rsidR="00C566CE" w:rsidRPr="0098642E">
        <w:rPr>
          <w:sz w:val="20"/>
          <w:szCs w:val="20"/>
          <w:lang w:val="en-GB"/>
        </w:rPr>
        <w:t xml:space="preserve">, the IPSyn-C </w:t>
      </w:r>
      <w:r w:rsidR="006658BE" w:rsidRPr="0098642E">
        <w:rPr>
          <w:sz w:val="20"/>
          <w:szCs w:val="20"/>
          <w:lang w:val="en-GB"/>
        </w:rPr>
        <w:t>did not increase reliability compared to the IPSyn</w:t>
      </w:r>
      <w:r w:rsidRPr="0098642E">
        <w:rPr>
          <w:sz w:val="20"/>
          <w:szCs w:val="20"/>
          <w:lang w:val="en-GB"/>
        </w:rPr>
        <w:t>.</w:t>
      </w:r>
      <w:r w:rsidRPr="008D6418">
        <w:rPr>
          <w:sz w:val="20"/>
          <w:szCs w:val="20"/>
          <w:lang w:val="en-GB"/>
        </w:rPr>
        <w:t xml:space="preserve">  </w:t>
      </w:r>
    </w:p>
    <w:p w14:paraId="6C978805" w14:textId="58923093" w:rsidR="00701FC0" w:rsidRPr="008D6418" w:rsidRDefault="002A2DE9" w:rsidP="00701FC0">
      <w:pPr>
        <w:rPr>
          <w:rFonts w:cs="Calibri"/>
          <w:iCs/>
          <w:sz w:val="20"/>
          <w:szCs w:val="20"/>
          <w:lang w:val="en-GB"/>
        </w:rPr>
      </w:pPr>
      <w:r w:rsidRPr="008D6418">
        <w:rPr>
          <w:rFonts w:cs="Calibri"/>
          <w:iCs/>
          <w:sz w:val="20"/>
          <w:szCs w:val="20"/>
          <w:lang w:val="en-GB"/>
        </w:rPr>
        <w:t xml:space="preserve">As a more stringent test of reliability, we calculated Spearman’s rho between IPSyn scores derived from the first 50 and second 50 utterances. </w:t>
      </w:r>
      <w:r w:rsidR="00FB1CE1" w:rsidRPr="008D6418">
        <w:rPr>
          <w:rFonts w:cs="Calibri"/>
          <w:iCs/>
          <w:sz w:val="20"/>
          <w:szCs w:val="20"/>
          <w:lang w:val="en-GB"/>
        </w:rPr>
        <w:t>As shown in Table 1, Spearman’s rho e</w:t>
      </w:r>
      <w:r w:rsidR="00275514" w:rsidRPr="008D6418">
        <w:rPr>
          <w:rFonts w:cs="Calibri"/>
          <w:iCs/>
          <w:sz w:val="20"/>
          <w:szCs w:val="20"/>
          <w:lang w:val="en-GB"/>
        </w:rPr>
        <w:t>xceeded our reliability criter</w:t>
      </w:r>
      <w:r w:rsidR="00E714C9" w:rsidRPr="008D6418">
        <w:rPr>
          <w:rFonts w:cs="Calibri"/>
          <w:iCs/>
          <w:sz w:val="20"/>
          <w:szCs w:val="20"/>
          <w:lang w:val="en-GB"/>
        </w:rPr>
        <w:t>i</w:t>
      </w:r>
      <w:r w:rsidR="00EF5C13" w:rsidRPr="008D6418">
        <w:rPr>
          <w:rFonts w:cs="Calibri"/>
          <w:iCs/>
          <w:sz w:val="20"/>
          <w:szCs w:val="20"/>
          <w:lang w:val="en-GB"/>
        </w:rPr>
        <w:t>on</w:t>
      </w:r>
      <w:r w:rsidR="00E714C9" w:rsidRPr="008D6418">
        <w:rPr>
          <w:rFonts w:cs="Calibri"/>
          <w:iCs/>
          <w:sz w:val="20"/>
          <w:szCs w:val="20"/>
          <w:lang w:val="en-GB"/>
        </w:rPr>
        <w:t xml:space="preserve"> </w:t>
      </w:r>
      <w:r w:rsidR="00F10727" w:rsidRPr="008D6418">
        <w:rPr>
          <w:rFonts w:cs="Calibri"/>
          <w:iCs/>
          <w:sz w:val="20"/>
          <w:szCs w:val="20"/>
          <w:lang w:val="en-GB"/>
        </w:rPr>
        <w:t xml:space="preserve">(.80) </w:t>
      </w:r>
      <w:r w:rsidR="00EC7222">
        <w:rPr>
          <w:rFonts w:cs="Calibri"/>
          <w:iCs/>
          <w:sz w:val="20"/>
          <w:szCs w:val="20"/>
          <w:lang w:val="en-GB"/>
        </w:rPr>
        <w:t>for</w:t>
      </w:r>
      <w:r w:rsidR="00EC7222" w:rsidRPr="008D6418">
        <w:rPr>
          <w:rFonts w:cs="Calibri"/>
          <w:iCs/>
          <w:sz w:val="20"/>
          <w:szCs w:val="20"/>
          <w:lang w:val="en-GB"/>
        </w:rPr>
        <w:t xml:space="preserve"> </w:t>
      </w:r>
      <w:r w:rsidR="005805B4" w:rsidRPr="008D6418">
        <w:rPr>
          <w:rFonts w:cs="Calibri"/>
          <w:iCs/>
          <w:sz w:val="20"/>
          <w:szCs w:val="20"/>
          <w:lang w:val="en-GB"/>
        </w:rPr>
        <w:t>the IPSyn only in the play context</w:t>
      </w:r>
      <w:r w:rsidR="00641FDF">
        <w:rPr>
          <w:rFonts w:cs="Calibri"/>
          <w:iCs/>
          <w:sz w:val="20"/>
          <w:szCs w:val="20"/>
          <w:lang w:val="en-GB"/>
        </w:rPr>
        <w:t xml:space="preserve"> for the total score with some subscale</w:t>
      </w:r>
      <w:r w:rsidR="00635AE9">
        <w:rPr>
          <w:rFonts w:cs="Calibri"/>
          <w:iCs/>
          <w:sz w:val="20"/>
          <w:szCs w:val="20"/>
          <w:lang w:val="en-GB"/>
        </w:rPr>
        <w:t>s</w:t>
      </w:r>
      <w:r w:rsidR="00641FDF">
        <w:rPr>
          <w:rFonts w:cs="Calibri"/>
          <w:iCs/>
          <w:sz w:val="20"/>
          <w:szCs w:val="20"/>
          <w:lang w:val="en-GB"/>
        </w:rPr>
        <w:t xml:space="preserve"> falling below .80</w:t>
      </w:r>
      <w:r w:rsidR="005805B4" w:rsidRPr="008D6418">
        <w:rPr>
          <w:rFonts w:cs="Calibri"/>
          <w:iCs/>
          <w:sz w:val="20"/>
          <w:szCs w:val="20"/>
          <w:lang w:val="en-GB"/>
        </w:rPr>
        <w:t xml:space="preserve">. The same pattern held </w:t>
      </w:r>
      <w:r w:rsidR="00EC7222">
        <w:rPr>
          <w:rFonts w:cs="Calibri"/>
          <w:iCs/>
          <w:sz w:val="20"/>
          <w:szCs w:val="20"/>
          <w:lang w:val="en-GB"/>
        </w:rPr>
        <w:t>for</w:t>
      </w:r>
      <w:r w:rsidR="00EC7222" w:rsidRPr="008D6418">
        <w:rPr>
          <w:rFonts w:cs="Calibri"/>
          <w:iCs/>
          <w:sz w:val="20"/>
          <w:szCs w:val="20"/>
          <w:lang w:val="en-GB"/>
        </w:rPr>
        <w:t xml:space="preserve"> </w:t>
      </w:r>
      <w:r w:rsidR="005805B4" w:rsidRPr="008D6418">
        <w:rPr>
          <w:rFonts w:cs="Calibri"/>
          <w:iCs/>
          <w:sz w:val="20"/>
          <w:szCs w:val="20"/>
          <w:lang w:val="en-GB"/>
        </w:rPr>
        <w:t>the IPSyn-C</w:t>
      </w:r>
      <w:r w:rsidR="009A752D" w:rsidRPr="008D6418">
        <w:rPr>
          <w:rFonts w:cs="Calibri"/>
          <w:iCs/>
          <w:sz w:val="20"/>
          <w:szCs w:val="20"/>
          <w:lang w:val="en-GB"/>
        </w:rPr>
        <w:t>.</w:t>
      </w:r>
      <w:r w:rsidR="00D442A5" w:rsidRPr="008D6418">
        <w:rPr>
          <w:rFonts w:cs="Calibri"/>
          <w:iCs/>
          <w:sz w:val="20"/>
          <w:szCs w:val="20"/>
          <w:lang w:val="en-GB"/>
        </w:rPr>
        <w:t xml:space="preserve"> </w:t>
      </w:r>
    </w:p>
    <w:p w14:paraId="5D5971D1" w14:textId="56D5DED1" w:rsidR="0095121E" w:rsidRPr="008D6418" w:rsidRDefault="00EA6161" w:rsidP="5FD98527">
      <w:pPr>
        <w:rPr>
          <w:rFonts w:cs="Calibri"/>
          <w:sz w:val="20"/>
          <w:szCs w:val="20"/>
          <w:lang w:val="en-GB"/>
        </w:rPr>
      </w:pPr>
      <w:r w:rsidRPr="5FD98527">
        <w:rPr>
          <w:rFonts w:cs="Calibri"/>
          <w:sz w:val="20"/>
          <w:szCs w:val="20"/>
          <w:lang w:val="en-GB"/>
        </w:rPr>
        <w:t xml:space="preserve">Finally, to </w:t>
      </w:r>
      <w:r w:rsidR="00ED61E4" w:rsidRPr="5FD98527">
        <w:rPr>
          <w:rFonts w:cs="Calibri"/>
          <w:sz w:val="20"/>
          <w:szCs w:val="20"/>
          <w:lang w:val="en-GB"/>
        </w:rPr>
        <w:t>test internal consistency</w:t>
      </w:r>
      <w:r w:rsidR="008371F7" w:rsidRPr="5FD98527">
        <w:rPr>
          <w:rFonts w:cs="Calibri"/>
          <w:sz w:val="20"/>
          <w:szCs w:val="20"/>
          <w:lang w:val="en-GB"/>
        </w:rPr>
        <w:t xml:space="preserve">, Cronbach’s alpha </w:t>
      </w:r>
      <w:r w:rsidR="00A145D5" w:rsidRPr="5FD98527">
        <w:rPr>
          <w:rFonts w:cs="Calibri"/>
          <w:sz w:val="20"/>
          <w:szCs w:val="20"/>
          <w:lang w:val="en-GB"/>
        </w:rPr>
        <w:t xml:space="preserve">for all items on the IPSyn </w:t>
      </w:r>
      <w:r w:rsidR="00BD37D9" w:rsidRPr="5FD98527">
        <w:rPr>
          <w:rFonts w:cs="Calibri"/>
          <w:sz w:val="20"/>
          <w:szCs w:val="20"/>
          <w:lang w:val="en-GB"/>
        </w:rPr>
        <w:t xml:space="preserve">was .93 for </w:t>
      </w:r>
      <w:r w:rsidR="00B2779D">
        <w:rPr>
          <w:rFonts w:cs="Calibri"/>
          <w:sz w:val="20"/>
          <w:szCs w:val="20"/>
          <w:lang w:val="en-GB"/>
        </w:rPr>
        <w:t>each</w:t>
      </w:r>
      <w:r w:rsidR="001A65C7">
        <w:rPr>
          <w:rFonts w:cs="Calibri"/>
          <w:sz w:val="20"/>
          <w:szCs w:val="20"/>
          <w:lang w:val="en-GB"/>
        </w:rPr>
        <w:t xml:space="preserve"> of the</w:t>
      </w:r>
      <w:r w:rsidR="00B2779D" w:rsidRPr="5FD98527">
        <w:rPr>
          <w:rFonts w:cs="Calibri"/>
          <w:sz w:val="20"/>
          <w:szCs w:val="20"/>
          <w:lang w:val="en-GB"/>
        </w:rPr>
        <w:t xml:space="preserve"> </w:t>
      </w:r>
      <w:r w:rsidR="00BD37D9" w:rsidRPr="5FD98527">
        <w:rPr>
          <w:rFonts w:cs="Calibri"/>
          <w:sz w:val="20"/>
          <w:szCs w:val="20"/>
          <w:lang w:val="en-GB"/>
        </w:rPr>
        <w:t xml:space="preserve">three sample lengths (i.e., </w:t>
      </w:r>
      <w:r w:rsidR="00EA3EFE" w:rsidRPr="5FD98527">
        <w:rPr>
          <w:rFonts w:cs="Calibri"/>
          <w:sz w:val="20"/>
          <w:szCs w:val="20"/>
          <w:lang w:val="en-GB"/>
        </w:rPr>
        <w:t>full sample, first 50, and second 50 utterances</w:t>
      </w:r>
      <w:r w:rsidR="00BD37D9" w:rsidRPr="5FD98527">
        <w:rPr>
          <w:rFonts w:cs="Calibri"/>
          <w:sz w:val="20"/>
          <w:szCs w:val="20"/>
          <w:lang w:val="en-GB"/>
        </w:rPr>
        <w:t>)</w:t>
      </w:r>
      <w:r w:rsidR="00A145D5" w:rsidRPr="5FD98527">
        <w:rPr>
          <w:rFonts w:cs="Calibri"/>
          <w:sz w:val="20"/>
          <w:szCs w:val="20"/>
          <w:lang w:val="en-GB"/>
        </w:rPr>
        <w:t xml:space="preserve"> </w:t>
      </w:r>
      <w:r w:rsidR="005803BE" w:rsidRPr="5FD98527">
        <w:rPr>
          <w:rFonts w:cs="Calibri"/>
          <w:sz w:val="20"/>
          <w:szCs w:val="20"/>
          <w:lang w:val="en-GB"/>
        </w:rPr>
        <w:t>combined</w:t>
      </w:r>
      <w:r w:rsidR="00B819D0" w:rsidRPr="5FD98527">
        <w:rPr>
          <w:rFonts w:cs="Calibri"/>
          <w:sz w:val="20"/>
          <w:szCs w:val="20"/>
          <w:lang w:val="en-GB"/>
        </w:rPr>
        <w:t xml:space="preserve"> across play and conversation contexts</w:t>
      </w:r>
      <w:r w:rsidR="00701FC0" w:rsidRPr="5FD98527">
        <w:rPr>
          <w:rFonts w:cs="Calibri"/>
          <w:sz w:val="20"/>
          <w:szCs w:val="20"/>
          <w:lang w:val="en-GB"/>
        </w:rPr>
        <w:t xml:space="preserve">. </w:t>
      </w:r>
      <w:r w:rsidR="00B44F49">
        <w:rPr>
          <w:rFonts w:cs="Calibri"/>
          <w:sz w:val="20"/>
          <w:szCs w:val="20"/>
          <w:lang w:val="en-GB"/>
        </w:rPr>
        <w:t>When considering</w:t>
      </w:r>
      <w:r w:rsidR="00D71F13">
        <w:rPr>
          <w:rFonts w:cs="Calibri"/>
          <w:sz w:val="20"/>
          <w:szCs w:val="20"/>
          <w:lang w:val="en-GB"/>
        </w:rPr>
        <w:t xml:space="preserve"> </w:t>
      </w:r>
      <w:r w:rsidR="007A2B5A">
        <w:rPr>
          <w:rFonts w:cs="Calibri"/>
          <w:sz w:val="20"/>
          <w:szCs w:val="20"/>
          <w:lang w:val="en-GB"/>
        </w:rPr>
        <w:t xml:space="preserve">items </w:t>
      </w:r>
      <w:r w:rsidR="00AA751C">
        <w:rPr>
          <w:rFonts w:cs="Calibri"/>
          <w:sz w:val="20"/>
          <w:szCs w:val="20"/>
          <w:lang w:val="en-GB"/>
        </w:rPr>
        <w:t xml:space="preserve">by </w:t>
      </w:r>
      <w:r w:rsidR="007A2B5A">
        <w:rPr>
          <w:rFonts w:cs="Calibri"/>
          <w:sz w:val="20"/>
          <w:szCs w:val="20"/>
          <w:lang w:val="en-GB"/>
        </w:rPr>
        <w:t xml:space="preserve">subscales, </w:t>
      </w:r>
      <w:r w:rsidR="00DA1E63">
        <w:rPr>
          <w:rFonts w:cs="Calibri"/>
          <w:sz w:val="20"/>
          <w:szCs w:val="20"/>
          <w:lang w:val="en-GB"/>
        </w:rPr>
        <w:t xml:space="preserve">only </w:t>
      </w:r>
      <w:r w:rsidR="00D71F13">
        <w:rPr>
          <w:rFonts w:cs="Calibri"/>
          <w:sz w:val="20"/>
          <w:szCs w:val="20"/>
          <w:lang w:val="en-GB"/>
        </w:rPr>
        <w:t>t</w:t>
      </w:r>
      <w:r w:rsidR="007C21B1" w:rsidRPr="5FD98527">
        <w:rPr>
          <w:rFonts w:cs="Calibri"/>
          <w:sz w:val="20"/>
          <w:szCs w:val="20"/>
          <w:lang w:val="en-GB"/>
        </w:rPr>
        <w:t xml:space="preserve">he first </w:t>
      </w:r>
      <w:r w:rsidR="00701FC0" w:rsidRPr="5FD98527">
        <w:rPr>
          <w:rFonts w:cs="Calibri"/>
          <w:sz w:val="20"/>
          <w:szCs w:val="20"/>
          <w:lang w:val="en-GB"/>
        </w:rPr>
        <w:t>50</w:t>
      </w:r>
      <w:r w:rsidR="00A46BA9">
        <w:rPr>
          <w:rFonts w:cs="Calibri"/>
          <w:sz w:val="20"/>
          <w:szCs w:val="20"/>
          <w:lang w:val="en-GB"/>
        </w:rPr>
        <w:t xml:space="preserve"> </w:t>
      </w:r>
      <w:r w:rsidR="007C21B1" w:rsidRPr="5FD98527">
        <w:rPr>
          <w:rFonts w:cs="Calibri"/>
          <w:sz w:val="20"/>
          <w:szCs w:val="20"/>
          <w:lang w:val="en-GB"/>
        </w:rPr>
        <w:t xml:space="preserve">utterance sample </w:t>
      </w:r>
      <w:r w:rsidR="00701FC0" w:rsidRPr="5FD98527">
        <w:rPr>
          <w:rFonts w:cs="Calibri"/>
          <w:sz w:val="20"/>
          <w:szCs w:val="20"/>
          <w:lang w:val="en-GB"/>
        </w:rPr>
        <w:t>exceed</w:t>
      </w:r>
      <w:r w:rsidR="00DA1E63">
        <w:rPr>
          <w:rFonts w:cs="Calibri"/>
          <w:sz w:val="20"/>
          <w:szCs w:val="20"/>
          <w:lang w:val="en-GB"/>
        </w:rPr>
        <w:t>ed</w:t>
      </w:r>
      <w:r w:rsidR="00701FC0" w:rsidRPr="5FD98527">
        <w:rPr>
          <w:rFonts w:cs="Calibri"/>
          <w:sz w:val="20"/>
          <w:szCs w:val="20"/>
          <w:lang w:val="en-GB"/>
        </w:rPr>
        <w:t xml:space="preserve"> </w:t>
      </w:r>
      <w:r w:rsidR="00564408" w:rsidRPr="5FD98527">
        <w:rPr>
          <w:rFonts w:cs="Calibri"/>
          <w:sz w:val="20"/>
          <w:szCs w:val="20"/>
          <w:lang w:val="en-GB"/>
        </w:rPr>
        <w:t xml:space="preserve">the </w:t>
      </w:r>
      <w:r w:rsidR="00701FC0" w:rsidRPr="5FD98527">
        <w:rPr>
          <w:rFonts w:cs="Calibri"/>
          <w:sz w:val="20"/>
          <w:szCs w:val="20"/>
          <w:lang w:val="en-GB"/>
        </w:rPr>
        <w:t>.7</w:t>
      </w:r>
      <w:r w:rsidR="00B37450" w:rsidRPr="5FD98527">
        <w:rPr>
          <w:rFonts w:cs="Calibri"/>
          <w:sz w:val="20"/>
          <w:szCs w:val="20"/>
          <w:lang w:val="en-GB"/>
        </w:rPr>
        <w:t>0</w:t>
      </w:r>
      <w:r w:rsidR="00564408" w:rsidRPr="5FD98527">
        <w:rPr>
          <w:rFonts w:cs="Calibri"/>
          <w:sz w:val="20"/>
          <w:szCs w:val="20"/>
          <w:lang w:val="en-GB"/>
        </w:rPr>
        <w:t xml:space="preserve"> criterion</w:t>
      </w:r>
      <w:r w:rsidR="00DA1E63">
        <w:rPr>
          <w:rFonts w:cs="Calibri"/>
          <w:sz w:val="20"/>
          <w:szCs w:val="20"/>
          <w:lang w:val="en-GB"/>
        </w:rPr>
        <w:t xml:space="preserve"> for all </w:t>
      </w:r>
      <w:r w:rsidR="00A46BA9">
        <w:rPr>
          <w:rFonts w:cs="Calibri"/>
          <w:sz w:val="20"/>
          <w:szCs w:val="20"/>
          <w:lang w:val="en-GB"/>
        </w:rPr>
        <w:t xml:space="preserve">four </w:t>
      </w:r>
      <w:r w:rsidR="00DA1E63">
        <w:rPr>
          <w:rFonts w:cs="Calibri"/>
          <w:sz w:val="20"/>
          <w:szCs w:val="20"/>
          <w:lang w:val="en-GB"/>
        </w:rPr>
        <w:t>subscales.</w:t>
      </w:r>
    </w:p>
    <w:p w14:paraId="69503103" w14:textId="60137101" w:rsidR="00B509DE" w:rsidRPr="008D6418" w:rsidRDefault="00B509DE" w:rsidP="00B509DE">
      <w:pPr>
        <w:rPr>
          <w:sz w:val="20"/>
          <w:szCs w:val="20"/>
        </w:rPr>
      </w:pPr>
      <w:r w:rsidRPr="008D6418">
        <w:rPr>
          <w:b/>
          <w:iCs/>
          <w:sz w:val="20"/>
          <w:szCs w:val="20"/>
          <w:lang w:val="en-GB"/>
        </w:rPr>
        <w:t xml:space="preserve">Discussion: </w:t>
      </w:r>
      <w:r w:rsidRPr="008D6418">
        <w:rPr>
          <w:sz w:val="20"/>
          <w:szCs w:val="20"/>
        </w:rPr>
        <w:t xml:space="preserve">For research purposes (RQ1), measures with high precision are desired to minimize measurement error. Given this relatively high value placed on precision, the IPSyn scores from 50 utterances did not demonstrate sufficient reliability, especially if subscale scores are of interest. </w:t>
      </w:r>
      <w:r w:rsidR="001E6FA2" w:rsidRPr="008D6418">
        <w:rPr>
          <w:sz w:val="20"/>
          <w:szCs w:val="20"/>
        </w:rPr>
        <w:t>Therefore, continued use of 100 utterance samples for the IPSyn is recommended for research purposes</w:t>
      </w:r>
      <w:r w:rsidR="001E6FA2">
        <w:rPr>
          <w:sz w:val="20"/>
          <w:szCs w:val="20"/>
        </w:rPr>
        <w:t>.</w:t>
      </w:r>
      <w:r w:rsidR="001E6FA2" w:rsidRPr="008D6418">
        <w:rPr>
          <w:sz w:val="20"/>
          <w:szCs w:val="20"/>
        </w:rPr>
        <w:t xml:space="preserve"> </w:t>
      </w:r>
      <w:r w:rsidRPr="008D6418">
        <w:rPr>
          <w:sz w:val="20"/>
          <w:szCs w:val="20"/>
        </w:rPr>
        <w:t xml:space="preserve">Unlike the findings of Yang and colleagues (2022), the IPSyn-C did not increase any </w:t>
      </w:r>
      <w:r w:rsidRPr="008D6418">
        <w:rPr>
          <w:sz w:val="20"/>
          <w:szCs w:val="20"/>
        </w:rPr>
        <w:lastRenderedPageBreak/>
        <w:t xml:space="preserve">measures of reliability compared to the IPSyn for our sample. </w:t>
      </w:r>
      <w:r w:rsidR="000B6149">
        <w:rPr>
          <w:sz w:val="20"/>
          <w:szCs w:val="20"/>
        </w:rPr>
        <w:t>These results support the c</w:t>
      </w:r>
      <w:r w:rsidRPr="008D6418">
        <w:rPr>
          <w:sz w:val="20"/>
          <w:szCs w:val="20"/>
        </w:rPr>
        <w:t>ontinued use of the IPSyn, rather than the IPSyn-C,</w:t>
      </w:r>
      <w:r w:rsidR="000B6149">
        <w:rPr>
          <w:sz w:val="20"/>
          <w:szCs w:val="20"/>
        </w:rPr>
        <w:t xml:space="preserve"> which</w:t>
      </w:r>
      <w:r w:rsidRPr="008D6418">
        <w:rPr>
          <w:sz w:val="20"/>
          <w:szCs w:val="20"/>
        </w:rPr>
        <w:t xml:space="preserve"> will </w:t>
      </w:r>
      <w:r w:rsidR="000B6149">
        <w:rPr>
          <w:sz w:val="20"/>
          <w:szCs w:val="20"/>
        </w:rPr>
        <w:t xml:space="preserve">also </w:t>
      </w:r>
      <w:r w:rsidRPr="008D6418">
        <w:rPr>
          <w:sz w:val="20"/>
          <w:szCs w:val="20"/>
        </w:rPr>
        <w:t xml:space="preserve">permit comparison of results with the extant literature.  </w:t>
      </w:r>
    </w:p>
    <w:p w14:paraId="44753F18" w14:textId="3A1CCD2A" w:rsidR="00B509DE" w:rsidRPr="008D6418" w:rsidRDefault="008C2219" w:rsidP="00B509DE">
      <w:pPr>
        <w:rPr>
          <w:sz w:val="20"/>
          <w:szCs w:val="20"/>
        </w:rPr>
      </w:pPr>
      <w:r w:rsidRPr="008D6418">
        <w:rPr>
          <w:sz w:val="20"/>
          <w:szCs w:val="20"/>
        </w:rPr>
        <w:t>Clinically (RQ2), r</w:t>
      </w:r>
      <w:r w:rsidR="00B509DE" w:rsidRPr="008D6418">
        <w:rPr>
          <w:sz w:val="20"/>
          <w:szCs w:val="20"/>
        </w:rPr>
        <w:t>educing the required number of utterances from 100 to 50 to score the IPSyn would enable clinicians to use this tool for a wider range of DHH children and could save time. These benefits and</w:t>
      </w:r>
      <w:r w:rsidR="0047109F">
        <w:rPr>
          <w:sz w:val="20"/>
          <w:szCs w:val="20"/>
        </w:rPr>
        <w:t xml:space="preserve"> the</w:t>
      </w:r>
      <w:r w:rsidR="00B509DE" w:rsidRPr="008D6418">
        <w:rPr>
          <w:sz w:val="20"/>
          <w:szCs w:val="20"/>
        </w:rPr>
        <w:t xml:space="preserve"> increased use of standardized LSA procedures over current practices may outweigh the reduction in precision that occurs when reducing the sample length. Our results support the use of 50 utterances to score the IPSyn for total score, with caution for </w:t>
      </w:r>
      <w:r w:rsidR="0041285C">
        <w:rPr>
          <w:sz w:val="20"/>
          <w:szCs w:val="20"/>
        </w:rPr>
        <w:t xml:space="preserve">interpreting </w:t>
      </w:r>
      <w:r w:rsidR="00B509DE" w:rsidRPr="008D6418">
        <w:rPr>
          <w:sz w:val="20"/>
          <w:szCs w:val="20"/>
        </w:rPr>
        <w:t>subscale</w:t>
      </w:r>
      <w:r w:rsidR="0041285C">
        <w:rPr>
          <w:sz w:val="20"/>
          <w:szCs w:val="20"/>
        </w:rPr>
        <w:t xml:space="preserve"> </w:t>
      </w:r>
      <w:r w:rsidR="00B509DE" w:rsidRPr="008D6418">
        <w:rPr>
          <w:sz w:val="20"/>
          <w:szCs w:val="20"/>
        </w:rPr>
        <w:t>s</w:t>
      </w:r>
      <w:r w:rsidR="0041285C">
        <w:rPr>
          <w:sz w:val="20"/>
          <w:szCs w:val="20"/>
        </w:rPr>
        <w:t>cores</w:t>
      </w:r>
      <w:r w:rsidR="00B509DE" w:rsidRPr="008D6418">
        <w:rPr>
          <w:sz w:val="20"/>
          <w:szCs w:val="20"/>
        </w:rPr>
        <w:t xml:space="preserve">, especially if the alternative is to omit standardized LSA procedures. To save additional time, clinicians could score the IPSyn-C from 50 utterances. However, clinicians should consider available trainings and resources when deciding between the IPSyn and the IPSyn-C, as there are currently more resources for the IPSyn. By saving time on LSA, clinicians could collect language samples more </w:t>
      </w:r>
      <w:r w:rsidR="00E76618">
        <w:rPr>
          <w:sz w:val="20"/>
          <w:szCs w:val="20"/>
        </w:rPr>
        <w:t>frequently</w:t>
      </w:r>
      <w:r w:rsidR="00E76618" w:rsidRPr="008D6418">
        <w:rPr>
          <w:sz w:val="20"/>
          <w:szCs w:val="20"/>
        </w:rPr>
        <w:t xml:space="preserve"> </w:t>
      </w:r>
      <w:r w:rsidR="00B509DE" w:rsidRPr="008D6418">
        <w:rPr>
          <w:sz w:val="20"/>
          <w:szCs w:val="20"/>
        </w:rPr>
        <w:t>for progress monitoring and/or for more children on their caseload.</w:t>
      </w:r>
    </w:p>
    <w:p w14:paraId="08F6D539" w14:textId="44F6E44F" w:rsidR="005E379A" w:rsidRPr="008D6418" w:rsidRDefault="005E379A" w:rsidP="00701FC0">
      <w:pPr>
        <w:rPr>
          <w:i/>
          <w:iCs/>
          <w:sz w:val="20"/>
          <w:szCs w:val="20"/>
        </w:rPr>
      </w:pPr>
      <w:r w:rsidRPr="008D6418">
        <w:rPr>
          <w:sz w:val="20"/>
          <w:szCs w:val="20"/>
        </w:rPr>
        <w:t>Table 1</w:t>
      </w:r>
      <w:r w:rsidR="00AC3F63" w:rsidRPr="008D6418">
        <w:rPr>
          <w:sz w:val="20"/>
          <w:szCs w:val="20"/>
        </w:rPr>
        <w:t>.</w:t>
      </w:r>
      <w:r w:rsidR="001A5511" w:rsidRPr="008D6418">
        <w:rPr>
          <w:i/>
          <w:iCs/>
          <w:sz w:val="20"/>
          <w:szCs w:val="20"/>
        </w:rPr>
        <w:t xml:space="preserve"> Spearman’s </w:t>
      </w:r>
      <w:r w:rsidR="00D27D64" w:rsidRPr="008D6418">
        <w:rPr>
          <w:i/>
          <w:iCs/>
          <w:sz w:val="20"/>
          <w:szCs w:val="20"/>
        </w:rPr>
        <w:t>R</w:t>
      </w:r>
      <w:r w:rsidR="001A5511" w:rsidRPr="008D6418">
        <w:rPr>
          <w:i/>
          <w:iCs/>
          <w:sz w:val="20"/>
          <w:szCs w:val="20"/>
        </w:rPr>
        <w:t xml:space="preserve">ho </w:t>
      </w:r>
      <w:r w:rsidR="00BE0D21" w:rsidRPr="008D6418">
        <w:rPr>
          <w:i/>
          <w:iCs/>
          <w:sz w:val="20"/>
          <w:szCs w:val="20"/>
        </w:rPr>
        <w:t>f</w:t>
      </w:r>
      <w:r w:rsidR="001A5511" w:rsidRPr="008D6418">
        <w:rPr>
          <w:i/>
          <w:iCs/>
          <w:sz w:val="20"/>
          <w:szCs w:val="20"/>
        </w:rPr>
        <w:t xml:space="preserve">or </w:t>
      </w:r>
      <w:r w:rsidR="00BE0D21" w:rsidRPr="008D6418">
        <w:rPr>
          <w:i/>
          <w:iCs/>
          <w:sz w:val="20"/>
          <w:szCs w:val="20"/>
        </w:rPr>
        <w:t>T</w:t>
      </w:r>
      <w:r w:rsidR="006D09DA" w:rsidRPr="008D6418">
        <w:rPr>
          <w:i/>
          <w:iCs/>
          <w:sz w:val="20"/>
          <w:szCs w:val="20"/>
        </w:rPr>
        <w:t xml:space="preserve">otal </w:t>
      </w:r>
      <w:r w:rsidR="00BE0D21" w:rsidRPr="008D6418">
        <w:rPr>
          <w:i/>
          <w:iCs/>
          <w:sz w:val="20"/>
          <w:szCs w:val="20"/>
        </w:rPr>
        <w:t>S</w:t>
      </w:r>
      <w:r w:rsidR="006D09DA" w:rsidRPr="008D6418">
        <w:rPr>
          <w:i/>
          <w:iCs/>
          <w:sz w:val="20"/>
          <w:szCs w:val="20"/>
        </w:rPr>
        <w:t>cores</w:t>
      </w:r>
      <w:r w:rsidR="009B4C50">
        <w:rPr>
          <w:i/>
          <w:iCs/>
          <w:sz w:val="20"/>
          <w:szCs w:val="20"/>
        </w:rPr>
        <w:t xml:space="preserve"> and Subscale</w:t>
      </w:r>
      <w:r w:rsidR="00515FBB">
        <w:rPr>
          <w:i/>
          <w:iCs/>
          <w:sz w:val="20"/>
          <w:szCs w:val="20"/>
        </w:rPr>
        <w:t xml:space="preserve"> Scores</w:t>
      </w:r>
    </w:p>
    <w:tbl>
      <w:tblPr>
        <w:tblW w:w="9990" w:type="dxa"/>
        <w:tblLayout w:type="fixed"/>
        <w:tblLook w:val="04A0" w:firstRow="1" w:lastRow="0" w:firstColumn="1" w:lastColumn="0" w:noHBand="0" w:noVBand="1"/>
      </w:tblPr>
      <w:tblGrid>
        <w:gridCol w:w="4320"/>
        <w:gridCol w:w="1170"/>
        <w:gridCol w:w="1440"/>
        <w:gridCol w:w="270"/>
        <w:gridCol w:w="1260"/>
        <w:gridCol w:w="1530"/>
      </w:tblGrid>
      <w:tr w:rsidR="00120336" w:rsidRPr="008D6418" w14:paraId="6B229C72" w14:textId="77777777" w:rsidTr="00120336">
        <w:trPr>
          <w:trHeight w:val="293"/>
        </w:trPr>
        <w:tc>
          <w:tcPr>
            <w:tcW w:w="4320" w:type="dxa"/>
            <w:vMerge w:val="restart"/>
            <w:tcBorders>
              <w:top w:val="single" w:sz="4" w:space="0" w:color="auto"/>
              <w:left w:val="nil"/>
              <w:bottom w:val="single" w:sz="4" w:space="0" w:color="auto"/>
              <w:right w:val="nil"/>
            </w:tcBorders>
            <w:shd w:val="clear" w:color="auto" w:fill="auto"/>
            <w:vAlign w:val="bottom"/>
            <w:hideMark/>
          </w:tcPr>
          <w:p w14:paraId="0CDAF7B5"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Sample</w:t>
            </w:r>
          </w:p>
        </w:tc>
        <w:tc>
          <w:tcPr>
            <w:tcW w:w="2610" w:type="dxa"/>
            <w:gridSpan w:val="2"/>
            <w:tcBorders>
              <w:top w:val="single" w:sz="4" w:space="0" w:color="auto"/>
              <w:left w:val="nil"/>
              <w:bottom w:val="single" w:sz="4" w:space="0" w:color="auto"/>
              <w:right w:val="nil"/>
            </w:tcBorders>
            <w:shd w:val="clear" w:color="auto" w:fill="auto"/>
            <w:vAlign w:val="center"/>
            <w:hideMark/>
          </w:tcPr>
          <w:p w14:paraId="475D8ED4"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IPSyn</w:t>
            </w:r>
          </w:p>
        </w:tc>
        <w:tc>
          <w:tcPr>
            <w:tcW w:w="270" w:type="dxa"/>
            <w:tcBorders>
              <w:top w:val="single" w:sz="4" w:space="0" w:color="auto"/>
              <w:left w:val="nil"/>
              <w:right w:val="nil"/>
            </w:tcBorders>
          </w:tcPr>
          <w:p w14:paraId="6B3D3E12" w14:textId="77777777" w:rsidR="00D94B7F" w:rsidRPr="008D6418" w:rsidRDefault="00D94B7F" w:rsidP="0060675D">
            <w:pPr>
              <w:spacing w:after="0" w:line="240" w:lineRule="auto"/>
              <w:jc w:val="center"/>
              <w:rPr>
                <w:rFonts w:eastAsia="Times New Roman" w:cs="Times New Roman"/>
                <w:sz w:val="20"/>
                <w:szCs w:val="20"/>
              </w:rPr>
            </w:pPr>
          </w:p>
        </w:tc>
        <w:tc>
          <w:tcPr>
            <w:tcW w:w="2790" w:type="dxa"/>
            <w:gridSpan w:val="2"/>
            <w:tcBorders>
              <w:top w:val="single" w:sz="4" w:space="0" w:color="auto"/>
              <w:left w:val="nil"/>
              <w:bottom w:val="single" w:sz="4" w:space="0" w:color="auto"/>
              <w:right w:val="nil"/>
            </w:tcBorders>
            <w:shd w:val="clear" w:color="auto" w:fill="auto"/>
            <w:vAlign w:val="center"/>
            <w:hideMark/>
          </w:tcPr>
          <w:p w14:paraId="27831753"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IPSyn-C</w:t>
            </w:r>
          </w:p>
        </w:tc>
      </w:tr>
      <w:tr w:rsidR="00962271" w:rsidRPr="008D6418" w14:paraId="09963850" w14:textId="77777777" w:rsidTr="0098642E">
        <w:trPr>
          <w:trHeight w:val="355"/>
        </w:trPr>
        <w:tc>
          <w:tcPr>
            <w:tcW w:w="4320" w:type="dxa"/>
            <w:vMerge/>
            <w:tcBorders>
              <w:top w:val="nil"/>
              <w:left w:val="nil"/>
              <w:bottom w:val="single" w:sz="4" w:space="0" w:color="auto"/>
              <w:right w:val="nil"/>
            </w:tcBorders>
            <w:vAlign w:val="center"/>
            <w:hideMark/>
          </w:tcPr>
          <w:p w14:paraId="29D8C4B1" w14:textId="77777777" w:rsidR="00D94B7F" w:rsidRPr="008D6418" w:rsidRDefault="00D94B7F" w:rsidP="0060675D">
            <w:pPr>
              <w:spacing w:after="0" w:line="240" w:lineRule="auto"/>
              <w:rPr>
                <w:rFonts w:eastAsia="Times New Roman" w:cs="Times New Roman"/>
                <w:sz w:val="20"/>
                <w:szCs w:val="20"/>
              </w:rPr>
            </w:pPr>
          </w:p>
        </w:tc>
        <w:tc>
          <w:tcPr>
            <w:tcW w:w="1170" w:type="dxa"/>
            <w:tcBorders>
              <w:top w:val="single" w:sz="4" w:space="0" w:color="auto"/>
              <w:left w:val="nil"/>
              <w:bottom w:val="single" w:sz="4" w:space="0" w:color="auto"/>
              <w:right w:val="nil"/>
            </w:tcBorders>
            <w:shd w:val="clear" w:color="auto" w:fill="auto"/>
            <w:vAlign w:val="center"/>
            <w:hideMark/>
          </w:tcPr>
          <w:p w14:paraId="7BFE76C4"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Play</w:t>
            </w:r>
          </w:p>
        </w:tc>
        <w:tc>
          <w:tcPr>
            <w:tcW w:w="1440" w:type="dxa"/>
            <w:tcBorders>
              <w:top w:val="single" w:sz="4" w:space="0" w:color="auto"/>
              <w:left w:val="nil"/>
              <w:bottom w:val="single" w:sz="4" w:space="0" w:color="auto"/>
              <w:right w:val="nil"/>
            </w:tcBorders>
            <w:shd w:val="clear" w:color="auto" w:fill="auto"/>
            <w:vAlign w:val="center"/>
            <w:hideMark/>
          </w:tcPr>
          <w:p w14:paraId="6C1F2D71"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Conversation</w:t>
            </w:r>
          </w:p>
        </w:tc>
        <w:tc>
          <w:tcPr>
            <w:tcW w:w="270" w:type="dxa"/>
            <w:tcBorders>
              <w:left w:val="nil"/>
              <w:bottom w:val="single" w:sz="4" w:space="0" w:color="auto"/>
              <w:right w:val="nil"/>
            </w:tcBorders>
          </w:tcPr>
          <w:p w14:paraId="031F4C27" w14:textId="77777777" w:rsidR="00D94B7F" w:rsidRPr="008D6418" w:rsidRDefault="00D94B7F" w:rsidP="0060675D">
            <w:pPr>
              <w:spacing w:after="0" w:line="240" w:lineRule="auto"/>
              <w:jc w:val="center"/>
              <w:rPr>
                <w:rFonts w:eastAsia="Times New Roman" w:cs="Times New Roman"/>
                <w:sz w:val="20"/>
                <w:szCs w:val="20"/>
              </w:rPr>
            </w:pPr>
          </w:p>
        </w:tc>
        <w:tc>
          <w:tcPr>
            <w:tcW w:w="1260" w:type="dxa"/>
            <w:tcBorders>
              <w:top w:val="single" w:sz="4" w:space="0" w:color="auto"/>
              <w:left w:val="nil"/>
              <w:bottom w:val="single" w:sz="4" w:space="0" w:color="auto"/>
              <w:right w:val="nil"/>
            </w:tcBorders>
            <w:shd w:val="clear" w:color="auto" w:fill="auto"/>
            <w:vAlign w:val="center"/>
            <w:hideMark/>
          </w:tcPr>
          <w:p w14:paraId="62B930A2"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Play</w:t>
            </w:r>
          </w:p>
        </w:tc>
        <w:tc>
          <w:tcPr>
            <w:tcW w:w="1530" w:type="dxa"/>
            <w:tcBorders>
              <w:top w:val="single" w:sz="4" w:space="0" w:color="auto"/>
              <w:left w:val="nil"/>
              <w:bottom w:val="single" w:sz="4" w:space="0" w:color="auto"/>
              <w:right w:val="nil"/>
            </w:tcBorders>
            <w:shd w:val="clear" w:color="auto" w:fill="auto"/>
            <w:vAlign w:val="center"/>
            <w:hideMark/>
          </w:tcPr>
          <w:p w14:paraId="758BA718" w14:textId="77777777"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Conversation</w:t>
            </w:r>
          </w:p>
        </w:tc>
      </w:tr>
      <w:tr w:rsidR="00962271" w:rsidRPr="008D6418" w14:paraId="51BEC08E" w14:textId="77777777" w:rsidTr="0098642E">
        <w:trPr>
          <w:trHeight w:val="355"/>
        </w:trPr>
        <w:tc>
          <w:tcPr>
            <w:tcW w:w="4320" w:type="dxa"/>
            <w:tcBorders>
              <w:top w:val="single" w:sz="4" w:space="0" w:color="auto"/>
              <w:left w:val="nil"/>
              <w:right w:val="nil"/>
            </w:tcBorders>
            <w:shd w:val="clear" w:color="auto" w:fill="auto"/>
            <w:vAlign w:val="center"/>
            <w:hideMark/>
          </w:tcPr>
          <w:p w14:paraId="62FAFA73" w14:textId="53D14A5B" w:rsidR="00D94B7F" w:rsidRPr="008D6418" w:rsidRDefault="00D94B7F" w:rsidP="0060675D">
            <w:pPr>
              <w:spacing w:after="0" w:line="240" w:lineRule="auto"/>
              <w:rPr>
                <w:rFonts w:eastAsia="Times New Roman" w:cs="Times New Roman"/>
                <w:sz w:val="20"/>
                <w:szCs w:val="20"/>
              </w:rPr>
            </w:pPr>
            <w:r w:rsidRPr="008D6418">
              <w:rPr>
                <w:rFonts w:eastAsia="Times New Roman" w:cs="Times New Roman"/>
                <w:sz w:val="20"/>
                <w:szCs w:val="20"/>
              </w:rPr>
              <w:t xml:space="preserve">First 50 vs 100 Utterances </w:t>
            </w:r>
            <w:r w:rsidR="00B4286B">
              <w:rPr>
                <w:rFonts w:eastAsia="Times New Roman" w:cs="Times New Roman"/>
                <w:sz w:val="20"/>
                <w:szCs w:val="20"/>
              </w:rPr>
              <w:t>– Total Score</w:t>
            </w:r>
          </w:p>
        </w:tc>
        <w:tc>
          <w:tcPr>
            <w:tcW w:w="1170" w:type="dxa"/>
            <w:tcBorders>
              <w:top w:val="single" w:sz="4" w:space="0" w:color="auto"/>
              <w:left w:val="nil"/>
              <w:right w:val="nil"/>
            </w:tcBorders>
            <w:shd w:val="clear" w:color="auto" w:fill="auto"/>
            <w:vAlign w:val="center"/>
            <w:hideMark/>
          </w:tcPr>
          <w:p w14:paraId="5167001E" w14:textId="1F1E60EC" w:rsidR="00D94B7F" w:rsidRPr="008D6418" w:rsidRDefault="00D94B7F" w:rsidP="0060675D">
            <w:pPr>
              <w:spacing w:after="0" w:line="240" w:lineRule="auto"/>
              <w:jc w:val="center"/>
              <w:rPr>
                <w:rFonts w:eastAsia="Times New Roman" w:cs="Times New Roman"/>
                <w:sz w:val="20"/>
                <w:szCs w:val="20"/>
              </w:rPr>
            </w:pPr>
            <w:r w:rsidRPr="008D6418">
              <w:rPr>
                <w:rFonts w:eastAsia="Times New Roman" w:cs="Times New Roman"/>
                <w:sz w:val="20"/>
                <w:szCs w:val="20"/>
              </w:rPr>
              <w:t>.93</w:t>
            </w:r>
          </w:p>
        </w:tc>
        <w:tc>
          <w:tcPr>
            <w:tcW w:w="1440" w:type="dxa"/>
            <w:tcBorders>
              <w:top w:val="single" w:sz="4" w:space="0" w:color="auto"/>
              <w:left w:val="nil"/>
              <w:right w:val="nil"/>
            </w:tcBorders>
            <w:shd w:val="clear" w:color="auto" w:fill="auto"/>
            <w:vAlign w:val="center"/>
            <w:hideMark/>
          </w:tcPr>
          <w:p w14:paraId="777C5FC7" w14:textId="6B790BBB"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87</w:t>
            </w:r>
          </w:p>
        </w:tc>
        <w:tc>
          <w:tcPr>
            <w:tcW w:w="270" w:type="dxa"/>
            <w:tcBorders>
              <w:top w:val="single" w:sz="4" w:space="0" w:color="auto"/>
              <w:left w:val="nil"/>
              <w:right w:val="nil"/>
            </w:tcBorders>
          </w:tcPr>
          <w:p w14:paraId="7973502C" w14:textId="77777777" w:rsidR="00D94B7F" w:rsidRPr="008D6418" w:rsidRDefault="00D94B7F" w:rsidP="0060675D">
            <w:pPr>
              <w:spacing w:after="0" w:line="240" w:lineRule="auto"/>
              <w:jc w:val="center"/>
              <w:rPr>
                <w:rFonts w:eastAsia="Times New Roman" w:cs="Times New Roman"/>
                <w:sz w:val="20"/>
                <w:szCs w:val="20"/>
              </w:rPr>
            </w:pPr>
          </w:p>
        </w:tc>
        <w:tc>
          <w:tcPr>
            <w:tcW w:w="1260" w:type="dxa"/>
            <w:tcBorders>
              <w:top w:val="single" w:sz="4" w:space="0" w:color="auto"/>
              <w:left w:val="nil"/>
              <w:right w:val="nil"/>
            </w:tcBorders>
            <w:shd w:val="clear" w:color="auto" w:fill="auto"/>
            <w:vAlign w:val="center"/>
            <w:hideMark/>
          </w:tcPr>
          <w:p w14:paraId="57D7A3FD" w14:textId="1DC40883"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91</w:t>
            </w:r>
          </w:p>
        </w:tc>
        <w:tc>
          <w:tcPr>
            <w:tcW w:w="1530" w:type="dxa"/>
            <w:tcBorders>
              <w:top w:val="single" w:sz="4" w:space="0" w:color="auto"/>
              <w:left w:val="nil"/>
              <w:right w:val="nil"/>
            </w:tcBorders>
            <w:shd w:val="clear" w:color="auto" w:fill="auto"/>
            <w:vAlign w:val="center"/>
            <w:hideMark/>
          </w:tcPr>
          <w:p w14:paraId="06BB126E" w14:textId="04873B92"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80</w:t>
            </w:r>
          </w:p>
        </w:tc>
      </w:tr>
      <w:tr w:rsidR="00962271" w:rsidRPr="008D6418" w14:paraId="2041CED1" w14:textId="77777777" w:rsidTr="0098642E">
        <w:trPr>
          <w:trHeight w:val="355"/>
        </w:trPr>
        <w:tc>
          <w:tcPr>
            <w:tcW w:w="4320" w:type="dxa"/>
            <w:tcBorders>
              <w:left w:val="nil"/>
              <w:bottom w:val="nil"/>
              <w:right w:val="nil"/>
            </w:tcBorders>
            <w:shd w:val="clear" w:color="auto" w:fill="auto"/>
            <w:vAlign w:val="center"/>
          </w:tcPr>
          <w:p w14:paraId="21047A83" w14:textId="30917562" w:rsidR="00EB2CFB" w:rsidRPr="008D6418" w:rsidRDefault="00515595" w:rsidP="0060675D">
            <w:pPr>
              <w:spacing w:after="0" w:line="240" w:lineRule="auto"/>
              <w:rPr>
                <w:rFonts w:eastAsia="Times New Roman" w:cs="Times New Roman"/>
                <w:sz w:val="20"/>
                <w:szCs w:val="20"/>
              </w:rPr>
            </w:pPr>
            <w:r>
              <w:rPr>
                <w:rFonts w:eastAsia="Times New Roman" w:cs="Times New Roman"/>
                <w:sz w:val="20"/>
                <w:szCs w:val="20"/>
              </w:rPr>
              <w:t xml:space="preserve">                     Subscale Ranges</w:t>
            </w:r>
          </w:p>
        </w:tc>
        <w:tc>
          <w:tcPr>
            <w:tcW w:w="1170" w:type="dxa"/>
            <w:tcBorders>
              <w:left w:val="nil"/>
              <w:bottom w:val="nil"/>
              <w:right w:val="nil"/>
            </w:tcBorders>
            <w:shd w:val="clear" w:color="auto" w:fill="auto"/>
            <w:vAlign w:val="center"/>
          </w:tcPr>
          <w:p w14:paraId="43DCA8CA" w14:textId="5305096F" w:rsidR="00EB2CFB" w:rsidRPr="008D6418" w:rsidRDefault="00FC12AB" w:rsidP="0060675D">
            <w:pPr>
              <w:spacing w:after="0" w:line="240" w:lineRule="auto"/>
              <w:jc w:val="center"/>
              <w:rPr>
                <w:rFonts w:eastAsia="Times New Roman" w:cs="Times New Roman"/>
                <w:sz w:val="20"/>
                <w:szCs w:val="20"/>
              </w:rPr>
            </w:pPr>
            <w:r>
              <w:rPr>
                <w:rFonts w:eastAsia="Times New Roman" w:cs="Times New Roman"/>
                <w:sz w:val="20"/>
                <w:szCs w:val="20"/>
              </w:rPr>
              <w:t>.</w:t>
            </w:r>
            <w:r w:rsidR="00776C9E">
              <w:rPr>
                <w:rFonts w:eastAsia="Times New Roman" w:cs="Times New Roman"/>
                <w:sz w:val="20"/>
                <w:szCs w:val="20"/>
              </w:rPr>
              <w:t xml:space="preserve">85 </w:t>
            </w:r>
            <w:r w:rsidR="001C4AEB">
              <w:rPr>
                <w:rFonts w:eastAsia="Times New Roman" w:cs="Times New Roman"/>
                <w:sz w:val="20"/>
                <w:szCs w:val="20"/>
              </w:rPr>
              <w:t xml:space="preserve">– </w:t>
            </w:r>
            <w:r w:rsidR="00776C9E">
              <w:rPr>
                <w:rFonts w:eastAsia="Times New Roman" w:cs="Times New Roman"/>
                <w:sz w:val="20"/>
                <w:szCs w:val="20"/>
              </w:rPr>
              <w:t>.92</w:t>
            </w:r>
          </w:p>
        </w:tc>
        <w:tc>
          <w:tcPr>
            <w:tcW w:w="1440" w:type="dxa"/>
            <w:tcBorders>
              <w:left w:val="nil"/>
              <w:bottom w:val="nil"/>
              <w:right w:val="nil"/>
            </w:tcBorders>
            <w:shd w:val="clear" w:color="auto" w:fill="auto"/>
            <w:vAlign w:val="center"/>
          </w:tcPr>
          <w:p w14:paraId="034425E1" w14:textId="0347C66A" w:rsidR="00EB2CFB" w:rsidRPr="008D6418" w:rsidRDefault="00711208" w:rsidP="0060675D">
            <w:pPr>
              <w:spacing w:after="0" w:line="240" w:lineRule="auto"/>
              <w:jc w:val="center"/>
              <w:rPr>
                <w:rFonts w:eastAsia="Times New Roman" w:cs="Times New Roman"/>
                <w:sz w:val="20"/>
                <w:szCs w:val="20"/>
              </w:rPr>
            </w:pPr>
            <w:r>
              <w:rPr>
                <w:rFonts w:eastAsia="Times New Roman" w:cs="Times New Roman"/>
                <w:sz w:val="20"/>
                <w:szCs w:val="20"/>
              </w:rPr>
              <w:t xml:space="preserve">.73 </w:t>
            </w:r>
            <w:r w:rsidR="001C4AEB">
              <w:rPr>
                <w:rFonts w:eastAsia="Times New Roman" w:cs="Times New Roman"/>
                <w:sz w:val="20"/>
                <w:szCs w:val="20"/>
              </w:rPr>
              <w:t xml:space="preserve">– </w:t>
            </w:r>
            <w:r>
              <w:rPr>
                <w:rFonts w:eastAsia="Times New Roman" w:cs="Times New Roman"/>
                <w:sz w:val="20"/>
                <w:szCs w:val="20"/>
              </w:rPr>
              <w:t>.91</w:t>
            </w:r>
          </w:p>
        </w:tc>
        <w:tc>
          <w:tcPr>
            <w:tcW w:w="270" w:type="dxa"/>
            <w:tcBorders>
              <w:left w:val="nil"/>
              <w:bottom w:val="nil"/>
              <w:right w:val="nil"/>
            </w:tcBorders>
          </w:tcPr>
          <w:p w14:paraId="686DC9B4" w14:textId="77777777" w:rsidR="00EB2CFB" w:rsidRPr="008D6418" w:rsidRDefault="00EB2CFB" w:rsidP="0060675D">
            <w:pPr>
              <w:spacing w:after="0" w:line="240" w:lineRule="auto"/>
              <w:jc w:val="center"/>
              <w:rPr>
                <w:rFonts w:eastAsia="Times New Roman" w:cs="Times New Roman"/>
                <w:sz w:val="20"/>
                <w:szCs w:val="20"/>
              </w:rPr>
            </w:pPr>
          </w:p>
        </w:tc>
        <w:tc>
          <w:tcPr>
            <w:tcW w:w="1260" w:type="dxa"/>
            <w:tcBorders>
              <w:left w:val="nil"/>
              <w:bottom w:val="nil"/>
              <w:right w:val="nil"/>
            </w:tcBorders>
            <w:shd w:val="clear" w:color="auto" w:fill="auto"/>
            <w:vAlign w:val="center"/>
          </w:tcPr>
          <w:p w14:paraId="56DFFB99" w14:textId="739370E0" w:rsidR="00EB2CFB" w:rsidRPr="008D6418" w:rsidRDefault="00776C9E" w:rsidP="0060675D">
            <w:pPr>
              <w:spacing w:after="0" w:line="240" w:lineRule="auto"/>
              <w:jc w:val="center"/>
              <w:rPr>
                <w:rFonts w:eastAsia="Times New Roman" w:cs="Times New Roman"/>
                <w:sz w:val="20"/>
                <w:szCs w:val="20"/>
              </w:rPr>
            </w:pPr>
            <w:r>
              <w:rPr>
                <w:rFonts w:eastAsia="Times New Roman" w:cs="Times New Roman"/>
                <w:sz w:val="20"/>
                <w:szCs w:val="20"/>
              </w:rPr>
              <w:t xml:space="preserve">.69 </w:t>
            </w:r>
            <w:r w:rsidR="001C4AEB">
              <w:rPr>
                <w:rFonts w:eastAsia="Times New Roman" w:cs="Times New Roman"/>
                <w:sz w:val="20"/>
                <w:szCs w:val="20"/>
              </w:rPr>
              <w:t>–</w:t>
            </w:r>
            <w:r>
              <w:rPr>
                <w:rFonts w:eastAsia="Times New Roman" w:cs="Times New Roman"/>
                <w:sz w:val="20"/>
                <w:szCs w:val="20"/>
              </w:rPr>
              <w:t xml:space="preserve"> </w:t>
            </w:r>
            <w:r w:rsidR="00B501EF">
              <w:rPr>
                <w:rFonts w:eastAsia="Times New Roman" w:cs="Times New Roman"/>
                <w:sz w:val="20"/>
                <w:szCs w:val="20"/>
              </w:rPr>
              <w:t>.93</w:t>
            </w:r>
          </w:p>
        </w:tc>
        <w:tc>
          <w:tcPr>
            <w:tcW w:w="1530" w:type="dxa"/>
            <w:tcBorders>
              <w:left w:val="nil"/>
              <w:bottom w:val="nil"/>
              <w:right w:val="nil"/>
            </w:tcBorders>
            <w:shd w:val="clear" w:color="auto" w:fill="auto"/>
            <w:vAlign w:val="center"/>
          </w:tcPr>
          <w:p w14:paraId="69C3FB10" w14:textId="7A5E2D32" w:rsidR="00EB2CFB" w:rsidRPr="008D6418" w:rsidRDefault="00B501EF" w:rsidP="0060675D">
            <w:pPr>
              <w:spacing w:after="0" w:line="240" w:lineRule="auto"/>
              <w:jc w:val="center"/>
              <w:rPr>
                <w:rFonts w:eastAsia="Times New Roman" w:cs="Times New Roman"/>
                <w:sz w:val="20"/>
                <w:szCs w:val="20"/>
              </w:rPr>
            </w:pPr>
            <w:r>
              <w:rPr>
                <w:rFonts w:eastAsia="Times New Roman" w:cs="Times New Roman"/>
                <w:sz w:val="20"/>
                <w:szCs w:val="20"/>
              </w:rPr>
              <w:t xml:space="preserve">.69 </w:t>
            </w:r>
            <w:r w:rsidR="001C4AEB">
              <w:rPr>
                <w:rFonts w:eastAsia="Times New Roman" w:cs="Times New Roman"/>
                <w:sz w:val="20"/>
                <w:szCs w:val="20"/>
              </w:rPr>
              <w:t xml:space="preserve">– </w:t>
            </w:r>
            <w:r>
              <w:rPr>
                <w:rFonts w:eastAsia="Times New Roman" w:cs="Times New Roman"/>
                <w:sz w:val="20"/>
                <w:szCs w:val="20"/>
              </w:rPr>
              <w:t>.85</w:t>
            </w:r>
          </w:p>
        </w:tc>
      </w:tr>
      <w:tr w:rsidR="00962271" w:rsidRPr="008D6418" w14:paraId="6CA2FF3B" w14:textId="77777777" w:rsidTr="0098642E">
        <w:trPr>
          <w:trHeight w:val="355"/>
        </w:trPr>
        <w:tc>
          <w:tcPr>
            <w:tcW w:w="4320" w:type="dxa"/>
            <w:tcBorders>
              <w:top w:val="nil"/>
              <w:left w:val="nil"/>
              <w:right w:val="nil"/>
            </w:tcBorders>
            <w:shd w:val="clear" w:color="auto" w:fill="auto"/>
            <w:vAlign w:val="center"/>
            <w:hideMark/>
          </w:tcPr>
          <w:p w14:paraId="1DEDE313" w14:textId="09F8D69F" w:rsidR="00D94B7F" w:rsidRPr="008D6418" w:rsidRDefault="00D94B7F" w:rsidP="0060675D">
            <w:pPr>
              <w:spacing w:after="0" w:line="240" w:lineRule="auto"/>
              <w:rPr>
                <w:rFonts w:eastAsia="Times New Roman" w:cs="Times New Roman"/>
                <w:sz w:val="20"/>
                <w:szCs w:val="20"/>
              </w:rPr>
            </w:pPr>
            <w:r w:rsidRPr="008D6418">
              <w:rPr>
                <w:rFonts w:eastAsia="Times New Roman" w:cs="Times New Roman"/>
                <w:sz w:val="20"/>
                <w:szCs w:val="20"/>
              </w:rPr>
              <w:t>Second 50 vs 100 Utterances</w:t>
            </w:r>
            <w:r w:rsidR="00515595">
              <w:rPr>
                <w:rFonts w:eastAsia="Times New Roman" w:cs="Times New Roman"/>
                <w:sz w:val="20"/>
                <w:szCs w:val="20"/>
              </w:rPr>
              <w:t xml:space="preserve"> – Total Score</w:t>
            </w:r>
          </w:p>
        </w:tc>
        <w:tc>
          <w:tcPr>
            <w:tcW w:w="1170" w:type="dxa"/>
            <w:tcBorders>
              <w:top w:val="nil"/>
              <w:left w:val="nil"/>
              <w:right w:val="nil"/>
            </w:tcBorders>
            <w:shd w:val="clear" w:color="auto" w:fill="auto"/>
            <w:vAlign w:val="center"/>
            <w:hideMark/>
          </w:tcPr>
          <w:p w14:paraId="4A2D216D" w14:textId="2A4E4431"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93</w:t>
            </w:r>
          </w:p>
        </w:tc>
        <w:tc>
          <w:tcPr>
            <w:tcW w:w="1440" w:type="dxa"/>
            <w:tcBorders>
              <w:top w:val="nil"/>
              <w:left w:val="nil"/>
              <w:right w:val="nil"/>
            </w:tcBorders>
            <w:shd w:val="clear" w:color="auto" w:fill="auto"/>
            <w:vAlign w:val="center"/>
            <w:hideMark/>
          </w:tcPr>
          <w:p w14:paraId="40681E0D" w14:textId="179AC8A5"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84</w:t>
            </w:r>
          </w:p>
        </w:tc>
        <w:tc>
          <w:tcPr>
            <w:tcW w:w="270" w:type="dxa"/>
            <w:tcBorders>
              <w:top w:val="nil"/>
              <w:left w:val="nil"/>
              <w:right w:val="nil"/>
            </w:tcBorders>
          </w:tcPr>
          <w:p w14:paraId="7555AF30" w14:textId="77777777" w:rsidR="00D94B7F" w:rsidRPr="008D6418" w:rsidRDefault="00D94B7F" w:rsidP="0060675D">
            <w:pPr>
              <w:spacing w:after="0" w:line="240" w:lineRule="auto"/>
              <w:jc w:val="center"/>
              <w:rPr>
                <w:rFonts w:eastAsia="Times New Roman" w:cs="Times New Roman"/>
                <w:sz w:val="20"/>
                <w:szCs w:val="20"/>
              </w:rPr>
            </w:pPr>
          </w:p>
        </w:tc>
        <w:tc>
          <w:tcPr>
            <w:tcW w:w="1260" w:type="dxa"/>
            <w:tcBorders>
              <w:top w:val="nil"/>
              <w:left w:val="nil"/>
              <w:right w:val="nil"/>
            </w:tcBorders>
            <w:shd w:val="clear" w:color="auto" w:fill="auto"/>
            <w:vAlign w:val="center"/>
            <w:hideMark/>
          </w:tcPr>
          <w:p w14:paraId="732EB5CD" w14:textId="2810284D"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94</w:t>
            </w:r>
          </w:p>
        </w:tc>
        <w:tc>
          <w:tcPr>
            <w:tcW w:w="1530" w:type="dxa"/>
            <w:tcBorders>
              <w:top w:val="nil"/>
              <w:left w:val="nil"/>
              <w:right w:val="nil"/>
            </w:tcBorders>
            <w:shd w:val="clear" w:color="auto" w:fill="auto"/>
            <w:vAlign w:val="center"/>
            <w:hideMark/>
          </w:tcPr>
          <w:p w14:paraId="620172EE" w14:textId="0EE6DAF5" w:rsidR="00D94B7F" w:rsidRPr="008D6418" w:rsidRDefault="006A7D7B" w:rsidP="0060675D">
            <w:pPr>
              <w:spacing w:after="0" w:line="240" w:lineRule="auto"/>
              <w:jc w:val="center"/>
              <w:rPr>
                <w:rFonts w:eastAsia="Times New Roman" w:cs="Times New Roman"/>
                <w:sz w:val="20"/>
                <w:szCs w:val="20"/>
              </w:rPr>
            </w:pPr>
            <w:r>
              <w:rPr>
                <w:rFonts w:eastAsia="Times New Roman" w:cs="Times New Roman"/>
                <w:sz w:val="20"/>
                <w:szCs w:val="20"/>
              </w:rPr>
              <w:t>.</w:t>
            </w:r>
            <w:r w:rsidR="00D94B7F" w:rsidRPr="008D6418">
              <w:rPr>
                <w:rFonts w:eastAsia="Times New Roman" w:cs="Times New Roman"/>
                <w:sz w:val="20"/>
                <w:szCs w:val="20"/>
              </w:rPr>
              <w:t>75</w:t>
            </w:r>
          </w:p>
        </w:tc>
      </w:tr>
      <w:tr w:rsidR="00962271" w:rsidRPr="008D6418" w14:paraId="418768C2" w14:textId="77777777" w:rsidTr="0098642E">
        <w:trPr>
          <w:trHeight w:val="355"/>
        </w:trPr>
        <w:tc>
          <w:tcPr>
            <w:tcW w:w="4320" w:type="dxa"/>
            <w:tcBorders>
              <w:top w:val="nil"/>
              <w:left w:val="nil"/>
              <w:right w:val="nil"/>
            </w:tcBorders>
            <w:shd w:val="clear" w:color="auto" w:fill="auto"/>
            <w:vAlign w:val="center"/>
          </w:tcPr>
          <w:p w14:paraId="122E1C0F" w14:textId="3A2BE8CE" w:rsidR="00304A53" w:rsidRPr="008D6418" w:rsidRDefault="00304A53" w:rsidP="00304A53">
            <w:pPr>
              <w:spacing w:after="0" w:line="240" w:lineRule="auto"/>
              <w:rPr>
                <w:rFonts w:eastAsia="Times New Roman" w:cs="Times New Roman"/>
                <w:sz w:val="20"/>
                <w:szCs w:val="20"/>
              </w:rPr>
            </w:pPr>
            <w:r>
              <w:rPr>
                <w:rFonts w:eastAsia="Times New Roman" w:cs="Times New Roman"/>
                <w:sz w:val="20"/>
                <w:szCs w:val="20"/>
              </w:rPr>
              <w:t xml:space="preserve">                     Subscale Ranges</w:t>
            </w:r>
          </w:p>
        </w:tc>
        <w:tc>
          <w:tcPr>
            <w:tcW w:w="1170" w:type="dxa"/>
            <w:tcBorders>
              <w:top w:val="nil"/>
              <w:left w:val="nil"/>
              <w:right w:val="nil"/>
            </w:tcBorders>
            <w:shd w:val="clear" w:color="auto" w:fill="auto"/>
            <w:vAlign w:val="center"/>
          </w:tcPr>
          <w:p w14:paraId="0DF713D7" w14:textId="496A9955" w:rsidR="00304A53" w:rsidRPr="008D6418" w:rsidRDefault="00E82BAB" w:rsidP="00304A53">
            <w:pPr>
              <w:spacing w:after="0" w:line="240" w:lineRule="auto"/>
              <w:jc w:val="center"/>
              <w:rPr>
                <w:rFonts w:eastAsia="Times New Roman" w:cs="Times New Roman"/>
                <w:sz w:val="20"/>
                <w:szCs w:val="20"/>
              </w:rPr>
            </w:pPr>
            <w:r>
              <w:rPr>
                <w:rFonts w:eastAsia="Times New Roman" w:cs="Times New Roman"/>
                <w:sz w:val="20"/>
                <w:szCs w:val="20"/>
              </w:rPr>
              <w:t xml:space="preserve">.77 </w:t>
            </w:r>
            <w:r w:rsidR="001C4AEB">
              <w:rPr>
                <w:rFonts w:eastAsia="Times New Roman" w:cs="Times New Roman"/>
                <w:sz w:val="20"/>
                <w:szCs w:val="20"/>
              </w:rPr>
              <w:t xml:space="preserve">– </w:t>
            </w:r>
            <w:r w:rsidR="00C066D4">
              <w:rPr>
                <w:rFonts w:eastAsia="Times New Roman" w:cs="Times New Roman"/>
                <w:sz w:val="20"/>
                <w:szCs w:val="20"/>
              </w:rPr>
              <w:t>.94</w:t>
            </w:r>
          </w:p>
        </w:tc>
        <w:tc>
          <w:tcPr>
            <w:tcW w:w="1440" w:type="dxa"/>
            <w:tcBorders>
              <w:top w:val="nil"/>
              <w:left w:val="nil"/>
              <w:right w:val="nil"/>
            </w:tcBorders>
            <w:shd w:val="clear" w:color="auto" w:fill="auto"/>
            <w:vAlign w:val="center"/>
          </w:tcPr>
          <w:p w14:paraId="5AC0CEE9" w14:textId="198931CA" w:rsidR="00304A53" w:rsidRPr="008D6418" w:rsidRDefault="00BA141D" w:rsidP="00304A53">
            <w:pPr>
              <w:spacing w:after="0" w:line="240" w:lineRule="auto"/>
              <w:jc w:val="center"/>
              <w:rPr>
                <w:rFonts w:eastAsia="Times New Roman" w:cs="Times New Roman"/>
                <w:sz w:val="20"/>
                <w:szCs w:val="20"/>
              </w:rPr>
            </w:pPr>
            <w:r>
              <w:rPr>
                <w:rFonts w:eastAsia="Times New Roman" w:cs="Times New Roman"/>
                <w:sz w:val="20"/>
                <w:szCs w:val="20"/>
              </w:rPr>
              <w:t xml:space="preserve">.45 </w:t>
            </w:r>
            <w:r w:rsidR="001C4AEB">
              <w:rPr>
                <w:rFonts w:eastAsia="Times New Roman" w:cs="Times New Roman"/>
                <w:sz w:val="20"/>
                <w:szCs w:val="20"/>
              </w:rPr>
              <w:t xml:space="preserve">– </w:t>
            </w:r>
            <w:r w:rsidR="00471E19">
              <w:rPr>
                <w:rFonts w:eastAsia="Times New Roman" w:cs="Times New Roman"/>
                <w:sz w:val="20"/>
                <w:szCs w:val="20"/>
              </w:rPr>
              <w:t>.86</w:t>
            </w:r>
          </w:p>
        </w:tc>
        <w:tc>
          <w:tcPr>
            <w:tcW w:w="270" w:type="dxa"/>
            <w:tcBorders>
              <w:top w:val="nil"/>
              <w:left w:val="nil"/>
              <w:right w:val="nil"/>
            </w:tcBorders>
          </w:tcPr>
          <w:p w14:paraId="31CE9624" w14:textId="77777777" w:rsidR="00304A53" w:rsidRPr="008D6418" w:rsidRDefault="00304A53" w:rsidP="00304A53">
            <w:pPr>
              <w:spacing w:after="0" w:line="240" w:lineRule="auto"/>
              <w:jc w:val="center"/>
              <w:rPr>
                <w:rFonts w:eastAsia="Times New Roman" w:cs="Times New Roman"/>
                <w:sz w:val="20"/>
                <w:szCs w:val="20"/>
              </w:rPr>
            </w:pPr>
          </w:p>
        </w:tc>
        <w:tc>
          <w:tcPr>
            <w:tcW w:w="1260" w:type="dxa"/>
            <w:tcBorders>
              <w:top w:val="nil"/>
              <w:left w:val="nil"/>
              <w:right w:val="nil"/>
            </w:tcBorders>
            <w:shd w:val="clear" w:color="auto" w:fill="auto"/>
            <w:vAlign w:val="center"/>
          </w:tcPr>
          <w:p w14:paraId="5D62A038" w14:textId="3F47D90A" w:rsidR="00304A53" w:rsidRPr="008D6418" w:rsidRDefault="00EE3441" w:rsidP="00304A53">
            <w:pPr>
              <w:spacing w:after="0" w:line="240" w:lineRule="auto"/>
              <w:jc w:val="center"/>
              <w:rPr>
                <w:rFonts w:eastAsia="Times New Roman" w:cs="Times New Roman"/>
                <w:sz w:val="20"/>
                <w:szCs w:val="20"/>
              </w:rPr>
            </w:pPr>
            <w:r>
              <w:rPr>
                <w:rFonts w:eastAsia="Times New Roman" w:cs="Times New Roman"/>
                <w:sz w:val="20"/>
                <w:szCs w:val="20"/>
              </w:rPr>
              <w:t xml:space="preserve">.76 </w:t>
            </w:r>
            <w:r w:rsidR="001C4AEB">
              <w:rPr>
                <w:rFonts w:eastAsia="Times New Roman" w:cs="Times New Roman"/>
                <w:sz w:val="20"/>
                <w:szCs w:val="20"/>
              </w:rPr>
              <w:t xml:space="preserve">– </w:t>
            </w:r>
            <w:r>
              <w:rPr>
                <w:rFonts w:eastAsia="Times New Roman" w:cs="Times New Roman"/>
                <w:sz w:val="20"/>
                <w:szCs w:val="20"/>
              </w:rPr>
              <w:t>.93</w:t>
            </w:r>
          </w:p>
        </w:tc>
        <w:tc>
          <w:tcPr>
            <w:tcW w:w="1530" w:type="dxa"/>
            <w:tcBorders>
              <w:top w:val="nil"/>
              <w:left w:val="nil"/>
              <w:right w:val="nil"/>
            </w:tcBorders>
            <w:shd w:val="clear" w:color="auto" w:fill="auto"/>
            <w:vAlign w:val="center"/>
          </w:tcPr>
          <w:p w14:paraId="2BA96694" w14:textId="425E397D" w:rsidR="00304A53" w:rsidRPr="008D6418" w:rsidRDefault="00263AF0" w:rsidP="00304A53">
            <w:pPr>
              <w:spacing w:after="0" w:line="240" w:lineRule="auto"/>
              <w:jc w:val="center"/>
              <w:rPr>
                <w:rFonts w:eastAsia="Times New Roman" w:cs="Times New Roman"/>
                <w:sz w:val="20"/>
                <w:szCs w:val="20"/>
              </w:rPr>
            </w:pPr>
            <w:r>
              <w:rPr>
                <w:rFonts w:eastAsia="Times New Roman" w:cs="Times New Roman"/>
                <w:sz w:val="20"/>
                <w:szCs w:val="20"/>
              </w:rPr>
              <w:t xml:space="preserve">-.27 </w:t>
            </w:r>
            <w:r w:rsidR="001C4AEB">
              <w:rPr>
                <w:rFonts w:eastAsia="Times New Roman" w:cs="Times New Roman"/>
                <w:sz w:val="20"/>
                <w:szCs w:val="20"/>
              </w:rPr>
              <w:t xml:space="preserve">– </w:t>
            </w:r>
            <w:r w:rsidR="007F6756">
              <w:rPr>
                <w:rFonts w:eastAsia="Times New Roman" w:cs="Times New Roman"/>
                <w:sz w:val="20"/>
                <w:szCs w:val="20"/>
              </w:rPr>
              <w:t>.86</w:t>
            </w:r>
          </w:p>
        </w:tc>
      </w:tr>
      <w:tr w:rsidR="00962271" w:rsidRPr="008D6418" w14:paraId="4A2E2558" w14:textId="77777777" w:rsidTr="0098642E">
        <w:trPr>
          <w:trHeight w:val="355"/>
        </w:trPr>
        <w:tc>
          <w:tcPr>
            <w:tcW w:w="4320" w:type="dxa"/>
            <w:tcBorders>
              <w:top w:val="nil"/>
              <w:left w:val="nil"/>
              <w:bottom w:val="nil"/>
              <w:right w:val="nil"/>
            </w:tcBorders>
            <w:shd w:val="clear" w:color="auto" w:fill="auto"/>
            <w:vAlign w:val="center"/>
            <w:hideMark/>
          </w:tcPr>
          <w:p w14:paraId="4426746B" w14:textId="33D0369E" w:rsidR="00515595" w:rsidRPr="008D6418" w:rsidRDefault="00515595" w:rsidP="00515595">
            <w:pPr>
              <w:spacing w:after="0" w:line="240" w:lineRule="auto"/>
              <w:rPr>
                <w:rFonts w:eastAsia="Times New Roman" w:cs="Times New Roman"/>
                <w:sz w:val="20"/>
                <w:szCs w:val="20"/>
              </w:rPr>
            </w:pPr>
            <w:r w:rsidRPr="008D6418">
              <w:rPr>
                <w:rFonts w:eastAsia="Times New Roman" w:cs="Times New Roman"/>
                <w:sz w:val="20"/>
                <w:szCs w:val="20"/>
              </w:rPr>
              <w:t>First 50 vs Second 50 Utterances</w:t>
            </w:r>
            <w:r>
              <w:rPr>
                <w:rFonts w:eastAsia="Times New Roman" w:cs="Times New Roman"/>
                <w:sz w:val="20"/>
                <w:szCs w:val="20"/>
              </w:rPr>
              <w:t xml:space="preserve"> </w:t>
            </w:r>
            <w:r w:rsidR="001B7133">
              <w:rPr>
                <w:rFonts w:eastAsia="Times New Roman" w:cs="Times New Roman"/>
                <w:sz w:val="20"/>
                <w:szCs w:val="20"/>
              </w:rPr>
              <w:t>–</w:t>
            </w:r>
            <w:r>
              <w:rPr>
                <w:rFonts w:eastAsia="Times New Roman" w:cs="Times New Roman"/>
                <w:sz w:val="20"/>
                <w:szCs w:val="20"/>
              </w:rPr>
              <w:t xml:space="preserve"> </w:t>
            </w:r>
            <w:r w:rsidR="001B7133">
              <w:rPr>
                <w:rFonts w:eastAsia="Times New Roman" w:cs="Times New Roman"/>
                <w:sz w:val="20"/>
                <w:szCs w:val="20"/>
              </w:rPr>
              <w:t>Total Score</w:t>
            </w:r>
          </w:p>
        </w:tc>
        <w:tc>
          <w:tcPr>
            <w:tcW w:w="1170" w:type="dxa"/>
            <w:tcBorders>
              <w:top w:val="nil"/>
              <w:left w:val="nil"/>
              <w:bottom w:val="nil"/>
              <w:right w:val="nil"/>
            </w:tcBorders>
            <w:shd w:val="clear" w:color="auto" w:fill="auto"/>
            <w:vAlign w:val="center"/>
            <w:hideMark/>
          </w:tcPr>
          <w:p w14:paraId="124CFBA0" w14:textId="55CC2CCE" w:rsidR="00515595" w:rsidRPr="008D6418" w:rsidRDefault="006A7D7B" w:rsidP="00515595">
            <w:pPr>
              <w:spacing w:after="0" w:line="240" w:lineRule="auto"/>
              <w:jc w:val="center"/>
              <w:rPr>
                <w:rFonts w:eastAsia="Times New Roman" w:cs="Times New Roman"/>
                <w:sz w:val="20"/>
                <w:szCs w:val="20"/>
              </w:rPr>
            </w:pPr>
            <w:r>
              <w:rPr>
                <w:rFonts w:eastAsia="Times New Roman" w:cs="Times New Roman"/>
                <w:sz w:val="20"/>
                <w:szCs w:val="20"/>
              </w:rPr>
              <w:t>.</w:t>
            </w:r>
            <w:r w:rsidR="00515595" w:rsidRPr="008D6418">
              <w:rPr>
                <w:rFonts w:eastAsia="Times New Roman" w:cs="Times New Roman"/>
                <w:sz w:val="20"/>
                <w:szCs w:val="20"/>
              </w:rPr>
              <w:t>85</w:t>
            </w:r>
          </w:p>
        </w:tc>
        <w:tc>
          <w:tcPr>
            <w:tcW w:w="1440" w:type="dxa"/>
            <w:tcBorders>
              <w:top w:val="nil"/>
              <w:left w:val="nil"/>
              <w:bottom w:val="nil"/>
              <w:right w:val="nil"/>
            </w:tcBorders>
            <w:shd w:val="clear" w:color="auto" w:fill="auto"/>
            <w:vAlign w:val="center"/>
            <w:hideMark/>
          </w:tcPr>
          <w:p w14:paraId="2E5DD8EE" w14:textId="14DFB9C6" w:rsidR="00515595" w:rsidRPr="008D6418" w:rsidRDefault="006A7D7B" w:rsidP="00515595">
            <w:pPr>
              <w:spacing w:after="0" w:line="240" w:lineRule="auto"/>
              <w:jc w:val="center"/>
              <w:rPr>
                <w:rFonts w:eastAsia="Times New Roman" w:cs="Times New Roman"/>
                <w:sz w:val="20"/>
                <w:szCs w:val="20"/>
              </w:rPr>
            </w:pPr>
            <w:r>
              <w:rPr>
                <w:rFonts w:eastAsia="Times New Roman" w:cs="Times New Roman"/>
                <w:sz w:val="20"/>
                <w:szCs w:val="20"/>
              </w:rPr>
              <w:t>.</w:t>
            </w:r>
            <w:r w:rsidR="00515595" w:rsidRPr="008D6418">
              <w:rPr>
                <w:rFonts w:eastAsia="Times New Roman" w:cs="Times New Roman"/>
                <w:sz w:val="20"/>
                <w:szCs w:val="20"/>
              </w:rPr>
              <w:t>54</w:t>
            </w:r>
          </w:p>
        </w:tc>
        <w:tc>
          <w:tcPr>
            <w:tcW w:w="270" w:type="dxa"/>
            <w:tcBorders>
              <w:top w:val="nil"/>
              <w:left w:val="nil"/>
              <w:bottom w:val="nil"/>
              <w:right w:val="nil"/>
            </w:tcBorders>
          </w:tcPr>
          <w:p w14:paraId="6157F7F4" w14:textId="77777777" w:rsidR="00515595" w:rsidRPr="008D6418" w:rsidRDefault="00515595" w:rsidP="00515595">
            <w:pPr>
              <w:spacing w:after="0" w:line="240" w:lineRule="auto"/>
              <w:jc w:val="center"/>
              <w:rPr>
                <w:rFonts w:eastAsia="Times New Roman" w:cs="Times New Roman"/>
                <w:sz w:val="20"/>
                <w:szCs w:val="20"/>
              </w:rPr>
            </w:pPr>
          </w:p>
        </w:tc>
        <w:tc>
          <w:tcPr>
            <w:tcW w:w="1260" w:type="dxa"/>
            <w:tcBorders>
              <w:top w:val="nil"/>
              <w:left w:val="nil"/>
              <w:bottom w:val="nil"/>
              <w:right w:val="nil"/>
            </w:tcBorders>
            <w:shd w:val="clear" w:color="auto" w:fill="auto"/>
            <w:vAlign w:val="center"/>
            <w:hideMark/>
          </w:tcPr>
          <w:p w14:paraId="06D02F26" w14:textId="65E699B9" w:rsidR="00515595" w:rsidRPr="008D6418" w:rsidRDefault="006A7D7B" w:rsidP="00515595">
            <w:pPr>
              <w:spacing w:after="0" w:line="240" w:lineRule="auto"/>
              <w:jc w:val="center"/>
              <w:rPr>
                <w:rFonts w:eastAsia="Times New Roman" w:cs="Times New Roman"/>
                <w:sz w:val="20"/>
                <w:szCs w:val="20"/>
              </w:rPr>
            </w:pPr>
            <w:r>
              <w:rPr>
                <w:rFonts w:eastAsia="Times New Roman" w:cs="Times New Roman"/>
                <w:sz w:val="20"/>
                <w:szCs w:val="20"/>
              </w:rPr>
              <w:t>.</w:t>
            </w:r>
            <w:r w:rsidR="00515595" w:rsidRPr="008D6418">
              <w:rPr>
                <w:rFonts w:eastAsia="Times New Roman" w:cs="Times New Roman"/>
                <w:sz w:val="20"/>
                <w:szCs w:val="20"/>
              </w:rPr>
              <w:t>84</w:t>
            </w:r>
          </w:p>
        </w:tc>
        <w:tc>
          <w:tcPr>
            <w:tcW w:w="1530" w:type="dxa"/>
            <w:tcBorders>
              <w:top w:val="nil"/>
              <w:left w:val="nil"/>
              <w:bottom w:val="nil"/>
              <w:right w:val="nil"/>
            </w:tcBorders>
            <w:shd w:val="clear" w:color="auto" w:fill="auto"/>
            <w:vAlign w:val="center"/>
            <w:hideMark/>
          </w:tcPr>
          <w:p w14:paraId="7BAD80AB" w14:textId="5AA44245" w:rsidR="00515595" w:rsidRPr="008D6418" w:rsidRDefault="006A7D7B" w:rsidP="00515595">
            <w:pPr>
              <w:spacing w:after="0" w:line="240" w:lineRule="auto"/>
              <w:jc w:val="center"/>
              <w:rPr>
                <w:rFonts w:eastAsia="Times New Roman" w:cs="Times New Roman"/>
                <w:sz w:val="20"/>
                <w:szCs w:val="20"/>
              </w:rPr>
            </w:pPr>
            <w:r>
              <w:rPr>
                <w:rFonts w:eastAsia="Times New Roman" w:cs="Times New Roman"/>
                <w:sz w:val="20"/>
                <w:szCs w:val="20"/>
              </w:rPr>
              <w:t>.</w:t>
            </w:r>
            <w:r w:rsidR="00515595" w:rsidRPr="008D6418">
              <w:rPr>
                <w:rFonts w:eastAsia="Times New Roman" w:cs="Times New Roman"/>
                <w:sz w:val="20"/>
                <w:szCs w:val="20"/>
              </w:rPr>
              <w:t>66</w:t>
            </w:r>
          </w:p>
        </w:tc>
      </w:tr>
      <w:tr w:rsidR="00962271" w:rsidRPr="008D6418" w14:paraId="32E47767" w14:textId="77777777" w:rsidTr="0098642E">
        <w:trPr>
          <w:trHeight w:val="355"/>
        </w:trPr>
        <w:tc>
          <w:tcPr>
            <w:tcW w:w="4320" w:type="dxa"/>
            <w:tcBorders>
              <w:top w:val="nil"/>
              <w:left w:val="nil"/>
              <w:bottom w:val="single" w:sz="4" w:space="0" w:color="auto"/>
              <w:right w:val="nil"/>
            </w:tcBorders>
            <w:shd w:val="clear" w:color="auto" w:fill="auto"/>
            <w:vAlign w:val="center"/>
          </w:tcPr>
          <w:p w14:paraId="1FBF1014" w14:textId="3035A8F3" w:rsidR="00304A53" w:rsidRPr="008D6418" w:rsidRDefault="00304A53" w:rsidP="00304A53">
            <w:pPr>
              <w:spacing w:after="0" w:line="240" w:lineRule="auto"/>
              <w:rPr>
                <w:rFonts w:eastAsia="Times New Roman" w:cs="Times New Roman"/>
                <w:sz w:val="20"/>
                <w:szCs w:val="20"/>
              </w:rPr>
            </w:pPr>
            <w:r>
              <w:rPr>
                <w:rFonts w:eastAsia="Times New Roman" w:cs="Times New Roman"/>
                <w:sz w:val="20"/>
                <w:szCs w:val="20"/>
              </w:rPr>
              <w:t xml:space="preserve">                     Subscale Ranges</w:t>
            </w:r>
          </w:p>
        </w:tc>
        <w:tc>
          <w:tcPr>
            <w:tcW w:w="1170" w:type="dxa"/>
            <w:tcBorders>
              <w:top w:val="nil"/>
              <w:left w:val="nil"/>
              <w:bottom w:val="single" w:sz="4" w:space="0" w:color="auto"/>
              <w:right w:val="nil"/>
            </w:tcBorders>
            <w:shd w:val="clear" w:color="auto" w:fill="auto"/>
            <w:vAlign w:val="center"/>
          </w:tcPr>
          <w:p w14:paraId="7FD89279" w14:textId="6A8F38C4" w:rsidR="00304A53" w:rsidRPr="008D6418" w:rsidRDefault="00300BFE" w:rsidP="00304A53">
            <w:pPr>
              <w:spacing w:after="0" w:line="240" w:lineRule="auto"/>
              <w:jc w:val="center"/>
              <w:rPr>
                <w:rFonts w:eastAsia="Times New Roman" w:cs="Times New Roman"/>
                <w:sz w:val="20"/>
                <w:szCs w:val="20"/>
              </w:rPr>
            </w:pPr>
            <w:r>
              <w:rPr>
                <w:rFonts w:eastAsia="Times New Roman" w:cs="Times New Roman"/>
                <w:sz w:val="20"/>
                <w:szCs w:val="20"/>
              </w:rPr>
              <w:t xml:space="preserve">.67 </w:t>
            </w:r>
            <w:r w:rsidR="001C4AEB">
              <w:rPr>
                <w:rFonts w:eastAsia="Times New Roman" w:cs="Times New Roman"/>
                <w:sz w:val="20"/>
                <w:szCs w:val="20"/>
              </w:rPr>
              <w:t xml:space="preserve">– </w:t>
            </w:r>
            <w:r>
              <w:rPr>
                <w:rFonts w:eastAsia="Times New Roman" w:cs="Times New Roman"/>
                <w:sz w:val="20"/>
                <w:szCs w:val="20"/>
              </w:rPr>
              <w:t>.81</w:t>
            </w:r>
          </w:p>
        </w:tc>
        <w:tc>
          <w:tcPr>
            <w:tcW w:w="1440" w:type="dxa"/>
            <w:tcBorders>
              <w:top w:val="nil"/>
              <w:left w:val="nil"/>
              <w:bottom w:val="single" w:sz="4" w:space="0" w:color="auto"/>
              <w:right w:val="nil"/>
            </w:tcBorders>
            <w:shd w:val="clear" w:color="auto" w:fill="auto"/>
            <w:vAlign w:val="center"/>
          </w:tcPr>
          <w:p w14:paraId="3278298A" w14:textId="1381A008" w:rsidR="00304A53" w:rsidRPr="008D6418" w:rsidRDefault="00300BFE" w:rsidP="00304A53">
            <w:pPr>
              <w:spacing w:after="0" w:line="240" w:lineRule="auto"/>
              <w:jc w:val="center"/>
              <w:rPr>
                <w:rFonts w:eastAsia="Times New Roman" w:cs="Times New Roman"/>
                <w:sz w:val="20"/>
                <w:szCs w:val="20"/>
              </w:rPr>
            </w:pPr>
            <w:r>
              <w:rPr>
                <w:rFonts w:eastAsia="Times New Roman" w:cs="Times New Roman"/>
                <w:sz w:val="20"/>
                <w:szCs w:val="20"/>
              </w:rPr>
              <w:t xml:space="preserve">.09 </w:t>
            </w:r>
            <w:r w:rsidR="001C4AEB">
              <w:rPr>
                <w:rFonts w:eastAsia="Times New Roman" w:cs="Times New Roman"/>
                <w:sz w:val="20"/>
                <w:szCs w:val="20"/>
              </w:rPr>
              <w:t xml:space="preserve">– </w:t>
            </w:r>
            <w:r w:rsidR="003673DC">
              <w:rPr>
                <w:rFonts w:eastAsia="Times New Roman" w:cs="Times New Roman"/>
                <w:sz w:val="20"/>
                <w:szCs w:val="20"/>
              </w:rPr>
              <w:t>.87</w:t>
            </w:r>
          </w:p>
        </w:tc>
        <w:tc>
          <w:tcPr>
            <w:tcW w:w="270" w:type="dxa"/>
            <w:tcBorders>
              <w:top w:val="nil"/>
              <w:left w:val="nil"/>
              <w:bottom w:val="single" w:sz="4" w:space="0" w:color="auto"/>
              <w:right w:val="nil"/>
            </w:tcBorders>
          </w:tcPr>
          <w:p w14:paraId="46DE5718" w14:textId="77777777" w:rsidR="00304A53" w:rsidRPr="008D6418" w:rsidRDefault="00304A53" w:rsidP="00304A53">
            <w:pPr>
              <w:spacing w:after="0" w:line="240" w:lineRule="auto"/>
              <w:jc w:val="center"/>
              <w:rPr>
                <w:rFonts w:eastAsia="Times New Roman" w:cs="Times New Roman"/>
                <w:sz w:val="20"/>
                <w:szCs w:val="20"/>
              </w:rPr>
            </w:pPr>
          </w:p>
        </w:tc>
        <w:tc>
          <w:tcPr>
            <w:tcW w:w="1260" w:type="dxa"/>
            <w:tcBorders>
              <w:top w:val="nil"/>
              <w:left w:val="nil"/>
              <w:bottom w:val="single" w:sz="4" w:space="0" w:color="auto"/>
              <w:right w:val="nil"/>
            </w:tcBorders>
            <w:shd w:val="clear" w:color="auto" w:fill="auto"/>
            <w:vAlign w:val="center"/>
          </w:tcPr>
          <w:p w14:paraId="5AC003E4" w14:textId="63DC47A4" w:rsidR="00304A53" w:rsidRPr="008D6418" w:rsidRDefault="003673DC" w:rsidP="00304A53">
            <w:pPr>
              <w:spacing w:after="0" w:line="240" w:lineRule="auto"/>
              <w:jc w:val="center"/>
              <w:rPr>
                <w:rFonts w:eastAsia="Times New Roman" w:cs="Times New Roman"/>
                <w:sz w:val="20"/>
                <w:szCs w:val="20"/>
              </w:rPr>
            </w:pPr>
            <w:r>
              <w:rPr>
                <w:rFonts w:eastAsia="Times New Roman" w:cs="Times New Roman"/>
                <w:sz w:val="20"/>
                <w:szCs w:val="20"/>
              </w:rPr>
              <w:t xml:space="preserve">.66 </w:t>
            </w:r>
            <w:r w:rsidR="001C4AEB">
              <w:rPr>
                <w:rFonts w:eastAsia="Times New Roman" w:cs="Times New Roman"/>
                <w:sz w:val="20"/>
                <w:szCs w:val="20"/>
              </w:rPr>
              <w:t xml:space="preserve">– </w:t>
            </w:r>
            <w:r w:rsidR="00703616">
              <w:rPr>
                <w:rFonts w:eastAsia="Times New Roman" w:cs="Times New Roman"/>
                <w:sz w:val="20"/>
                <w:szCs w:val="20"/>
              </w:rPr>
              <w:t>.81</w:t>
            </w:r>
          </w:p>
        </w:tc>
        <w:tc>
          <w:tcPr>
            <w:tcW w:w="1530" w:type="dxa"/>
            <w:tcBorders>
              <w:top w:val="nil"/>
              <w:left w:val="nil"/>
              <w:bottom w:val="single" w:sz="4" w:space="0" w:color="auto"/>
              <w:right w:val="nil"/>
            </w:tcBorders>
            <w:shd w:val="clear" w:color="auto" w:fill="auto"/>
            <w:vAlign w:val="center"/>
          </w:tcPr>
          <w:p w14:paraId="1362294F" w14:textId="14B55172" w:rsidR="00304A53" w:rsidRPr="008D6418" w:rsidRDefault="00703616" w:rsidP="00304A53">
            <w:pPr>
              <w:spacing w:after="0" w:line="240" w:lineRule="auto"/>
              <w:jc w:val="center"/>
              <w:rPr>
                <w:rFonts w:eastAsia="Times New Roman" w:cs="Times New Roman"/>
                <w:sz w:val="20"/>
                <w:szCs w:val="20"/>
              </w:rPr>
            </w:pPr>
            <w:r>
              <w:rPr>
                <w:rFonts w:eastAsia="Times New Roman" w:cs="Times New Roman"/>
                <w:sz w:val="20"/>
                <w:szCs w:val="20"/>
              </w:rPr>
              <w:t xml:space="preserve">-.39 </w:t>
            </w:r>
            <w:r w:rsidR="001C4AEB">
              <w:rPr>
                <w:rFonts w:eastAsia="Times New Roman" w:cs="Times New Roman"/>
                <w:sz w:val="20"/>
                <w:szCs w:val="20"/>
              </w:rPr>
              <w:t xml:space="preserve">– </w:t>
            </w:r>
            <w:r>
              <w:rPr>
                <w:rFonts w:eastAsia="Times New Roman" w:cs="Times New Roman"/>
                <w:sz w:val="20"/>
                <w:szCs w:val="20"/>
              </w:rPr>
              <w:t>.87</w:t>
            </w:r>
          </w:p>
        </w:tc>
      </w:tr>
    </w:tbl>
    <w:p w14:paraId="736D7426" w14:textId="77777777" w:rsidR="003564ED" w:rsidRPr="008D6418" w:rsidRDefault="003564ED" w:rsidP="00701FC0">
      <w:pPr>
        <w:rPr>
          <w:sz w:val="20"/>
          <w:szCs w:val="20"/>
        </w:rPr>
      </w:pPr>
    </w:p>
    <w:p w14:paraId="4B9EA7EC" w14:textId="1D3C8D26" w:rsidR="00701FC0" w:rsidRPr="008D6418" w:rsidRDefault="00701FC0" w:rsidP="00D94B7F">
      <w:pPr>
        <w:rPr>
          <w:b/>
          <w:sz w:val="20"/>
          <w:szCs w:val="20"/>
          <w:lang w:val="en-GB"/>
        </w:rPr>
      </w:pPr>
      <w:r w:rsidRPr="008D6418">
        <w:rPr>
          <w:b/>
          <w:sz w:val="20"/>
          <w:szCs w:val="20"/>
          <w:lang w:val="en-GB"/>
        </w:rPr>
        <w:t>References:</w:t>
      </w:r>
    </w:p>
    <w:p w14:paraId="53660634" w14:textId="77777777" w:rsidR="00636642" w:rsidRPr="008D6418" w:rsidRDefault="00636642" w:rsidP="00636642">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[1]</w:t>
      </w:r>
      <w:r w:rsidRPr="008D6418">
        <w:rPr>
          <w:rFonts w:cs="Calibri"/>
          <w:sz w:val="20"/>
          <w:szCs w:val="20"/>
          <w14:ligatures w14:val="standardContextual"/>
        </w:rPr>
        <w:t xml:space="preserve">Werfel, K. L., &amp; Douglas, M. (2017). Are we slipping them through the cracks? The insufficiency of norm-referenced assessments for identifying language weaknesses in children with hearing loss. </w:t>
      </w:r>
      <w:r w:rsidRPr="008D6418">
        <w:rPr>
          <w:rFonts w:cs="Calibri"/>
          <w:i/>
          <w:iCs/>
          <w:sz w:val="20"/>
          <w:szCs w:val="20"/>
          <w14:ligatures w14:val="standardContextual"/>
        </w:rPr>
        <w:t>Perspectives of the ASHA Special Interest Groups</w:t>
      </w:r>
      <w:r w:rsidRPr="008D6418">
        <w:rPr>
          <w:rFonts w:cs="Calibri"/>
          <w:sz w:val="20"/>
          <w:szCs w:val="20"/>
          <w14:ligatures w14:val="standardContextual"/>
        </w:rPr>
        <w:t>,</w:t>
      </w:r>
      <w:r w:rsidRPr="008D6418">
        <w:rPr>
          <w:rFonts w:cs="Calibri"/>
          <w:i/>
          <w:iCs/>
          <w:sz w:val="20"/>
          <w:szCs w:val="20"/>
          <w14:ligatures w14:val="standardContextual"/>
        </w:rPr>
        <w:t xml:space="preserve"> 2</w:t>
      </w:r>
      <w:r w:rsidRPr="008D6418">
        <w:rPr>
          <w:rFonts w:cs="Calibri"/>
          <w:sz w:val="20"/>
          <w:szCs w:val="20"/>
          <w14:ligatures w14:val="standardContextual"/>
        </w:rPr>
        <w:t>(9), 43-53. https://doi.org/10.1044/persp2.SIG9.43</w:t>
      </w:r>
    </w:p>
    <w:p w14:paraId="346E55D1" w14:textId="77777777" w:rsidR="00190CA9" w:rsidRPr="008D6418" w:rsidRDefault="00190CA9" w:rsidP="00190CA9">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[2]</w:t>
      </w:r>
      <w:r w:rsidRPr="008D6418">
        <w:rPr>
          <w:rFonts w:cs="Calibri"/>
          <w:sz w:val="20"/>
          <w:szCs w:val="20"/>
          <w14:ligatures w14:val="standardContextual"/>
        </w:rPr>
        <w:t xml:space="preserve">Wilder, A., &amp; Redmond, S. M. (2024). Updates on clinical language sampling practices: A survey of speech-language pathologists practicing in the United States. </w:t>
      </w:r>
      <w:r w:rsidRPr="008D6418">
        <w:rPr>
          <w:rFonts w:cs="Calibri"/>
          <w:i/>
          <w:iCs/>
          <w:sz w:val="20"/>
          <w:szCs w:val="20"/>
          <w14:ligatures w14:val="standardContextual"/>
        </w:rPr>
        <w:t>Language, Speech, and Hearing Services in Schools</w:t>
      </w:r>
      <w:r w:rsidRPr="008D6418">
        <w:rPr>
          <w:rFonts w:cs="Calibri"/>
          <w:sz w:val="20"/>
          <w:szCs w:val="20"/>
          <w14:ligatures w14:val="standardContextual"/>
        </w:rPr>
        <w:t>,</w:t>
      </w:r>
      <w:r w:rsidRPr="008D6418">
        <w:rPr>
          <w:rFonts w:cs="Calibri"/>
          <w:i/>
          <w:iCs/>
          <w:sz w:val="20"/>
          <w:szCs w:val="20"/>
          <w14:ligatures w14:val="standardContextual"/>
        </w:rPr>
        <w:t xml:space="preserve"> 55</w:t>
      </w:r>
      <w:r w:rsidRPr="008D6418">
        <w:rPr>
          <w:rFonts w:cs="Calibri"/>
          <w:sz w:val="20"/>
          <w:szCs w:val="20"/>
          <w14:ligatures w14:val="standardContextual"/>
        </w:rPr>
        <w:t xml:space="preserve">(4), 1151-1166. https://doi.org/doi:10.1044/2024_LSHSS-24-00035 </w:t>
      </w:r>
    </w:p>
    <w:p w14:paraId="124A5128" w14:textId="77777777" w:rsidR="00C90A7F" w:rsidRPr="008D6418" w:rsidRDefault="00C90A7F" w:rsidP="00C90A7F">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[3]</w:t>
      </w:r>
      <w:r w:rsidRPr="008D6418">
        <w:rPr>
          <w:rFonts w:cs="Calibri"/>
          <w:sz w:val="20"/>
          <w:szCs w:val="20"/>
          <w14:ligatures w14:val="standardContextual"/>
        </w:rPr>
        <w:t xml:space="preserve">Scarborough, H. S. (1990). Index of productive syntax. </w:t>
      </w:r>
      <w:r w:rsidRPr="008D6418">
        <w:rPr>
          <w:rFonts w:cs="Calibri"/>
          <w:i/>
          <w:iCs/>
          <w:sz w:val="20"/>
          <w:szCs w:val="20"/>
          <w14:ligatures w14:val="standardContextual"/>
        </w:rPr>
        <w:t>Applied psycholinguistics</w:t>
      </w:r>
      <w:r w:rsidRPr="008D6418">
        <w:rPr>
          <w:rFonts w:cs="Calibri"/>
          <w:sz w:val="20"/>
          <w:szCs w:val="20"/>
          <w14:ligatures w14:val="standardContextual"/>
        </w:rPr>
        <w:t>,</w:t>
      </w:r>
      <w:r w:rsidRPr="008D6418">
        <w:rPr>
          <w:rFonts w:cs="Calibri"/>
          <w:i/>
          <w:iCs/>
          <w:sz w:val="20"/>
          <w:szCs w:val="20"/>
          <w14:ligatures w14:val="standardContextual"/>
        </w:rPr>
        <w:t xml:space="preserve"> 11</w:t>
      </w:r>
      <w:r w:rsidRPr="008D6418">
        <w:rPr>
          <w:rFonts w:cs="Calibri"/>
          <w:sz w:val="20"/>
          <w:szCs w:val="20"/>
          <w14:ligatures w14:val="standardContextual"/>
        </w:rPr>
        <w:t xml:space="preserve">(1), 1-22. https://doi.org/https://doi.org/10.1017/S0142716400008262 </w:t>
      </w:r>
    </w:p>
    <w:p w14:paraId="2E66C8DB" w14:textId="78421CFB" w:rsidR="00AE643A" w:rsidRPr="008D6418" w:rsidRDefault="00A5235C" w:rsidP="00385DA1">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[4]</w:t>
      </w:r>
      <w:r w:rsidR="00AE643A" w:rsidRPr="008D6418">
        <w:rPr>
          <w:rFonts w:cs="Calibri"/>
          <w:sz w:val="20"/>
          <w:szCs w:val="20"/>
          <w14:ligatures w14:val="standardContextual"/>
        </w:rPr>
        <w:t xml:space="preserve">Finestack, L. H., Rohwer, B., Hilliard, L., &amp; Abbeduto, L. (2020). Using computerized language analysis to evaluate grammatical skills. </w:t>
      </w:r>
      <w:r w:rsidR="00AE643A" w:rsidRPr="008D6418">
        <w:rPr>
          <w:rFonts w:cs="Calibri"/>
          <w:i/>
          <w:iCs/>
          <w:sz w:val="20"/>
          <w:szCs w:val="20"/>
          <w14:ligatures w14:val="standardContextual"/>
        </w:rPr>
        <w:t>Language, Speech, and Hearing Services in Schools</w:t>
      </w:r>
      <w:r w:rsidR="00AE643A" w:rsidRPr="008D6418">
        <w:rPr>
          <w:rFonts w:cs="Calibri"/>
          <w:sz w:val="20"/>
          <w:szCs w:val="20"/>
          <w14:ligatures w14:val="standardContextual"/>
        </w:rPr>
        <w:t>,</w:t>
      </w:r>
      <w:r w:rsidR="00AE643A" w:rsidRPr="008D6418">
        <w:rPr>
          <w:rFonts w:cs="Calibri"/>
          <w:i/>
          <w:iCs/>
          <w:sz w:val="20"/>
          <w:szCs w:val="20"/>
          <w14:ligatures w14:val="standardContextual"/>
        </w:rPr>
        <w:t xml:space="preserve"> 51</w:t>
      </w:r>
      <w:r w:rsidR="00AE643A" w:rsidRPr="008D6418">
        <w:rPr>
          <w:rFonts w:cs="Calibri"/>
          <w:sz w:val="20"/>
          <w:szCs w:val="20"/>
          <w14:ligatures w14:val="standardContextual"/>
        </w:rPr>
        <w:t xml:space="preserve">(2), 184-204. </w:t>
      </w:r>
      <w:r w:rsidR="00961860" w:rsidRPr="008D6418">
        <w:rPr>
          <w:rFonts w:cs="Calibri"/>
          <w:sz w:val="20"/>
          <w:szCs w:val="20"/>
          <w14:ligatures w14:val="standardContextual"/>
        </w:rPr>
        <w:t>https://doi.org/10.1044/2019_LSHSS-19-00032</w:t>
      </w:r>
      <w:r w:rsidR="00AE643A" w:rsidRPr="008D6418">
        <w:rPr>
          <w:rFonts w:cs="Calibri"/>
          <w:sz w:val="20"/>
          <w:szCs w:val="20"/>
          <w14:ligatures w14:val="standardContextual"/>
        </w:rPr>
        <w:t xml:space="preserve"> </w:t>
      </w:r>
    </w:p>
    <w:p w14:paraId="38343640" w14:textId="5C928CDE" w:rsidR="00AE643A" w:rsidRPr="008D6418" w:rsidRDefault="00A5235C" w:rsidP="00385DA1">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[5]</w:t>
      </w:r>
      <w:r w:rsidR="00AE643A" w:rsidRPr="008D6418">
        <w:rPr>
          <w:rFonts w:cs="Calibri"/>
          <w:sz w:val="20"/>
          <w:szCs w:val="20"/>
          <w14:ligatures w14:val="standardContextual"/>
        </w:rPr>
        <w:t xml:space="preserve">Roberts, J. A., Altenberg, E. P., Ferrugio, H. R., &amp; Rosenberg, J. E. (2022). How to </w:t>
      </w:r>
      <w:r w:rsidR="00BB51B2" w:rsidRPr="008D6418">
        <w:rPr>
          <w:rFonts w:cs="Calibri"/>
          <w:sz w:val="20"/>
          <w:szCs w:val="20"/>
          <w14:ligatures w14:val="standardContextual"/>
        </w:rPr>
        <w:t>u</w:t>
      </w:r>
      <w:r w:rsidR="00AE643A" w:rsidRPr="008D6418">
        <w:rPr>
          <w:rFonts w:cs="Calibri"/>
          <w:sz w:val="20"/>
          <w:szCs w:val="20"/>
          <w14:ligatures w14:val="standardContextual"/>
        </w:rPr>
        <w:t xml:space="preserve">se the Index of Productive Syntax to </w:t>
      </w:r>
      <w:r w:rsidR="00BB51B2" w:rsidRPr="008D6418">
        <w:rPr>
          <w:rFonts w:cs="Calibri"/>
          <w:sz w:val="20"/>
          <w:szCs w:val="20"/>
          <w14:ligatures w14:val="standardContextual"/>
        </w:rPr>
        <w:t>select goals and monitor progress in preschool children</w:t>
      </w:r>
      <w:r w:rsidR="00AE643A" w:rsidRPr="008D6418">
        <w:rPr>
          <w:rFonts w:cs="Calibri"/>
          <w:sz w:val="20"/>
          <w:szCs w:val="20"/>
          <w14:ligatures w14:val="standardContextual"/>
        </w:rPr>
        <w:t xml:space="preserve">. </w:t>
      </w:r>
      <w:r w:rsidR="00AE643A" w:rsidRPr="008D6418">
        <w:rPr>
          <w:rFonts w:cs="Calibri"/>
          <w:i/>
          <w:iCs/>
          <w:sz w:val="20"/>
          <w:szCs w:val="20"/>
          <w14:ligatures w14:val="standardContextual"/>
        </w:rPr>
        <w:t>Language, Speech, and Hearing Services in Schools</w:t>
      </w:r>
      <w:r w:rsidR="00AE643A" w:rsidRPr="008D6418">
        <w:rPr>
          <w:rFonts w:cs="Calibri"/>
          <w:sz w:val="20"/>
          <w:szCs w:val="20"/>
          <w14:ligatures w14:val="standardContextual"/>
        </w:rPr>
        <w:t>,</w:t>
      </w:r>
      <w:r w:rsidR="00AE643A" w:rsidRPr="008D6418">
        <w:rPr>
          <w:rFonts w:cs="Calibri"/>
          <w:i/>
          <w:iCs/>
          <w:sz w:val="20"/>
          <w:szCs w:val="20"/>
          <w14:ligatures w14:val="standardContextual"/>
        </w:rPr>
        <w:t xml:space="preserve"> 53</w:t>
      </w:r>
      <w:r w:rsidR="00AE643A" w:rsidRPr="008D6418">
        <w:rPr>
          <w:rFonts w:cs="Calibri"/>
          <w:sz w:val="20"/>
          <w:szCs w:val="20"/>
          <w14:ligatures w14:val="standardContextual"/>
        </w:rPr>
        <w:t xml:space="preserve">(3), 803-824. https://doi.org/doi:10.1044/2021_LSHSS-21-00096 </w:t>
      </w:r>
    </w:p>
    <w:p w14:paraId="3E976E7E" w14:textId="3FE9E75F" w:rsidR="00AE643A" w:rsidRPr="008D6418" w:rsidRDefault="00A5235C" w:rsidP="00385DA1">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[6]</w:t>
      </w:r>
      <w:r w:rsidR="00AE643A" w:rsidRPr="008D6418">
        <w:rPr>
          <w:rFonts w:cs="Calibri"/>
          <w:sz w:val="20"/>
          <w:szCs w:val="20"/>
          <w14:ligatures w14:val="standardContextual"/>
        </w:rPr>
        <w:t xml:space="preserve">Scarborough, H. S., Rescorla, L., Tager-Flusberg, H., Fowler, A. E., &amp; Sudhalter, V. (1991). The relation of utterance length to grammatical complexity in normal and language-disordered groups. </w:t>
      </w:r>
      <w:r w:rsidR="00AE643A" w:rsidRPr="008D6418">
        <w:rPr>
          <w:rFonts w:cs="Calibri"/>
          <w:i/>
          <w:iCs/>
          <w:sz w:val="20"/>
          <w:szCs w:val="20"/>
          <w14:ligatures w14:val="standardContextual"/>
        </w:rPr>
        <w:t xml:space="preserve">Applied </w:t>
      </w:r>
      <w:r w:rsidR="008D0E71" w:rsidRPr="008D6418">
        <w:rPr>
          <w:rFonts w:cs="Calibri"/>
          <w:i/>
          <w:iCs/>
          <w:sz w:val="20"/>
          <w:szCs w:val="20"/>
          <w14:ligatures w14:val="standardContextual"/>
        </w:rPr>
        <w:t>P</w:t>
      </w:r>
      <w:r w:rsidR="00AE643A" w:rsidRPr="008D6418">
        <w:rPr>
          <w:rFonts w:cs="Calibri"/>
          <w:i/>
          <w:iCs/>
          <w:sz w:val="20"/>
          <w:szCs w:val="20"/>
          <w14:ligatures w14:val="standardContextual"/>
        </w:rPr>
        <w:t>sycholinguistics</w:t>
      </w:r>
      <w:r w:rsidR="00AE643A" w:rsidRPr="008D6418">
        <w:rPr>
          <w:rFonts w:cs="Calibri"/>
          <w:sz w:val="20"/>
          <w:szCs w:val="20"/>
          <w14:ligatures w14:val="standardContextual"/>
        </w:rPr>
        <w:t>,</w:t>
      </w:r>
      <w:r w:rsidR="00AE643A" w:rsidRPr="008D6418">
        <w:rPr>
          <w:rFonts w:cs="Calibri"/>
          <w:i/>
          <w:iCs/>
          <w:sz w:val="20"/>
          <w:szCs w:val="20"/>
          <w14:ligatures w14:val="standardContextual"/>
        </w:rPr>
        <w:t xml:space="preserve"> 12</w:t>
      </w:r>
      <w:r w:rsidR="00AE643A" w:rsidRPr="008D6418">
        <w:rPr>
          <w:rFonts w:cs="Calibri"/>
          <w:sz w:val="20"/>
          <w:szCs w:val="20"/>
          <w14:ligatures w14:val="standardContextual"/>
        </w:rPr>
        <w:t xml:space="preserve">(1), 23-46. https://doi.org/10.1017/S014271640000936X </w:t>
      </w:r>
    </w:p>
    <w:p w14:paraId="64FC67D4" w14:textId="60C0FDF1" w:rsidR="00AE643A" w:rsidRPr="008D6418" w:rsidRDefault="00A5235C" w:rsidP="00385DA1">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lastRenderedPageBreak/>
        <w:t>[7]</w:t>
      </w:r>
      <w:r w:rsidR="00AE643A" w:rsidRPr="008D6418">
        <w:rPr>
          <w:rFonts w:cs="Calibri"/>
          <w:sz w:val="20"/>
          <w:szCs w:val="20"/>
          <w14:ligatures w14:val="standardContextual"/>
        </w:rPr>
        <w:t xml:space="preserve">Yang, J. S., MacWhinney, B., &amp; Ratner, N. B. (2022). The Index of Productive Syntax: Psychometric </w:t>
      </w:r>
      <w:r w:rsidR="00426F12" w:rsidRPr="008D6418">
        <w:rPr>
          <w:rFonts w:cs="Calibri"/>
          <w:sz w:val="20"/>
          <w:szCs w:val="20"/>
          <w14:ligatures w14:val="standardContextual"/>
        </w:rPr>
        <w:t>p</w:t>
      </w:r>
      <w:r w:rsidR="00AE643A" w:rsidRPr="008D6418">
        <w:rPr>
          <w:rFonts w:cs="Calibri"/>
          <w:sz w:val="20"/>
          <w:szCs w:val="20"/>
          <w14:ligatures w14:val="standardContextual"/>
        </w:rPr>
        <w:t xml:space="preserve">roperties and </w:t>
      </w:r>
      <w:r w:rsidR="00426F12" w:rsidRPr="008D6418">
        <w:rPr>
          <w:rFonts w:cs="Calibri"/>
          <w:sz w:val="20"/>
          <w:szCs w:val="20"/>
          <w14:ligatures w14:val="standardContextual"/>
        </w:rPr>
        <w:t>s</w:t>
      </w:r>
      <w:r w:rsidR="00AE643A" w:rsidRPr="008D6418">
        <w:rPr>
          <w:rFonts w:cs="Calibri"/>
          <w:sz w:val="20"/>
          <w:szCs w:val="20"/>
          <w14:ligatures w14:val="standardContextual"/>
        </w:rPr>
        <w:t xml:space="preserve">uggested </w:t>
      </w:r>
      <w:r w:rsidR="00426F12" w:rsidRPr="008D6418">
        <w:rPr>
          <w:rFonts w:cs="Calibri"/>
          <w:sz w:val="20"/>
          <w:szCs w:val="20"/>
          <w14:ligatures w14:val="standardContextual"/>
        </w:rPr>
        <w:t>m</w:t>
      </w:r>
      <w:r w:rsidR="00AE643A" w:rsidRPr="008D6418">
        <w:rPr>
          <w:rFonts w:cs="Calibri"/>
          <w:sz w:val="20"/>
          <w:szCs w:val="20"/>
          <w14:ligatures w14:val="standardContextual"/>
        </w:rPr>
        <w:t xml:space="preserve">odifications. </w:t>
      </w:r>
      <w:r w:rsidR="00AE643A" w:rsidRPr="008D6418">
        <w:rPr>
          <w:rFonts w:cs="Calibri"/>
          <w:i/>
          <w:iCs/>
          <w:sz w:val="20"/>
          <w:szCs w:val="20"/>
          <w14:ligatures w14:val="standardContextual"/>
        </w:rPr>
        <w:t>American Journal of Speech-Language Pathology</w:t>
      </w:r>
      <w:r w:rsidR="00AE643A" w:rsidRPr="008D6418">
        <w:rPr>
          <w:rFonts w:cs="Calibri"/>
          <w:sz w:val="20"/>
          <w:szCs w:val="20"/>
          <w14:ligatures w14:val="standardContextual"/>
        </w:rPr>
        <w:t>,</w:t>
      </w:r>
      <w:r w:rsidR="00AE643A" w:rsidRPr="008D6418">
        <w:rPr>
          <w:rFonts w:cs="Calibri"/>
          <w:i/>
          <w:iCs/>
          <w:sz w:val="20"/>
          <w:szCs w:val="20"/>
          <w14:ligatures w14:val="standardContextual"/>
        </w:rPr>
        <w:t xml:space="preserve"> 31</w:t>
      </w:r>
      <w:r w:rsidR="00AE643A" w:rsidRPr="008D6418">
        <w:rPr>
          <w:rFonts w:cs="Calibri"/>
          <w:sz w:val="20"/>
          <w:szCs w:val="20"/>
          <w14:ligatures w14:val="standardContextual"/>
        </w:rPr>
        <w:t xml:space="preserve">(1), 239-256. https://doi.org/doi:10.1044/2021_AJSLP-21-00084 </w:t>
      </w:r>
    </w:p>
    <w:p w14:paraId="4228111F" w14:textId="1AD66845" w:rsidR="00AE643A" w:rsidRPr="008D6418" w:rsidRDefault="003E1723" w:rsidP="00385DA1">
      <w:pPr>
        <w:autoSpaceDE w:val="0"/>
        <w:autoSpaceDN w:val="0"/>
        <w:adjustRightInd w:val="0"/>
        <w:spacing w:line="240" w:lineRule="auto"/>
        <w:ind w:left="720" w:hanging="720"/>
        <w:rPr>
          <w:rFonts w:cs="Calibri"/>
          <w:sz w:val="20"/>
          <w:szCs w:val="20"/>
          <w14:ligatures w14:val="standardContextual"/>
        </w:rPr>
      </w:pPr>
      <w:r>
        <w:rPr>
          <w:rFonts w:cs="Calibri"/>
          <w:sz w:val="20"/>
          <w:szCs w:val="20"/>
          <w14:ligatures w14:val="standardContextual"/>
        </w:rPr>
        <w:t>[8]</w:t>
      </w:r>
      <w:r w:rsidR="00AE643A" w:rsidRPr="008D6418">
        <w:rPr>
          <w:rFonts w:cs="Calibri"/>
          <w:sz w:val="20"/>
          <w:szCs w:val="20"/>
          <w14:ligatures w14:val="standardContextual"/>
        </w:rPr>
        <w:t xml:space="preserve">Yoder, P. J., Symons, F. J., &amp; Lloyd, B. (2018). </w:t>
      </w:r>
      <w:r w:rsidR="00AE643A" w:rsidRPr="008D6418">
        <w:rPr>
          <w:rFonts w:cs="Calibri"/>
          <w:i/>
          <w:iCs/>
          <w:sz w:val="20"/>
          <w:szCs w:val="20"/>
          <w14:ligatures w14:val="standardContextual"/>
        </w:rPr>
        <w:t xml:space="preserve">Observational </w:t>
      </w:r>
      <w:r w:rsidR="00FC1CC6" w:rsidRPr="008D6418">
        <w:rPr>
          <w:rFonts w:cs="Calibri"/>
          <w:i/>
          <w:iCs/>
          <w:sz w:val="20"/>
          <w:szCs w:val="20"/>
          <w14:ligatures w14:val="standardContextual"/>
        </w:rPr>
        <w:t>m</w:t>
      </w:r>
      <w:r w:rsidR="00AE643A" w:rsidRPr="008D6418">
        <w:rPr>
          <w:rFonts w:cs="Calibri"/>
          <w:i/>
          <w:iCs/>
          <w:sz w:val="20"/>
          <w:szCs w:val="20"/>
          <w14:ligatures w14:val="standardContextual"/>
        </w:rPr>
        <w:t>easurement of</w:t>
      </w:r>
      <w:r w:rsidR="00FC1CC6" w:rsidRPr="008D6418">
        <w:rPr>
          <w:rFonts w:cs="Calibri"/>
          <w:i/>
          <w:iCs/>
          <w:sz w:val="20"/>
          <w:szCs w:val="20"/>
          <w14:ligatures w14:val="standardContextual"/>
        </w:rPr>
        <w:t xml:space="preserve"> b</w:t>
      </w:r>
      <w:r w:rsidR="00AE643A" w:rsidRPr="008D6418">
        <w:rPr>
          <w:rFonts w:cs="Calibri"/>
          <w:i/>
          <w:iCs/>
          <w:sz w:val="20"/>
          <w:szCs w:val="20"/>
          <w14:ligatures w14:val="standardContextual"/>
        </w:rPr>
        <w:t>ehavior</w:t>
      </w:r>
      <w:r w:rsidR="00AE643A" w:rsidRPr="008D6418">
        <w:rPr>
          <w:rFonts w:cs="Calibri"/>
          <w:sz w:val="20"/>
          <w:szCs w:val="20"/>
          <w14:ligatures w14:val="standardContextual"/>
        </w:rPr>
        <w:t xml:space="preserve"> (</w:t>
      </w:r>
      <w:r w:rsidR="00EB1B9F" w:rsidRPr="008D6418">
        <w:rPr>
          <w:rFonts w:cs="Calibri"/>
          <w:sz w:val="20"/>
          <w:szCs w:val="20"/>
          <w14:ligatures w14:val="standardContextual"/>
        </w:rPr>
        <w:t>2nd</w:t>
      </w:r>
      <w:r w:rsidR="00AE643A" w:rsidRPr="008D6418">
        <w:rPr>
          <w:rFonts w:cs="Calibri"/>
          <w:sz w:val="20"/>
          <w:szCs w:val="20"/>
          <w14:ligatures w14:val="standardContextual"/>
        </w:rPr>
        <w:t xml:space="preserve"> </w:t>
      </w:r>
      <w:r w:rsidR="00EB1B9F" w:rsidRPr="008D6418">
        <w:rPr>
          <w:rFonts w:cs="Calibri"/>
          <w:sz w:val="20"/>
          <w:szCs w:val="20"/>
          <w14:ligatures w14:val="standardContextual"/>
        </w:rPr>
        <w:t>ed.</w:t>
      </w:r>
      <w:r w:rsidR="00AE643A" w:rsidRPr="008D6418">
        <w:rPr>
          <w:rFonts w:cs="Calibri"/>
          <w:sz w:val="20"/>
          <w:szCs w:val="20"/>
          <w14:ligatures w14:val="standardContextual"/>
        </w:rPr>
        <w:t>)</w:t>
      </w:r>
      <w:r w:rsidR="00EB1B9F" w:rsidRPr="008D6418">
        <w:rPr>
          <w:rFonts w:cs="Calibri"/>
          <w:sz w:val="20"/>
          <w:szCs w:val="20"/>
          <w14:ligatures w14:val="standardContextual"/>
        </w:rPr>
        <w:t>.</w:t>
      </w:r>
      <w:r w:rsidR="00AE643A" w:rsidRPr="008D6418">
        <w:rPr>
          <w:rFonts w:cs="Calibri"/>
          <w:sz w:val="20"/>
          <w:szCs w:val="20"/>
          <w14:ligatures w14:val="standardContextual"/>
        </w:rPr>
        <w:t xml:space="preserve"> Brookes Publishing. </w:t>
      </w:r>
    </w:p>
    <w:p w14:paraId="4D51B641" w14:textId="77777777" w:rsidR="00701FC0" w:rsidRPr="008D6418" w:rsidRDefault="00701FC0" w:rsidP="00701FC0">
      <w:pPr>
        <w:rPr>
          <w:sz w:val="20"/>
          <w:szCs w:val="20"/>
          <w:lang w:val="en-GB"/>
        </w:rPr>
      </w:pPr>
    </w:p>
    <w:p w14:paraId="52C9AE69" w14:textId="77777777" w:rsidR="00701FC0" w:rsidRPr="008D6418" w:rsidRDefault="00701FC0" w:rsidP="00701FC0">
      <w:pPr>
        <w:pStyle w:val="FootnoteText"/>
        <w:rPr>
          <w:rFonts w:asciiTheme="minorHAnsi" w:hAnsiTheme="minorHAnsi"/>
          <w:sz w:val="16"/>
          <w:szCs w:val="16"/>
          <w:lang w:val="en-CA"/>
        </w:rPr>
      </w:pPr>
      <w:r w:rsidRPr="008D6418">
        <w:rPr>
          <w:rStyle w:val="FootnoteReference"/>
          <w:rFonts w:asciiTheme="minorHAnsi" w:hAnsiTheme="minorHAnsi"/>
          <w:sz w:val="16"/>
          <w:szCs w:val="16"/>
        </w:rPr>
        <w:footnoteRef/>
      </w:r>
      <w:r w:rsidRPr="008D6418">
        <w:rPr>
          <w:rFonts w:asciiTheme="minorHAnsi" w:hAnsiTheme="minorHAnsi"/>
          <w:sz w:val="16"/>
          <w:szCs w:val="16"/>
        </w:rPr>
        <w:t xml:space="preserve"> </w:t>
      </w:r>
      <w:r w:rsidRPr="008D6418">
        <w:rPr>
          <w:rFonts w:asciiTheme="minorHAnsi" w:hAnsiTheme="minorHAnsi"/>
          <w:sz w:val="16"/>
          <w:szCs w:val="16"/>
          <w:lang w:val="en-CA"/>
        </w:rPr>
        <w:t>Vanderbilt University</w:t>
      </w:r>
    </w:p>
    <w:p w14:paraId="1E34C0F9" w14:textId="77777777" w:rsidR="00701FC0" w:rsidRPr="008D6418" w:rsidRDefault="00701FC0" w:rsidP="00701FC0">
      <w:pPr>
        <w:pStyle w:val="FootnoteText"/>
        <w:rPr>
          <w:rFonts w:asciiTheme="minorHAnsi" w:hAnsiTheme="minorHAnsi"/>
          <w:sz w:val="16"/>
          <w:szCs w:val="16"/>
          <w:lang w:val="en-CA"/>
        </w:rPr>
      </w:pPr>
      <w:r w:rsidRPr="008D6418">
        <w:rPr>
          <w:rStyle w:val="FootnoteReference"/>
          <w:rFonts w:asciiTheme="minorHAnsi" w:hAnsiTheme="minorHAnsi"/>
          <w:sz w:val="16"/>
          <w:szCs w:val="16"/>
        </w:rPr>
        <w:t>2</w:t>
      </w:r>
      <w:r w:rsidRPr="008D6418">
        <w:rPr>
          <w:rFonts w:asciiTheme="minorHAnsi" w:hAnsiTheme="minorHAnsi"/>
          <w:sz w:val="16"/>
          <w:szCs w:val="16"/>
        </w:rPr>
        <w:t xml:space="preserve"> Vanderbilt </w:t>
      </w:r>
      <w:r w:rsidRPr="008D6418">
        <w:rPr>
          <w:rFonts w:asciiTheme="minorHAnsi" w:hAnsiTheme="minorHAnsi"/>
          <w:sz w:val="16"/>
          <w:szCs w:val="16"/>
          <w:lang w:val="en-CA"/>
        </w:rPr>
        <w:t>University Medical Center</w:t>
      </w:r>
    </w:p>
    <w:p w14:paraId="68DBC73A" w14:textId="77777777" w:rsidR="00701FC0" w:rsidRPr="008D6418" w:rsidRDefault="00701FC0" w:rsidP="00701FC0">
      <w:pPr>
        <w:pStyle w:val="Footer"/>
        <w:rPr>
          <w:sz w:val="16"/>
          <w:szCs w:val="16"/>
        </w:rPr>
      </w:pPr>
      <w:r w:rsidRPr="008D6418">
        <w:rPr>
          <w:rStyle w:val="FootnoteReference"/>
          <w:sz w:val="16"/>
          <w:szCs w:val="16"/>
        </w:rPr>
        <w:t>3</w:t>
      </w:r>
      <w:r w:rsidRPr="008D6418">
        <w:rPr>
          <w:sz w:val="16"/>
          <w:szCs w:val="16"/>
        </w:rPr>
        <w:t xml:space="preserve"> Temple University </w:t>
      </w:r>
    </w:p>
    <w:p w14:paraId="5276F3CE" w14:textId="5EE22186" w:rsidR="00701FC0" w:rsidRPr="008D6418" w:rsidRDefault="00701FC0" w:rsidP="00701FC0">
      <w:pPr>
        <w:pStyle w:val="Footer"/>
        <w:rPr>
          <w:sz w:val="16"/>
          <w:szCs w:val="16"/>
        </w:rPr>
      </w:pPr>
      <w:r w:rsidRPr="008D6418">
        <w:rPr>
          <w:rStyle w:val="FootnoteReference"/>
          <w:sz w:val="16"/>
          <w:szCs w:val="16"/>
        </w:rPr>
        <w:t>4</w:t>
      </w:r>
      <w:r w:rsidRPr="008D6418">
        <w:rPr>
          <w:sz w:val="16"/>
          <w:szCs w:val="16"/>
        </w:rPr>
        <w:t xml:space="preserve"> </w:t>
      </w:r>
      <w:r w:rsidRPr="008D6418">
        <w:rPr>
          <w:sz w:val="16"/>
          <w:szCs w:val="16"/>
          <w:lang w:val="en-CA"/>
        </w:rPr>
        <w:t xml:space="preserve">Kansas </w:t>
      </w:r>
      <w:r w:rsidR="00CF76DE" w:rsidRPr="008D6418">
        <w:rPr>
          <w:sz w:val="16"/>
          <w:szCs w:val="16"/>
          <w:lang w:val="en-CA"/>
        </w:rPr>
        <w:t xml:space="preserve">State </w:t>
      </w:r>
      <w:r w:rsidRPr="008D6418">
        <w:rPr>
          <w:sz w:val="16"/>
          <w:szCs w:val="16"/>
          <w:lang w:val="en-CA"/>
        </w:rPr>
        <w:t>School for the Deaf</w:t>
      </w:r>
    </w:p>
    <w:p w14:paraId="16D232E0" w14:textId="2F168D74" w:rsidR="00CC1658" w:rsidRPr="008D6418" w:rsidRDefault="00CC1658" w:rsidP="00CC1658">
      <w:pPr>
        <w:pStyle w:val="FootnoteText"/>
        <w:rPr>
          <w:rFonts w:asciiTheme="minorHAnsi" w:hAnsiTheme="minorHAnsi"/>
          <w:sz w:val="16"/>
          <w:szCs w:val="16"/>
          <w:lang w:val="en-CA"/>
        </w:rPr>
      </w:pPr>
      <w:r>
        <w:rPr>
          <w:rStyle w:val="FootnoteReference"/>
          <w:rFonts w:asciiTheme="minorHAnsi" w:hAnsiTheme="minorHAnsi"/>
          <w:sz w:val="16"/>
          <w:szCs w:val="16"/>
        </w:rPr>
        <w:t>5</w:t>
      </w:r>
      <w:r w:rsidRPr="008D6418">
        <w:rPr>
          <w:rFonts w:asciiTheme="minorHAnsi" w:hAnsiTheme="minorHAnsi"/>
          <w:sz w:val="16"/>
          <w:szCs w:val="16"/>
        </w:rPr>
        <w:t xml:space="preserve"> </w:t>
      </w:r>
      <w:r w:rsidRPr="008D6418">
        <w:rPr>
          <w:rFonts w:asciiTheme="minorHAnsi" w:hAnsiTheme="minorHAnsi"/>
          <w:sz w:val="16"/>
          <w:szCs w:val="16"/>
          <w:lang w:val="en-CA"/>
        </w:rPr>
        <w:t>Vanderbilt University</w:t>
      </w:r>
      <w:r>
        <w:rPr>
          <w:rFonts w:asciiTheme="minorHAnsi" w:hAnsiTheme="minorHAnsi"/>
          <w:sz w:val="16"/>
          <w:szCs w:val="16"/>
          <w:lang w:val="en-CA"/>
        </w:rPr>
        <w:t xml:space="preserve"> School of Medicine </w:t>
      </w:r>
    </w:p>
    <w:p w14:paraId="0EAE3C5A" w14:textId="77777777" w:rsidR="00701FC0" w:rsidRPr="008D6418" w:rsidRDefault="00701FC0">
      <w:pPr>
        <w:rPr>
          <w:sz w:val="20"/>
          <w:szCs w:val="20"/>
        </w:rPr>
      </w:pPr>
    </w:p>
    <w:sectPr w:rsidR="00701FC0" w:rsidRPr="008D6418" w:rsidSect="00701FC0">
      <w:headerReference w:type="default" r:id="rId7"/>
      <w:footerReference w:type="default" r:id="rId8"/>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21D61" w14:textId="77777777" w:rsidR="007E7A9D" w:rsidRDefault="007E7A9D">
      <w:pPr>
        <w:spacing w:after="0" w:line="240" w:lineRule="auto"/>
      </w:pPr>
      <w:r>
        <w:separator/>
      </w:r>
    </w:p>
  </w:endnote>
  <w:endnote w:type="continuationSeparator" w:id="0">
    <w:p w14:paraId="50BA5B2A" w14:textId="77777777" w:rsidR="007E7A9D" w:rsidRDefault="007E7A9D">
      <w:pPr>
        <w:spacing w:after="0" w:line="240" w:lineRule="auto"/>
      </w:pPr>
      <w:r>
        <w:continuationSeparator/>
      </w:r>
    </w:p>
  </w:endnote>
  <w:endnote w:type="continuationNotice" w:id="1">
    <w:p w14:paraId="23E401B0" w14:textId="77777777" w:rsidR="007E7A9D" w:rsidRDefault="007E7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efa">
    <w:altName w:val="Nyala"/>
    <w:charset w:val="4D"/>
    <w:family w:val="auto"/>
    <w:pitch w:val="variable"/>
    <w:sig w:usb0="800000AF" w:usb1="4000204B" w:usb2="000008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EndPr/>
        <w:sdtContent>
          <w:p w14:paraId="09450AC2" w14:textId="77777777" w:rsidR="003B3AEB" w:rsidRPr="00F361B2" w:rsidRDefault="006F6760"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38BA79DC" w14:textId="77777777" w:rsidR="003B3AEB" w:rsidRDefault="003B3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BCE74" w14:textId="77777777" w:rsidR="007E7A9D" w:rsidRDefault="007E7A9D">
      <w:pPr>
        <w:spacing w:after="0" w:line="240" w:lineRule="auto"/>
      </w:pPr>
      <w:r>
        <w:separator/>
      </w:r>
    </w:p>
  </w:footnote>
  <w:footnote w:type="continuationSeparator" w:id="0">
    <w:p w14:paraId="4A427EC6" w14:textId="77777777" w:rsidR="007E7A9D" w:rsidRDefault="007E7A9D">
      <w:pPr>
        <w:spacing w:after="0" w:line="240" w:lineRule="auto"/>
      </w:pPr>
      <w:r>
        <w:continuationSeparator/>
      </w:r>
    </w:p>
  </w:footnote>
  <w:footnote w:type="continuationNotice" w:id="1">
    <w:p w14:paraId="308A16C2" w14:textId="77777777" w:rsidR="007E7A9D" w:rsidRDefault="007E7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297DC" w14:textId="23A2433F" w:rsidR="003B3AEB" w:rsidRDefault="006F6760">
    <w:pPr>
      <w:pStyle w:val="Header"/>
    </w:pPr>
    <w:r>
      <w:rPr>
        <w:noProof/>
      </w:rPr>
      <mc:AlternateContent>
        <mc:Choice Requires="wpg">
          <w:drawing>
            <wp:anchor distT="0" distB="0" distL="114300" distR="114300" simplePos="0" relativeHeight="251658240" behindDoc="0" locked="0" layoutInCell="0" allowOverlap="1" wp14:anchorId="45B82B52" wp14:editId="3CC33049">
              <wp:simplePos x="0" y="0"/>
              <wp:positionH relativeFrom="margin">
                <wp:posOffset>57862</wp:posOffset>
              </wp:positionH>
              <wp:positionV relativeFrom="topMargin">
                <wp:posOffset>228600</wp:posOffset>
              </wp:positionV>
              <wp:extent cx="6592105" cy="462280"/>
              <wp:effectExtent l="0" t="0" r="0" b="1397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2105" cy="462280"/>
                        <a:chOff x="511" y="360"/>
                        <a:chExt cx="11354" cy="728"/>
                      </a:xfrm>
                    </wpg:grpSpPr>
                    <wps:wsp>
                      <wps:cNvPr id="226" name="Rectangle 197"/>
                      <wps:cNvSpPr>
                        <a:spLocks noChangeArrowheads="1"/>
                      </wps:cNvSpPr>
                      <wps:spPr bwMode="auto">
                        <a:xfrm>
                          <a:off x="511" y="368"/>
                          <a:ext cx="9252" cy="720"/>
                        </a:xfrm>
                        <a:prstGeom prst="rect">
                          <a:avLst/>
                        </a:prstGeom>
                        <a:noFill/>
                        <a:ln w="25400">
                          <a:solidFill>
                            <a:srgbClr val="444C6A"/>
                          </a:solidFill>
                          <a:miter lim="800000"/>
                          <a:headEnd/>
                          <a:tailEnd/>
                        </a:ln>
                      </wps:spPr>
                      <wps:txbx>
                        <w:txbxContent>
                          <w:p w14:paraId="18C96C34" w14:textId="27A6908B" w:rsidR="003B3AEB" w:rsidRPr="007B4CE7" w:rsidRDefault="00524199">
                            <w:pPr>
                              <w:pStyle w:val="Header"/>
                              <w:rPr>
                                <w:rFonts w:ascii="Kefa" w:hAnsi="Kefa"/>
                                <w:b/>
                                <w:color w:val="444C6A"/>
                                <w:sz w:val="36"/>
                                <w:szCs w:val="36"/>
                              </w:rPr>
                            </w:pPr>
                            <w:r w:rsidRPr="00524199">
                              <w:rPr>
                                <w:rFonts w:ascii="Kefa" w:hAnsi="Kefa"/>
                                <w:b/>
                                <w:color w:val="444C6A"/>
                                <w:sz w:val="36"/>
                                <w:szCs w:val="36"/>
                              </w:rPr>
                              <w:t>2024 Gatlinburg Conference Poster Submission</w:t>
                            </w:r>
                          </w:p>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3B3698EA" w14:textId="77777777" w:rsidR="003B3AEB" w:rsidRPr="006535AF" w:rsidRDefault="003B3AEB"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82B52" id="Group 196" o:spid="_x0000_s1026" style="position:absolute;margin-left:4.55pt;margin-top:18pt;width:519.05pt;height:36.4pt;z-index:251658240;mso-position-horizontal-relative:margin;mso-position-vertical-relative:top-margin-area" coordorigin="511,360" coordsize="1135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" o:allowincell="f">
              <v:rect id="Rectangle 197" o:spid="_x0000_s1027" style="position:absolute;left:511;top:368;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p w14:paraId="18C96C34" w14:textId="27A6908B" w:rsidR="003B3AEB" w:rsidRPr="007B4CE7" w:rsidRDefault="00524199">
                      <w:pPr>
                        <w:pStyle w:val="Header"/>
                        <w:rPr>
                          <w:rFonts w:ascii="Kefa" w:hAnsi="Kefa"/>
                          <w:b/>
                          <w:color w:val="444C6A"/>
                          <w:sz w:val="36"/>
                          <w:szCs w:val="36"/>
                        </w:rPr>
                      </w:pPr>
                      <w:r w:rsidRPr="00524199">
                        <w:rPr>
                          <w:rFonts w:ascii="Kefa" w:hAnsi="Kefa"/>
                          <w:b/>
                          <w:color w:val="444C6A"/>
                          <w:sz w:val="36"/>
                          <w:szCs w:val="36"/>
                        </w:rPr>
                        <w:t>2024 Gatlinburg Conference Poster Submission</w:t>
                      </w:r>
                    </w:p>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124f1a [2406]" stroked="f" strokecolor="white" strokeweight="2pt">
                <v:textbox>
                  <w:txbxContent>
                    <w:p w14:paraId="3B3698EA" w14:textId="77777777" w:rsidR="003B3AEB" w:rsidRPr="006535AF" w:rsidRDefault="003B3AEB" w:rsidP="009E1B56">
                      <w:pPr>
                        <w:pStyle w:val="Header"/>
                        <w:jc w:val="center"/>
                        <w:rPr>
                          <w:b/>
                          <w:color w:val="FFFFFF" w:themeColor="background1"/>
                          <w:sz w:val="40"/>
                          <w:szCs w:val="36"/>
                        </w:rPr>
                      </w:pPr>
                    </w:p>
                  </w:txbxContent>
                </v:textbox>
              </v:rect>
              <w10:wrap anchorx="margin" anchory="margin"/>
            </v:group>
          </w:pict>
        </mc:Fallback>
      </mc:AlternateContent>
    </w:r>
  </w:p>
  <w:p w14:paraId="3D48A352" w14:textId="77777777" w:rsidR="003B3AEB" w:rsidRDefault="003B3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4319F"/>
    <w:multiLevelType w:val="hybridMultilevel"/>
    <w:tmpl w:val="1C847ADA"/>
    <w:lvl w:ilvl="0" w:tplc="E96C6CE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22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C0"/>
    <w:rsid w:val="00005A3A"/>
    <w:rsid w:val="00014649"/>
    <w:rsid w:val="00022998"/>
    <w:rsid w:val="00022A15"/>
    <w:rsid w:val="000278DA"/>
    <w:rsid w:val="00042EB1"/>
    <w:rsid w:val="0004525A"/>
    <w:rsid w:val="000575F1"/>
    <w:rsid w:val="00057EFE"/>
    <w:rsid w:val="00063789"/>
    <w:rsid w:val="0006798E"/>
    <w:rsid w:val="00070A2C"/>
    <w:rsid w:val="0009243F"/>
    <w:rsid w:val="00094AA9"/>
    <w:rsid w:val="00097604"/>
    <w:rsid w:val="00097B5D"/>
    <w:rsid w:val="000A0D15"/>
    <w:rsid w:val="000A132B"/>
    <w:rsid w:val="000A224E"/>
    <w:rsid w:val="000B07F6"/>
    <w:rsid w:val="000B2252"/>
    <w:rsid w:val="000B2845"/>
    <w:rsid w:val="000B6149"/>
    <w:rsid w:val="000B684C"/>
    <w:rsid w:val="000B741A"/>
    <w:rsid w:val="000D0C38"/>
    <w:rsid w:val="000D74D9"/>
    <w:rsid w:val="000E68DF"/>
    <w:rsid w:val="000E7C51"/>
    <w:rsid w:val="000F6E50"/>
    <w:rsid w:val="001008F5"/>
    <w:rsid w:val="00102CD5"/>
    <w:rsid w:val="001035D5"/>
    <w:rsid w:val="00103C75"/>
    <w:rsid w:val="0010438E"/>
    <w:rsid w:val="00104BCC"/>
    <w:rsid w:val="00105D0B"/>
    <w:rsid w:val="00106749"/>
    <w:rsid w:val="001124D0"/>
    <w:rsid w:val="00120336"/>
    <w:rsid w:val="001347E5"/>
    <w:rsid w:val="00137432"/>
    <w:rsid w:val="0017193C"/>
    <w:rsid w:val="00180BE9"/>
    <w:rsid w:val="00180D9B"/>
    <w:rsid w:val="00190CA9"/>
    <w:rsid w:val="00191BE1"/>
    <w:rsid w:val="0019371A"/>
    <w:rsid w:val="001A5511"/>
    <w:rsid w:val="001A65C7"/>
    <w:rsid w:val="001B6D3B"/>
    <w:rsid w:val="001B7133"/>
    <w:rsid w:val="001C00C7"/>
    <w:rsid w:val="001C4AEB"/>
    <w:rsid w:val="001D4972"/>
    <w:rsid w:val="001E0123"/>
    <w:rsid w:val="001E07CB"/>
    <w:rsid w:val="001E1111"/>
    <w:rsid w:val="001E28D6"/>
    <w:rsid w:val="001E6FA2"/>
    <w:rsid w:val="001F1FA7"/>
    <w:rsid w:val="001F5605"/>
    <w:rsid w:val="00200353"/>
    <w:rsid w:val="00200A8C"/>
    <w:rsid w:val="0020247F"/>
    <w:rsid w:val="00204BBF"/>
    <w:rsid w:val="00204D16"/>
    <w:rsid w:val="00220C36"/>
    <w:rsid w:val="00221203"/>
    <w:rsid w:val="00224641"/>
    <w:rsid w:val="00226DAE"/>
    <w:rsid w:val="00227FE5"/>
    <w:rsid w:val="0023017B"/>
    <w:rsid w:val="00233A60"/>
    <w:rsid w:val="002456DD"/>
    <w:rsid w:val="00246281"/>
    <w:rsid w:val="002468EB"/>
    <w:rsid w:val="0025624A"/>
    <w:rsid w:val="002564A4"/>
    <w:rsid w:val="002571B9"/>
    <w:rsid w:val="00260AF7"/>
    <w:rsid w:val="00263AF0"/>
    <w:rsid w:val="00266728"/>
    <w:rsid w:val="002704A2"/>
    <w:rsid w:val="002740DB"/>
    <w:rsid w:val="00274318"/>
    <w:rsid w:val="00275514"/>
    <w:rsid w:val="002765F8"/>
    <w:rsid w:val="00286670"/>
    <w:rsid w:val="00290FD1"/>
    <w:rsid w:val="002A2DE9"/>
    <w:rsid w:val="002A713B"/>
    <w:rsid w:val="002A7708"/>
    <w:rsid w:val="002B2162"/>
    <w:rsid w:val="002B39C5"/>
    <w:rsid w:val="002C35FF"/>
    <w:rsid w:val="002C538D"/>
    <w:rsid w:val="002C68D3"/>
    <w:rsid w:val="002C7AC5"/>
    <w:rsid w:val="002C7D9A"/>
    <w:rsid w:val="002D0392"/>
    <w:rsid w:val="002D1D1F"/>
    <w:rsid w:val="002E0BDD"/>
    <w:rsid w:val="002F74AA"/>
    <w:rsid w:val="00300BFE"/>
    <w:rsid w:val="00304A53"/>
    <w:rsid w:val="00307910"/>
    <w:rsid w:val="00314E90"/>
    <w:rsid w:val="00326113"/>
    <w:rsid w:val="00341DE4"/>
    <w:rsid w:val="00342BFF"/>
    <w:rsid w:val="00351DB7"/>
    <w:rsid w:val="003564ED"/>
    <w:rsid w:val="003673DC"/>
    <w:rsid w:val="00385DA1"/>
    <w:rsid w:val="00391931"/>
    <w:rsid w:val="00391C4F"/>
    <w:rsid w:val="00395A6E"/>
    <w:rsid w:val="0039631C"/>
    <w:rsid w:val="003B3AEB"/>
    <w:rsid w:val="003B78D3"/>
    <w:rsid w:val="003C06DA"/>
    <w:rsid w:val="003C3C8B"/>
    <w:rsid w:val="003C51DA"/>
    <w:rsid w:val="003E1690"/>
    <w:rsid w:val="003E1723"/>
    <w:rsid w:val="003E5971"/>
    <w:rsid w:val="003E5E5D"/>
    <w:rsid w:val="00404A6E"/>
    <w:rsid w:val="00411CCE"/>
    <w:rsid w:val="0041285C"/>
    <w:rsid w:val="004269BC"/>
    <w:rsid w:val="00426F12"/>
    <w:rsid w:val="00427B8F"/>
    <w:rsid w:val="00431E93"/>
    <w:rsid w:val="00435937"/>
    <w:rsid w:val="0044381A"/>
    <w:rsid w:val="00446E16"/>
    <w:rsid w:val="004477A9"/>
    <w:rsid w:val="004507A3"/>
    <w:rsid w:val="00450EB3"/>
    <w:rsid w:val="00456C43"/>
    <w:rsid w:val="004573C9"/>
    <w:rsid w:val="00463284"/>
    <w:rsid w:val="0047109F"/>
    <w:rsid w:val="00471E19"/>
    <w:rsid w:val="004756E5"/>
    <w:rsid w:val="00477F2B"/>
    <w:rsid w:val="00480DA6"/>
    <w:rsid w:val="004867AA"/>
    <w:rsid w:val="00486A3B"/>
    <w:rsid w:val="00487427"/>
    <w:rsid w:val="0049420F"/>
    <w:rsid w:val="004A4792"/>
    <w:rsid w:val="004A5E58"/>
    <w:rsid w:val="004A75C3"/>
    <w:rsid w:val="004A7608"/>
    <w:rsid w:val="004C3CE8"/>
    <w:rsid w:val="004C4C9F"/>
    <w:rsid w:val="004C6629"/>
    <w:rsid w:val="004D02DB"/>
    <w:rsid w:val="004D5CB8"/>
    <w:rsid w:val="004F05F5"/>
    <w:rsid w:val="005033B0"/>
    <w:rsid w:val="00507787"/>
    <w:rsid w:val="00514CE4"/>
    <w:rsid w:val="00515595"/>
    <w:rsid w:val="00515FBB"/>
    <w:rsid w:val="0052336B"/>
    <w:rsid w:val="00523747"/>
    <w:rsid w:val="00524199"/>
    <w:rsid w:val="00530C89"/>
    <w:rsid w:val="00535939"/>
    <w:rsid w:val="00540C75"/>
    <w:rsid w:val="00541168"/>
    <w:rsid w:val="00543C93"/>
    <w:rsid w:val="00545B2A"/>
    <w:rsid w:val="00550B39"/>
    <w:rsid w:val="005560C2"/>
    <w:rsid w:val="0056292A"/>
    <w:rsid w:val="00564408"/>
    <w:rsid w:val="0056645A"/>
    <w:rsid w:val="00577BF2"/>
    <w:rsid w:val="005803BE"/>
    <w:rsid w:val="005805B4"/>
    <w:rsid w:val="0058134F"/>
    <w:rsid w:val="00591142"/>
    <w:rsid w:val="00594B7F"/>
    <w:rsid w:val="005975DB"/>
    <w:rsid w:val="00597E11"/>
    <w:rsid w:val="005A0D42"/>
    <w:rsid w:val="005A5DB2"/>
    <w:rsid w:val="005B4BCA"/>
    <w:rsid w:val="005B691F"/>
    <w:rsid w:val="005C545E"/>
    <w:rsid w:val="005D34C2"/>
    <w:rsid w:val="005D66C1"/>
    <w:rsid w:val="005D762D"/>
    <w:rsid w:val="005E07C6"/>
    <w:rsid w:val="005E379A"/>
    <w:rsid w:val="005E71FA"/>
    <w:rsid w:val="005E73DA"/>
    <w:rsid w:val="005F2648"/>
    <w:rsid w:val="005F5B17"/>
    <w:rsid w:val="00604A9E"/>
    <w:rsid w:val="006132D5"/>
    <w:rsid w:val="00624F5F"/>
    <w:rsid w:val="006322DB"/>
    <w:rsid w:val="00635AE9"/>
    <w:rsid w:val="00636642"/>
    <w:rsid w:val="00641FDF"/>
    <w:rsid w:val="00645948"/>
    <w:rsid w:val="00654F8F"/>
    <w:rsid w:val="00656A56"/>
    <w:rsid w:val="00662A47"/>
    <w:rsid w:val="00663958"/>
    <w:rsid w:val="006650C1"/>
    <w:rsid w:val="006658BE"/>
    <w:rsid w:val="00687FFB"/>
    <w:rsid w:val="00693C26"/>
    <w:rsid w:val="00694A14"/>
    <w:rsid w:val="0069714A"/>
    <w:rsid w:val="006A0E35"/>
    <w:rsid w:val="006A7D7B"/>
    <w:rsid w:val="006B0249"/>
    <w:rsid w:val="006B3264"/>
    <w:rsid w:val="006B7F0E"/>
    <w:rsid w:val="006C2C63"/>
    <w:rsid w:val="006C3852"/>
    <w:rsid w:val="006C3DBA"/>
    <w:rsid w:val="006D09DA"/>
    <w:rsid w:val="006D15E4"/>
    <w:rsid w:val="006F341A"/>
    <w:rsid w:val="006F4DFF"/>
    <w:rsid w:val="006F4ED0"/>
    <w:rsid w:val="006F56E3"/>
    <w:rsid w:val="006F6760"/>
    <w:rsid w:val="00701FC0"/>
    <w:rsid w:val="00703616"/>
    <w:rsid w:val="0070742D"/>
    <w:rsid w:val="00707814"/>
    <w:rsid w:val="00711208"/>
    <w:rsid w:val="00717053"/>
    <w:rsid w:val="00722DDC"/>
    <w:rsid w:val="0072580B"/>
    <w:rsid w:val="007259AD"/>
    <w:rsid w:val="00726638"/>
    <w:rsid w:val="00731373"/>
    <w:rsid w:val="0073310A"/>
    <w:rsid w:val="00733F60"/>
    <w:rsid w:val="00746F53"/>
    <w:rsid w:val="007525BD"/>
    <w:rsid w:val="00761901"/>
    <w:rsid w:val="00767862"/>
    <w:rsid w:val="00771A19"/>
    <w:rsid w:val="00775939"/>
    <w:rsid w:val="00776C9E"/>
    <w:rsid w:val="00782CC1"/>
    <w:rsid w:val="00790360"/>
    <w:rsid w:val="0079468E"/>
    <w:rsid w:val="007960FE"/>
    <w:rsid w:val="007A123A"/>
    <w:rsid w:val="007A2B5A"/>
    <w:rsid w:val="007B1ADF"/>
    <w:rsid w:val="007C1C6B"/>
    <w:rsid w:val="007C21B1"/>
    <w:rsid w:val="007C357D"/>
    <w:rsid w:val="007C3FE2"/>
    <w:rsid w:val="007C4B37"/>
    <w:rsid w:val="007D2687"/>
    <w:rsid w:val="007E0D51"/>
    <w:rsid w:val="007E1DDE"/>
    <w:rsid w:val="007E4675"/>
    <w:rsid w:val="007E68B5"/>
    <w:rsid w:val="007E7A9D"/>
    <w:rsid w:val="007F18F3"/>
    <w:rsid w:val="007F5478"/>
    <w:rsid w:val="007F5BF5"/>
    <w:rsid w:val="007F6756"/>
    <w:rsid w:val="00801D8D"/>
    <w:rsid w:val="00813776"/>
    <w:rsid w:val="00813C74"/>
    <w:rsid w:val="00815D71"/>
    <w:rsid w:val="008252D9"/>
    <w:rsid w:val="00827D7A"/>
    <w:rsid w:val="00832E4B"/>
    <w:rsid w:val="00833643"/>
    <w:rsid w:val="00834D18"/>
    <w:rsid w:val="00835A9A"/>
    <w:rsid w:val="008371F7"/>
    <w:rsid w:val="008455C3"/>
    <w:rsid w:val="00854BEE"/>
    <w:rsid w:val="00855529"/>
    <w:rsid w:val="00857461"/>
    <w:rsid w:val="00873278"/>
    <w:rsid w:val="00873690"/>
    <w:rsid w:val="00881C41"/>
    <w:rsid w:val="008863A7"/>
    <w:rsid w:val="008A182D"/>
    <w:rsid w:val="008A5340"/>
    <w:rsid w:val="008A5E57"/>
    <w:rsid w:val="008A6E22"/>
    <w:rsid w:val="008A6F55"/>
    <w:rsid w:val="008A7B34"/>
    <w:rsid w:val="008B168F"/>
    <w:rsid w:val="008B6196"/>
    <w:rsid w:val="008B6A39"/>
    <w:rsid w:val="008C2219"/>
    <w:rsid w:val="008C327B"/>
    <w:rsid w:val="008C566B"/>
    <w:rsid w:val="008D0E71"/>
    <w:rsid w:val="008D5738"/>
    <w:rsid w:val="008D6418"/>
    <w:rsid w:val="008D7F66"/>
    <w:rsid w:val="009151FF"/>
    <w:rsid w:val="0091730B"/>
    <w:rsid w:val="0091772A"/>
    <w:rsid w:val="00921FFF"/>
    <w:rsid w:val="009329A3"/>
    <w:rsid w:val="00933521"/>
    <w:rsid w:val="00943157"/>
    <w:rsid w:val="009476E5"/>
    <w:rsid w:val="0095121E"/>
    <w:rsid w:val="00952483"/>
    <w:rsid w:val="00961860"/>
    <w:rsid w:val="00962271"/>
    <w:rsid w:val="00962602"/>
    <w:rsid w:val="00966C89"/>
    <w:rsid w:val="00967660"/>
    <w:rsid w:val="00971B47"/>
    <w:rsid w:val="00973D8E"/>
    <w:rsid w:val="0097570A"/>
    <w:rsid w:val="00981D6F"/>
    <w:rsid w:val="0098380A"/>
    <w:rsid w:val="009855A5"/>
    <w:rsid w:val="00986107"/>
    <w:rsid w:val="009862DE"/>
    <w:rsid w:val="0098642E"/>
    <w:rsid w:val="009870BB"/>
    <w:rsid w:val="00987D47"/>
    <w:rsid w:val="009A057D"/>
    <w:rsid w:val="009A752D"/>
    <w:rsid w:val="009B4C50"/>
    <w:rsid w:val="009B6780"/>
    <w:rsid w:val="009C0086"/>
    <w:rsid w:val="009C015E"/>
    <w:rsid w:val="009C3B5C"/>
    <w:rsid w:val="009C4A38"/>
    <w:rsid w:val="009C6E79"/>
    <w:rsid w:val="009D068F"/>
    <w:rsid w:val="009D210D"/>
    <w:rsid w:val="009E43C9"/>
    <w:rsid w:val="009F0994"/>
    <w:rsid w:val="009F134A"/>
    <w:rsid w:val="009F28B2"/>
    <w:rsid w:val="009F437C"/>
    <w:rsid w:val="00A03633"/>
    <w:rsid w:val="00A03D06"/>
    <w:rsid w:val="00A145D5"/>
    <w:rsid w:val="00A21365"/>
    <w:rsid w:val="00A24700"/>
    <w:rsid w:val="00A26658"/>
    <w:rsid w:val="00A27F53"/>
    <w:rsid w:val="00A36CF5"/>
    <w:rsid w:val="00A40DA1"/>
    <w:rsid w:val="00A46BA9"/>
    <w:rsid w:val="00A50089"/>
    <w:rsid w:val="00A51469"/>
    <w:rsid w:val="00A5235C"/>
    <w:rsid w:val="00A5626B"/>
    <w:rsid w:val="00A66DB9"/>
    <w:rsid w:val="00A7056F"/>
    <w:rsid w:val="00A86870"/>
    <w:rsid w:val="00A9417C"/>
    <w:rsid w:val="00A94F46"/>
    <w:rsid w:val="00AA1045"/>
    <w:rsid w:val="00AA751C"/>
    <w:rsid w:val="00AB60F9"/>
    <w:rsid w:val="00AB6FCE"/>
    <w:rsid w:val="00AB758C"/>
    <w:rsid w:val="00AC3BB3"/>
    <w:rsid w:val="00AC3F63"/>
    <w:rsid w:val="00AC51EA"/>
    <w:rsid w:val="00AD1593"/>
    <w:rsid w:val="00AE179D"/>
    <w:rsid w:val="00AE643A"/>
    <w:rsid w:val="00AF6C77"/>
    <w:rsid w:val="00B067B0"/>
    <w:rsid w:val="00B07D87"/>
    <w:rsid w:val="00B13028"/>
    <w:rsid w:val="00B2005B"/>
    <w:rsid w:val="00B2779D"/>
    <w:rsid w:val="00B32E1F"/>
    <w:rsid w:val="00B35E3C"/>
    <w:rsid w:val="00B37450"/>
    <w:rsid w:val="00B4286B"/>
    <w:rsid w:val="00B44F49"/>
    <w:rsid w:val="00B46069"/>
    <w:rsid w:val="00B501EF"/>
    <w:rsid w:val="00B509DE"/>
    <w:rsid w:val="00B51F38"/>
    <w:rsid w:val="00B54519"/>
    <w:rsid w:val="00B60296"/>
    <w:rsid w:val="00B614DD"/>
    <w:rsid w:val="00B653EE"/>
    <w:rsid w:val="00B6797E"/>
    <w:rsid w:val="00B714E7"/>
    <w:rsid w:val="00B75958"/>
    <w:rsid w:val="00B7595F"/>
    <w:rsid w:val="00B81396"/>
    <w:rsid w:val="00B819D0"/>
    <w:rsid w:val="00B821B6"/>
    <w:rsid w:val="00B9170B"/>
    <w:rsid w:val="00B94EED"/>
    <w:rsid w:val="00BA141D"/>
    <w:rsid w:val="00BA7691"/>
    <w:rsid w:val="00BB51B2"/>
    <w:rsid w:val="00BB671C"/>
    <w:rsid w:val="00BC0C64"/>
    <w:rsid w:val="00BC3274"/>
    <w:rsid w:val="00BC4533"/>
    <w:rsid w:val="00BD12D3"/>
    <w:rsid w:val="00BD37D9"/>
    <w:rsid w:val="00BD59B9"/>
    <w:rsid w:val="00BE0D21"/>
    <w:rsid w:val="00BF5490"/>
    <w:rsid w:val="00BF5C48"/>
    <w:rsid w:val="00BF7C63"/>
    <w:rsid w:val="00C00BAE"/>
    <w:rsid w:val="00C066D4"/>
    <w:rsid w:val="00C06BCF"/>
    <w:rsid w:val="00C1045D"/>
    <w:rsid w:val="00C12533"/>
    <w:rsid w:val="00C14DCD"/>
    <w:rsid w:val="00C20D15"/>
    <w:rsid w:val="00C23AC7"/>
    <w:rsid w:val="00C26BB6"/>
    <w:rsid w:val="00C37367"/>
    <w:rsid w:val="00C44D14"/>
    <w:rsid w:val="00C50A7D"/>
    <w:rsid w:val="00C566CE"/>
    <w:rsid w:val="00C613B1"/>
    <w:rsid w:val="00C722F4"/>
    <w:rsid w:val="00C760F3"/>
    <w:rsid w:val="00C80B7F"/>
    <w:rsid w:val="00C82950"/>
    <w:rsid w:val="00C840F8"/>
    <w:rsid w:val="00C90A7F"/>
    <w:rsid w:val="00C948BE"/>
    <w:rsid w:val="00C95602"/>
    <w:rsid w:val="00C97522"/>
    <w:rsid w:val="00CA46EC"/>
    <w:rsid w:val="00CA7F9A"/>
    <w:rsid w:val="00CB08FB"/>
    <w:rsid w:val="00CC1658"/>
    <w:rsid w:val="00CD63CA"/>
    <w:rsid w:val="00CE09C0"/>
    <w:rsid w:val="00CE0EC6"/>
    <w:rsid w:val="00CE26AB"/>
    <w:rsid w:val="00CF5FCF"/>
    <w:rsid w:val="00CF76DE"/>
    <w:rsid w:val="00CF79B5"/>
    <w:rsid w:val="00D1207A"/>
    <w:rsid w:val="00D200B4"/>
    <w:rsid w:val="00D204C4"/>
    <w:rsid w:val="00D26539"/>
    <w:rsid w:val="00D27D64"/>
    <w:rsid w:val="00D442A5"/>
    <w:rsid w:val="00D54924"/>
    <w:rsid w:val="00D54B77"/>
    <w:rsid w:val="00D60C1E"/>
    <w:rsid w:val="00D6157E"/>
    <w:rsid w:val="00D71F13"/>
    <w:rsid w:val="00D77D4D"/>
    <w:rsid w:val="00D8082F"/>
    <w:rsid w:val="00D86C7C"/>
    <w:rsid w:val="00D9313A"/>
    <w:rsid w:val="00D94073"/>
    <w:rsid w:val="00D94B7F"/>
    <w:rsid w:val="00D95F92"/>
    <w:rsid w:val="00DA04B8"/>
    <w:rsid w:val="00DA1E63"/>
    <w:rsid w:val="00DA27BD"/>
    <w:rsid w:val="00DB1085"/>
    <w:rsid w:val="00DB1529"/>
    <w:rsid w:val="00DB2AA6"/>
    <w:rsid w:val="00DC1267"/>
    <w:rsid w:val="00DC17C7"/>
    <w:rsid w:val="00DD3BD9"/>
    <w:rsid w:val="00DD6038"/>
    <w:rsid w:val="00DE461E"/>
    <w:rsid w:val="00DF1AD3"/>
    <w:rsid w:val="00DF3668"/>
    <w:rsid w:val="00E00A07"/>
    <w:rsid w:val="00E02F5F"/>
    <w:rsid w:val="00E1034C"/>
    <w:rsid w:val="00E22443"/>
    <w:rsid w:val="00E251C2"/>
    <w:rsid w:val="00E30E04"/>
    <w:rsid w:val="00E31248"/>
    <w:rsid w:val="00E351CB"/>
    <w:rsid w:val="00E36281"/>
    <w:rsid w:val="00E42E5E"/>
    <w:rsid w:val="00E47E6B"/>
    <w:rsid w:val="00E714C9"/>
    <w:rsid w:val="00E73515"/>
    <w:rsid w:val="00E76618"/>
    <w:rsid w:val="00E82BAB"/>
    <w:rsid w:val="00E8391A"/>
    <w:rsid w:val="00EA1E2E"/>
    <w:rsid w:val="00EA3EFE"/>
    <w:rsid w:val="00EA4BBF"/>
    <w:rsid w:val="00EA6161"/>
    <w:rsid w:val="00EB0B52"/>
    <w:rsid w:val="00EB1B9F"/>
    <w:rsid w:val="00EB2CFB"/>
    <w:rsid w:val="00EB5D0C"/>
    <w:rsid w:val="00EB71F2"/>
    <w:rsid w:val="00EC3DF0"/>
    <w:rsid w:val="00EC5C50"/>
    <w:rsid w:val="00EC7222"/>
    <w:rsid w:val="00EC7403"/>
    <w:rsid w:val="00ED36F7"/>
    <w:rsid w:val="00ED61E4"/>
    <w:rsid w:val="00ED72DC"/>
    <w:rsid w:val="00EE3441"/>
    <w:rsid w:val="00EE447B"/>
    <w:rsid w:val="00EE7546"/>
    <w:rsid w:val="00EF5C13"/>
    <w:rsid w:val="00F008F2"/>
    <w:rsid w:val="00F00CF4"/>
    <w:rsid w:val="00F10727"/>
    <w:rsid w:val="00F13021"/>
    <w:rsid w:val="00F2440D"/>
    <w:rsid w:val="00F42775"/>
    <w:rsid w:val="00F60146"/>
    <w:rsid w:val="00F6032B"/>
    <w:rsid w:val="00F60BE2"/>
    <w:rsid w:val="00F628EA"/>
    <w:rsid w:val="00F6498C"/>
    <w:rsid w:val="00F71B83"/>
    <w:rsid w:val="00F76C90"/>
    <w:rsid w:val="00F804E0"/>
    <w:rsid w:val="00F83BA7"/>
    <w:rsid w:val="00F85C4D"/>
    <w:rsid w:val="00F906AB"/>
    <w:rsid w:val="00FA0891"/>
    <w:rsid w:val="00FA248E"/>
    <w:rsid w:val="00FB1CE1"/>
    <w:rsid w:val="00FB2BF7"/>
    <w:rsid w:val="00FB399D"/>
    <w:rsid w:val="00FB7A04"/>
    <w:rsid w:val="00FC12AB"/>
    <w:rsid w:val="00FC12C3"/>
    <w:rsid w:val="00FC1CC6"/>
    <w:rsid w:val="00FF40D9"/>
    <w:rsid w:val="00FF44A0"/>
    <w:rsid w:val="00FF5310"/>
    <w:rsid w:val="00FF6B5F"/>
    <w:rsid w:val="0750FA3F"/>
    <w:rsid w:val="269EDAE0"/>
    <w:rsid w:val="3DDF6855"/>
    <w:rsid w:val="5FD98527"/>
    <w:rsid w:val="7E24B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BA10B"/>
  <w15:chartTrackingRefBased/>
  <w15:docId w15:val="{6F3D6D53-F7C6-4C58-83FB-EC3134D9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C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01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FC0"/>
    <w:rPr>
      <w:rFonts w:eastAsiaTheme="majorEastAsia" w:cstheme="majorBidi"/>
      <w:color w:val="272727" w:themeColor="text1" w:themeTint="D8"/>
    </w:rPr>
  </w:style>
  <w:style w:type="paragraph" w:styleId="Title">
    <w:name w:val="Title"/>
    <w:basedOn w:val="Normal"/>
    <w:next w:val="Normal"/>
    <w:link w:val="TitleChar"/>
    <w:uiPriority w:val="10"/>
    <w:qFormat/>
    <w:rsid w:val="00701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FC0"/>
    <w:pPr>
      <w:spacing w:before="160"/>
      <w:jc w:val="center"/>
    </w:pPr>
    <w:rPr>
      <w:i/>
      <w:iCs/>
      <w:color w:val="404040" w:themeColor="text1" w:themeTint="BF"/>
    </w:rPr>
  </w:style>
  <w:style w:type="character" w:customStyle="1" w:styleId="QuoteChar">
    <w:name w:val="Quote Char"/>
    <w:basedOn w:val="DefaultParagraphFont"/>
    <w:link w:val="Quote"/>
    <w:uiPriority w:val="29"/>
    <w:rsid w:val="00701FC0"/>
    <w:rPr>
      <w:i/>
      <w:iCs/>
      <w:color w:val="404040" w:themeColor="text1" w:themeTint="BF"/>
    </w:rPr>
  </w:style>
  <w:style w:type="paragraph" w:styleId="ListParagraph">
    <w:name w:val="List Paragraph"/>
    <w:basedOn w:val="Normal"/>
    <w:uiPriority w:val="34"/>
    <w:qFormat/>
    <w:rsid w:val="00701FC0"/>
    <w:pPr>
      <w:ind w:left="720"/>
      <w:contextualSpacing/>
    </w:pPr>
  </w:style>
  <w:style w:type="character" w:styleId="IntenseEmphasis">
    <w:name w:val="Intense Emphasis"/>
    <w:basedOn w:val="DefaultParagraphFont"/>
    <w:uiPriority w:val="21"/>
    <w:qFormat/>
    <w:rsid w:val="00701FC0"/>
    <w:rPr>
      <w:i/>
      <w:iCs/>
      <w:color w:val="0F4761" w:themeColor="accent1" w:themeShade="BF"/>
    </w:rPr>
  </w:style>
  <w:style w:type="paragraph" w:styleId="IntenseQuote">
    <w:name w:val="Intense Quote"/>
    <w:basedOn w:val="Normal"/>
    <w:next w:val="Normal"/>
    <w:link w:val="IntenseQuoteChar"/>
    <w:uiPriority w:val="30"/>
    <w:qFormat/>
    <w:rsid w:val="00701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FC0"/>
    <w:rPr>
      <w:i/>
      <w:iCs/>
      <w:color w:val="0F4761" w:themeColor="accent1" w:themeShade="BF"/>
    </w:rPr>
  </w:style>
  <w:style w:type="character" w:styleId="IntenseReference">
    <w:name w:val="Intense Reference"/>
    <w:basedOn w:val="DefaultParagraphFont"/>
    <w:uiPriority w:val="32"/>
    <w:qFormat/>
    <w:rsid w:val="00701FC0"/>
    <w:rPr>
      <w:b/>
      <w:bCs/>
      <w:smallCaps/>
      <w:color w:val="0F4761" w:themeColor="accent1" w:themeShade="BF"/>
      <w:spacing w:val="5"/>
    </w:rPr>
  </w:style>
  <w:style w:type="paragraph" w:styleId="Header">
    <w:name w:val="header"/>
    <w:basedOn w:val="Normal"/>
    <w:link w:val="HeaderChar"/>
    <w:uiPriority w:val="99"/>
    <w:unhideWhenUsed/>
    <w:rsid w:val="00701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C0"/>
    <w:rPr>
      <w:kern w:val="0"/>
      <w:sz w:val="22"/>
      <w:szCs w:val="22"/>
      <w14:ligatures w14:val="none"/>
    </w:rPr>
  </w:style>
  <w:style w:type="paragraph" w:styleId="Footer">
    <w:name w:val="footer"/>
    <w:basedOn w:val="Normal"/>
    <w:link w:val="FooterChar"/>
    <w:uiPriority w:val="99"/>
    <w:unhideWhenUsed/>
    <w:rsid w:val="00701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C0"/>
    <w:rPr>
      <w:kern w:val="0"/>
      <w:sz w:val="22"/>
      <w:szCs w:val="22"/>
      <w14:ligatures w14:val="none"/>
    </w:rPr>
  </w:style>
  <w:style w:type="paragraph" w:styleId="FootnoteText">
    <w:name w:val="footnote text"/>
    <w:basedOn w:val="Normal"/>
    <w:link w:val="FootnoteTextChar"/>
    <w:uiPriority w:val="99"/>
    <w:semiHidden/>
    <w:unhideWhenUsed/>
    <w:rsid w:val="00701FC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01FC0"/>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701FC0"/>
    <w:rPr>
      <w:vertAlign w:val="superscript"/>
    </w:rPr>
  </w:style>
  <w:style w:type="character" w:styleId="CommentReference">
    <w:name w:val="annotation reference"/>
    <w:basedOn w:val="DefaultParagraphFont"/>
    <w:uiPriority w:val="99"/>
    <w:semiHidden/>
    <w:unhideWhenUsed/>
    <w:rsid w:val="00701FC0"/>
    <w:rPr>
      <w:sz w:val="16"/>
      <w:szCs w:val="16"/>
    </w:rPr>
  </w:style>
  <w:style w:type="paragraph" w:styleId="CommentText">
    <w:name w:val="annotation text"/>
    <w:basedOn w:val="Normal"/>
    <w:link w:val="CommentTextChar"/>
    <w:uiPriority w:val="99"/>
    <w:unhideWhenUsed/>
    <w:rsid w:val="00701FC0"/>
    <w:pPr>
      <w:spacing w:line="240" w:lineRule="auto"/>
    </w:pPr>
    <w:rPr>
      <w:sz w:val="20"/>
      <w:szCs w:val="20"/>
    </w:rPr>
  </w:style>
  <w:style w:type="character" w:customStyle="1" w:styleId="CommentTextChar">
    <w:name w:val="Comment Text Char"/>
    <w:basedOn w:val="DefaultParagraphFont"/>
    <w:link w:val="CommentText"/>
    <w:uiPriority w:val="99"/>
    <w:rsid w:val="00701FC0"/>
    <w:rPr>
      <w:kern w:val="0"/>
      <w:sz w:val="20"/>
      <w:szCs w:val="20"/>
      <w14:ligatures w14:val="none"/>
    </w:rPr>
  </w:style>
  <w:style w:type="table" w:styleId="TableGrid">
    <w:name w:val="Table Grid"/>
    <w:basedOn w:val="TableNormal"/>
    <w:uiPriority w:val="39"/>
    <w:rsid w:val="0070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631C"/>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6B3264"/>
    <w:rPr>
      <w:b/>
      <w:bCs/>
    </w:rPr>
  </w:style>
  <w:style w:type="character" w:customStyle="1" w:styleId="CommentSubjectChar">
    <w:name w:val="Comment Subject Char"/>
    <w:basedOn w:val="CommentTextChar"/>
    <w:link w:val="CommentSubject"/>
    <w:uiPriority w:val="99"/>
    <w:semiHidden/>
    <w:rsid w:val="006B326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2414">
      <w:bodyDiv w:val="1"/>
      <w:marLeft w:val="0"/>
      <w:marRight w:val="0"/>
      <w:marTop w:val="0"/>
      <w:marBottom w:val="0"/>
      <w:divBdr>
        <w:top w:val="none" w:sz="0" w:space="0" w:color="auto"/>
        <w:left w:val="none" w:sz="0" w:space="0" w:color="auto"/>
        <w:bottom w:val="none" w:sz="0" w:space="0" w:color="auto"/>
        <w:right w:val="none" w:sz="0" w:space="0" w:color="auto"/>
      </w:divBdr>
    </w:div>
    <w:div w:id="1766800817">
      <w:bodyDiv w:val="1"/>
      <w:marLeft w:val="0"/>
      <w:marRight w:val="0"/>
      <w:marTop w:val="0"/>
      <w:marBottom w:val="0"/>
      <w:divBdr>
        <w:top w:val="none" w:sz="0" w:space="0" w:color="auto"/>
        <w:left w:val="none" w:sz="0" w:space="0" w:color="auto"/>
        <w:bottom w:val="none" w:sz="0" w:space="0" w:color="auto"/>
        <w:right w:val="none" w:sz="0" w:space="0" w:color="auto"/>
      </w:divBdr>
    </w:div>
    <w:div w:id="19555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Valtierra, Adriana M</dc:creator>
  <cp:keywords/>
  <dc:description/>
  <cp:lastModifiedBy>Valtierra, Adriana M</cp:lastModifiedBy>
  <cp:revision>29</cp:revision>
  <dcterms:created xsi:type="dcterms:W3CDTF">2024-11-01T14:16:00Z</dcterms:created>
  <dcterms:modified xsi:type="dcterms:W3CDTF">2024-11-01T18:42:00Z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2024-10-22T23:54:57Z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b78d3aa5-e436-4ce4-91e7-f8bd1c9bb8a9</vt:lpwstr>
  </property>
  <property fmtid="{D5CDD505-2E9C-101B-9397-08002B2CF9AE}" pid="8" name="MSIP_Label_792c8cef-6f2b-4af1-b4ac-d815ff795cd6_ContentBits">
    <vt:lpwstr>0</vt:lpwstr>
  </property>
</Properties>
</file>