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0370" w14:textId="4927F4FE" w:rsidR="003D6244" w:rsidRPr="009E00A7" w:rsidRDefault="003D6244">
      <w:pPr>
        <w:rPr>
          <w:sz w:val="20"/>
          <w:szCs w:val="20"/>
        </w:rPr>
      </w:pPr>
      <w:r w:rsidRPr="7C21B140">
        <w:rPr>
          <w:b/>
          <w:bCs/>
          <w:sz w:val="20"/>
          <w:szCs w:val="20"/>
        </w:rPr>
        <w:t>Title</w:t>
      </w:r>
      <w:r w:rsidRPr="7C21B140">
        <w:rPr>
          <w:sz w:val="20"/>
          <w:szCs w:val="20"/>
        </w:rPr>
        <w:t xml:space="preserve">: </w:t>
      </w:r>
      <w:r w:rsidR="00EA7E70" w:rsidRPr="7C21B140">
        <w:rPr>
          <w:sz w:val="20"/>
          <w:szCs w:val="20"/>
        </w:rPr>
        <w:t>Explor</w:t>
      </w:r>
      <w:r w:rsidR="006587D1" w:rsidRPr="7C21B140">
        <w:rPr>
          <w:sz w:val="20"/>
          <w:szCs w:val="20"/>
        </w:rPr>
        <w:t xml:space="preserve">ing </w:t>
      </w:r>
      <w:r w:rsidR="00EA7E70" w:rsidRPr="7C21B140">
        <w:rPr>
          <w:sz w:val="20"/>
          <w:szCs w:val="20"/>
        </w:rPr>
        <w:t>Early Language in Down Syndrome:</w:t>
      </w:r>
      <w:r w:rsidR="003F4F8F" w:rsidRPr="7C21B140">
        <w:rPr>
          <w:sz w:val="20"/>
          <w:szCs w:val="20"/>
        </w:rPr>
        <w:t xml:space="preserve"> Creating a System to Describe Vocalizations</w:t>
      </w:r>
      <w:r w:rsidR="00DA24FA" w:rsidRPr="7C21B140">
        <w:rPr>
          <w:sz w:val="20"/>
          <w:szCs w:val="20"/>
        </w:rPr>
        <w:t xml:space="preserve"> and Compar</w:t>
      </w:r>
      <w:r w:rsidR="02399C15" w:rsidRPr="7C21B140">
        <w:rPr>
          <w:sz w:val="20"/>
          <w:szCs w:val="20"/>
        </w:rPr>
        <w:t>e</w:t>
      </w:r>
      <w:r w:rsidR="00DA24FA" w:rsidRPr="7C21B140">
        <w:rPr>
          <w:sz w:val="20"/>
          <w:szCs w:val="20"/>
        </w:rPr>
        <w:t xml:space="preserve"> to Standardized Scores</w:t>
      </w:r>
      <w:r w:rsidR="5DF3D157" w:rsidRPr="7C21B140">
        <w:rPr>
          <w:sz w:val="20"/>
          <w:szCs w:val="20"/>
        </w:rPr>
        <w:t xml:space="preserve"> at Age 2</w:t>
      </w:r>
    </w:p>
    <w:p w14:paraId="7136E10E" w14:textId="335BB84F" w:rsidR="005A2FB9" w:rsidRPr="00825305" w:rsidRDefault="003D6244" w:rsidP="00825305">
      <w:pPr>
        <w:rPr>
          <w:sz w:val="20"/>
          <w:szCs w:val="20"/>
          <w:vertAlign w:val="superscript"/>
        </w:rPr>
      </w:pPr>
      <w:r w:rsidRPr="53DCC51D">
        <w:rPr>
          <w:b/>
          <w:bCs/>
          <w:sz w:val="20"/>
          <w:szCs w:val="20"/>
        </w:rPr>
        <w:t>Authors</w:t>
      </w:r>
      <w:r w:rsidRPr="53DCC51D">
        <w:rPr>
          <w:sz w:val="20"/>
          <w:szCs w:val="20"/>
        </w:rPr>
        <w:t xml:space="preserve">: </w:t>
      </w:r>
      <w:r w:rsidR="00D560B6" w:rsidRPr="53DCC51D">
        <w:rPr>
          <w:sz w:val="20"/>
          <w:szCs w:val="20"/>
        </w:rPr>
        <w:t>Sarah Schillinger</w:t>
      </w:r>
      <w:r w:rsidRPr="53DCC51D">
        <w:rPr>
          <w:sz w:val="20"/>
          <w:szCs w:val="20"/>
          <w:vertAlign w:val="superscript"/>
        </w:rPr>
        <w:t>1</w:t>
      </w:r>
      <w:r w:rsidRPr="53DCC51D">
        <w:rPr>
          <w:sz w:val="20"/>
          <w:szCs w:val="20"/>
        </w:rPr>
        <w:t xml:space="preserve">, </w:t>
      </w:r>
      <w:r w:rsidR="00041FF2" w:rsidRPr="53DCC51D">
        <w:rPr>
          <w:rFonts w:ascii="Calibri" w:eastAsia="Calibri" w:hAnsi="Calibri" w:cs="Calibri"/>
          <w:sz w:val="20"/>
          <w:szCs w:val="20"/>
        </w:rPr>
        <w:t>Meg Lyons</w:t>
      </w:r>
      <w:r w:rsidR="008E56AA" w:rsidRPr="53DCC51D">
        <w:rPr>
          <w:sz w:val="20"/>
          <w:szCs w:val="20"/>
          <w:vertAlign w:val="superscript"/>
        </w:rPr>
        <w:t>1</w:t>
      </w:r>
      <w:r w:rsidR="00041FF2" w:rsidRPr="53DCC51D">
        <w:rPr>
          <w:rFonts w:ascii="Calibri" w:eastAsia="Calibri" w:hAnsi="Calibri" w:cs="Calibri"/>
          <w:sz w:val="20"/>
          <w:szCs w:val="20"/>
        </w:rPr>
        <w:t>, Amanda Lee</w:t>
      </w:r>
      <w:r w:rsidR="008E56AA" w:rsidRPr="53DCC51D">
        <w:rPr>
          <w:sz w:val="20"/>
          <w:szCs w:val="20"/>
          <w:vertAlign w:val="superscript"/>
        </w:rPr>
        <w:t>1</w:t>
      </w:r>
      <w:r w:rsidR="00041FF2" w:rsidRPr="53DCC51D">
        <w:rPr>
          <w:rFonts w:ascii="Calibri" w:eastAsia="Calibri" w:hAnsi="Calibri" w:cs="Calibri"/>
          <w:sz w:val="20"/>
          <w:szCs w:val="20"/>
        </w:rPr>
        <w:t xml:space="preserve">, </w:t>
      </w:r>
      <w:r w:rsidR="00727A92" w:rsidRPr="53DCC51D">
        <w:rPr>
          <w:rFonts w:ascii="Calibri" w:eastAsia="Calibri" w:hAnsi="Calibri" w:cs="Calibri"/>
          <w:sz w:val="20"/>
          <w:szCs w:val="20"/>
        </w:rPr>
        <w:t>Lizzy Fulop</w:t>
      </w:r>
      <w:r w:rsidR="008E56AA" w:rsidRPr="53DCC51D">
        <w:rPr>
          <w:sz w:val="20"/>
          <w:szCs w:val="20"/>
          <w:vertAlign w:val="superscript"/>
        </w:rPr>
        <w:t>1</w:t>
      </w:r>
      <w:r w:rsidR="00727A92" w:rsidRPr="53DCC51D">
        <w:rPr>
          <w:rFonts w:ascii="Calibri" w:eastAsia="Calibri" w:hAnsi="Calibri" w:cs="Calibri"/>
          <w:sz w:val="20"/>
          <w:szCs w:val="20"/>
        </w:rPr>
        <w:t xml:space="preserve">, </w:t>
      </w:r>
      <w:r w:rsidR="00041FF2" w:rsidRPr="53DCC51D">
        <w:rPr>
          <w:rFonts w:ascii="Calibri" w:eastAsia="Calibri" w:hAnsi="Calibri" w:cs="Calibri"/>
          <w:sz w:val="20"/>
          <w:szCs w:val="20"/>
        </w:rPr>
        <w:t>Samantha Valdes</w:t>
      </w:r>
      <w:r w:rsidR="008E56AA" w:rsidRPr="53DCC51D">
        <w:rPr>
          <w:sz w:val="20"/>
          <w:szCs w:val="20"/>
          <w:vertAlign w:val="superscript"/>
        </w:rPr>
        <w:t>1</w:t>
      </w:r>
      <w:r w:rsidR="00041FF2" w:rsidRPr="53DCC51D">
        <w:rPr>
          <w:rFonts w:ascii="Calibri" w:eastAsia="Calibri" w:hAnsi="Calibri" w:cs="Calibri"/>
          <w:sz w:val="20"/>
          <w:szCs w:val="20"/>
        </w:rPr>
        <w:t>, Marion Schroder</w:t>
      </w:r>
      <w:r w:rsidR="008E56AA" w:rsidRPr="53DCC51D">
        <w:rPr>
          <w:sz w:val="20"/>
          <w:szCs w:val="20"/>
          <w:vertAlign w:val="superscript"/>
        </w:rPr>
        <w:t>1</w:t>
      </w:r>
      <w:r w:rsidR="00041FF2" w:rsidRPr="53DCC51D">
        <w:rPr>
          <w:rFonts w:ascii="Calibri" w:eastAsia="Calibri" w:hAnsi="Calibri" w:cs="Calibri"/>
          <w:sz w:val="20"/>
          <w:szCs w:val="20"/>
        </w:rPr>
        <w:t>, A</w:t>
      </w:r>
      <w:r w:rsidR="00155D8F">
        <w:rPr>
          <w:rFonts w:ascii="Calibri" w:eastAsia="Calibri" w:hAnsi="Calibri" w:cs="Calibri"/>
          <w:sz w:val="20"/>
          <w:szCs w:val="20"/>
        </w:rPr>
        <w:t>l</w:t>
      </w:r>
      <w:r w:rsidR="00041FF2" w:rsidRPr="53DCC51D">
        <w:rPr>
          <w:rFonts w:ascii="Calibri" w:eastAsia="Calibri" w:hAnsi="Calibri" w:cs="Calibri"/>
          <w:sz w:val="20"/>
          <w:szCs w:val="20"/>
        </w:rPr>
        <w:t>lison Pearlman</w:t>
      </w:r>
      <w:r w:rsidR="008E56AA" w:rsidRPr="53DCC51D">
        <w:rPr>
          <w:sz w:val="20"/>
          <w:szCs w:val="20"/>
          <w:vertAlign w:val="superscript"/>
        </w:rPr>
        <w:t>1</w:t>
      </w:r>
      <w:r w:rsidR="00041FF2" w:rsidRPr="53DCC51D">
        <w:rPr>
          <w:rFonts w:ascii="Calibri" w:eastAsia="Calibri" w:hAnsi="Calibri" w:cs="Calibri"/>
          <w:sz w:val="20"/>
          <w:szCs w:val="20"/>
        </w:rPr>
        <w:t>, Joyce Davis</w:t>
      </w:r>
      <w:r w:rsidR="008E56AA" w:rsidRPr="53DCC51D">
        <w:rPr>
          <w:sz w:val="20"/>
          <w:szCs w:val="20"/>
          <w:vertAlign w:val="superscript"/>
        </w:rPr>
        <w:t>1</w:t>
      </w:r>
      <w:r w:rsidR="00041FF2" w:rsidRPr="53DCC51D">
        <w:rPr>
          <w:rFonts w:ascii="Calibri" w:eastAsia="Calibri" w:hAnsi="Calibri" w:cs="Calibri"/>
          <w:sz w:val="20"/>
          <w:szCs w:val="20"/>
        </w:rPr>
        <w:t>, Jamie Yuen</w:t>
      </w:r>
      <w:r w:rsidR="008E56AA" w:rsidRPr="53DCC51D">
        <w:rPr>
          <w:sz w:val="20"/>
          <w:szCs w:val="20"/>
          <w:vertAlign w:val="superscript"/>
        </w:rPr>
        <w:t>1</w:t>
      </w:r>
      <w:r w:rsidR="00041FF2" w:rsidRPr="53DCC51D">
        <w:rPr>
          <w:rFonts w:ascii="Calibri" w:eastAsia="Calibri" w:hAnsi="Calibri" w:cs="Calibri"/>
          <w:sz w:val="20"/>
          <w:szCs w:val="20"/>
        </w:rPr>
        <w:t>,</w:t>
      </w:r>
      <w:r w:rsidR="008E09FB" w:rsidRPr="53DCC51D">
        <w:rPr>
          <w:rFonts w:ascii="Calibri" w:eastAsia="Calibri" w:hAnsi="Calibri" w:cs="Calibri"/>
          <w:sz w:val="20"/>
          <w:szCs w:val="20"/>
        </w:rPr>
        <w:t xml:space="preserve"> Annette M. Estes</w:t>
      </w:r>
      <w:r w:rsidR="000F7D43" w:rsidRPr="53DCC51D">
        <w:rPr>
          <w:rFonts w:ascii="Calibri" w:eastAsia="Calibri" w:hAnsi="Calibri" w:cs="Calibri"/>
          <w:sz w:val="20"/>
          <w:szCs w:val="20"/>
          <w:vertAlign w:val="superscript"/>
        </w:rPr>
        <w:t>2</w:t>
      </w:r>
      <w:r w:rsidR="008E09FB" w:rsidRPr="53DCC51D">
        <w:rPr>
          <w:rFonts w:ascii="Calibri" w:eastAsia="Calibri" w:hAnsi="Calibri" w:cs="Calibri"/>
          <w:sz w:val="20"/>
          <w:szCs w:val="20"/>
        </w:rPr>
        <w:t>, Stephen R. Dager</w:t>
      </w:r>
      <w:r w:rsidR="00F4174E" w:rsidRPr="53DCC51D">
        <w:rPr>
          <w:rFonts w:ascii="Calibri" w:eastAsia="Calibri" w:hAnsi="Calibri" w:cs="Calibri"/>
          <w:sz w:val="20"/>
          <w:szCs w:val="20"/>
          <w:vertAlign w:val="superscript"/>
        </w:rPr>
        <w:t>3</w:t>
      </w:r>
      <w:r w:rsidR="008E09FB" w:rsidRPr="53DCC51D">
        <w:rPr>
          <w:rFonts w:ascii="Calibri" w:eastAsia="Calibri" w:hAnsi="Calibri" w:cs="Calibri"/>
          <w:sz w:val="20"/>
          <w:szCs w:val="20"/>
        </w:rPr>
        <w:t xml:space="preserve">, </w:t>
      </w:r>
      <w:r w:rsidR="00074FD7">
        <w:rPr>
          <w:rFonts w:ascii="Calibri" w:eastAsia="Calibri" w:hAnsi="Calibri" w:cs="Calibri"/>
          <w:sz w:val="20"/>
          <w:szCs w:val="20"/>
        </w:rPr>
        <w:t>Juhi Pandey</w:t>
      </w:r>
      <w:r w:rsidR="008D3969" w:rsidRPr="008D3969">
        <w:rPr>
          <w:rFonts w:ascii="Calibri" w:eastAsia="Calibri" w:hAnsi="Calibri" w:cs="Calibri"/>
          <w:sz w:val="20"/>
          <w:szCs w:val="20"/>
          <w:vertAlign w:val="superscript"/>
        </w:rPr>
        <w:t>1,4</w:t>
      </w:r>
      <w:r w:rsidR="00074FD7">
        <w:rPr>
          <w:rFonts w:ascii="Calibri" w:eastAsia="Calibri" w:hAnsi="Calibri" w:cs="Calibri"/>
          <w:sz w:val="20"/>
          <w:szCs w:val="20"/>
        </w:rPr>
        <w:t>, Robert T. Schultz</w:t>
      </w:r>
      <w:r w:rsidR="001A3D1A" w:rsidRPr="001A3D1A">
        <w:rPr>
          <w:rFonts w:ascii="Calibri" w:eastAsia="Calibri" w:hAnsi="Calibri" w:cs="Calibri"/>
          <w:sz w:val="20"/>
          <w:szCs w:val="20"/>
          <w:vertAlign w:val="superscript"/>
        </w:rPr>
        <w:t>1,5</w:t>
      </w:r>
      <w:r w:rsidR="00074FD7">
        <w:rPr>
          <w:rFonts w:ascii="Calibri" w:eastAsia="Calibri" w:hAnsi="Calibri" w:cs="Calibri"/>
          <w:sz w:val="20"/>
          <w:szCs w:val="20"/>
        </w:rPr>
        <w:t xml:space="preserve">, </w:t>
      </w:r>
      <w:r w:rsidR="00370976">
        <w:rPr>
          <w:rFonts w:ascii="Calibri" w:eastAsia="Calibri" w:hAnsi="Calibri" w:cs="Calibri"/>
          <w:sz w:val="20"/>
          <w:szCs w:val="20"/>
        </w:rPr>
        <w:t>Jed T. Elison</w:t>
      </w:r>
      <w:r w:rsidR="001F09EA" w:rsidRPr="001F09EA">
        <w:rPr>
          <w:rFonts w:ascii="Calibri" w:eastAsia="Calibri" w:hAnsi="Calibri" w:cs="Calibri"/>
          <w:sz w:val="20"/>
          <w:szCs w:val="20"/>
          <w:vertAlign w:val="superscript"/>
        </w:rPr>
        <w:t>6</w:t>
      </w:r>
      <w:r w:rsidR="00370976">
        <w:rPr>
          <w:rFonts w:ascii="Calibri" w:eastAsia="Calibri" w:hAnsi="Calibri" w:cs="Calibri"/>
          <w:sz w:val="20"/>
          <w:szCs w:val="20"/>
        </w:rPr>
        <w:t>, Jos</w:t>
      </w:r>
      <w:r w:rsidR="00372A73">
        <w:rPr>
          <w:rFonts w:ascii="Calibri" w:eastAsia="Calibri" w:hAnsi="Calibri" w:cs="Calibri"/>
          <w:sz w:val="20"/>
          <w:szCs w:val="20"/>
        </w:rPr>
        <w:t>ep</w:t>
      </w:r>
      <w:r w:rsidR="00370976">
        <w:rPr>
          <w:rFonts w:ascii="Calibri" w:eastAsia="Calibri" w:hAnsi="Calibri" w:cs="Calibri"/>
          <w:sz w:val="20"/>
          <w:szCs w:val="20"/>
        </w:rPr>
        <w:t>h Piven</w:t>
      </w:r>
      <w:r w:rsidR="004C7476" w:rsidRPr="004C7476">
        <w:rPr>
          <w:rFonts w:ascii="Calibri" w:eastAsia="Calibri" w:hAnsi="Calibri" w:cs="Calibri"/>
          <w:sz w:val="20"/>
          <w:szCs w:val="20"/>
          <w:vertAlign w:val="superscript"/>
        </w:rPr>
        <w:t>7</w:t>
      </w:r>
      <w:r w:rsidR="00370976">
        <w:rPr>
          <w:rFonts w:ascii="Calibri" w:eastAsia="Calibri" w:hAnsi="Calibri" w:cs="Calibri"/>
          <w:sz w:val="20"/>
          <w:szCs w:val="20"/>
        </w:rPr>
        <w:t xml:space="preserve">, </w:t>
      </w:r>
      <w:r w:rsidR="00134225" w:rsidRPr="53DCC51D">
        <w:rPr>
          <w:rFonts w:ascii="Calibri" w:eastAsia="Calibri" w:hAnsi="Calibri" w:cs="Calibri"/>
          <w:sz w:val="20"/>
          <w:szCs w:val="20"/>
        </w:rPr>
        <w:t>Heather C. Hazlett</w:t>
      </w:r>
      <w:r w:rsidR="000136A7">
        <w:rPr>
          <w:rFonts w:ascii="Calibri" w:eastAsia="Calibri" w:hAnsi="Calibri" w:cs="Calibri"/>
          <w:sz w:val="20"/>
          <w:szCs w:val="20"/>
          <w:vertAlign w:val="superscript"/>
        </w:rPr>
        <w:t>7</w:t>
      </w:r>
      <w:r w:rsidR="00134225" w:rsidRPr="53DCC51D">
        <w:rPr>
          <w:rFonts w:ascii="Calibri" w:eastAsia="Calibri" w:hAnsi="Calibri" w:cs="Calibri"/>
          <w:sz w:val="20"/>
          <w:szCs w:val="20"/>
        </w:rPr>
        <w:t xml:space="preserve">, Kelly N. </w:t>
      </w:r>
      <w:r w:rsidR="00134225" w:rsidRPr="00982E9B">
        <w:rPr>
          <w:rFonts w:ascii="Calibri" w:eastAsia="Calibri" w:hAnsi="Calibri" w:cs="Calibri"/>
          <w:sz w:val="20"/>
          <w:szCs w:val="20"/>
        </w:rPr>
        <w:t>Botteron</w:t>
      </w:r>
      <w:r w:rsidR="00982E9B" w:rsidRPr="00982E9B">
        <w:rPr>
          <w:rFonts w:ascii="Calibri" w:eastAsia="Calibri" w:hAnsi="Calibri" w:cs="Calibri"/>
          <w:sz w:val="20"/>
          <w:szCs w:val="20"/>
          <w:vertAlign w:val="superscript"/>
        </w:rPr>
        <w:t>8</w:t>
      </w:r>
      <w:r w:rsidR="00134225" w:rsidRPr="00982E9B">
        <w:rPr>
          <w:rFonts w:ascii="Calibri" w:eastAsia="Calibri" w:hAnsi="Calibri" w:cs="Calibri"/>
          <w:sz w:val="20"/>
          <w:szCs w:val="20"/>
        </w:rPr>
        <w:t>,</w:t>
      </w:r>
      <w:r w:rsidR="00041FF2" w:rsidRPr="53DCC51D">
        <w:rPr>
          <w:rFonts w:ascii="Calibri" w:eastAsia="Calibri" w:hAnsi="Calibri" w:cs="Calibri"/>
          <w:sz w:val="20"/>
          <w:szCs w:val="20"/>
        </w:rPr>
        <w:t xml:space="preserve"> Natasha Marrus</w:t>
      </w:r>
      <w:r w:rsidR="000136A7">
        <w:rPr>
          <w:rFonts w:ascii="Calibri" w:eastAsia="Calibri" w:hAnsi="Calibri" w:cs="Calibri"/>
          <w:sz w:val="20"/>
          <w:szCs w:val="20"/>
          <w:vertAlign w:val="superscript"/>
        </w:rPr>
        <w:t>8</w:t>
      </w:r>
      <w:r w:rsidR="00041FF2" w:rsidRPr="53DCC51D">
        <w:rPr>
          <w:rFonts w:ascii="Calibri" w:eastAsia="Calibri" w:hAnsi="Calibri" w:cs="Calibri"/>
          <w:sz w:val="20"/>
          <w:szCs w:val="20"/>
        </w:rPr>
        <w:t>, &amp; Julia Parish-Morris</w:t>
      </w:r>
      <w:r w:rsidR="008E56AA" w:rsidRPr="53DCC51D">
        <w:rPr>
          <w:sz w:val="20"/>
          <w:szCs w:val="20"/>
          <w:vertAlign w:val="superscript"/>
        </w:rPr>
        <w:t>1,</w:t>
      </w:r>
      <w:r w:rsidR="000136A7">
        <w:rPr>
          <w:sz w:val="20"/>
          <w:szCs w:val="20"/>
          <w:vertAlign w:val="superscript"/>
        </w:rPr>
        <w:t>4</w:t>
      </w:r>
    </w:p>
    <w:p w14:paraId="19B2F44F" w14:textId="760F2546" w:rsidR="00EE06EB" w:rsidRPr="005B0D19" w:rsidRDefault="003D6244" w:rsidP="53DCC51D">
      <w:pPr>
        <w:rPr>
          <w:rStyle w:val="eop"/>
          <w:b/>
          <w:bCs/>
          <w:color w:val="000000" w:themeColor="text1"/>
          <w:sz w:val="20"/>
          <w:szCs w:val="20"/>
          <w:lang w:val="en-GB"/>
        </w:rPr>
      </w:pPr>
      <w:r w:rsidRPr="52E8EADC">
        <w:rPr>
          <w:b/>
          <w:bCs/>
          <w:sz w:val="20"/>
          <w:szCs w:val="20"/>
        </w:rPr>
        <w:t>Introduction</w:t>
      </w:r>
      <w:r w:rsidRPr="009E00A7">
        <w:rPr>
          <w:sz w:val="20"/>
          <w:szCs w:val="20"/>
        </w:rPr>
        <w:t>:</w:t>
      </w:r>
      <w:r w:rsidR="00452576" w:rsidRPr="52E8EADC">
        <w:rPr>
          <w:b/>
          <w:bCs/>
          <w:color w:val="000000"/>
          <w:sz w:val="20"/>
          <w:szCs w:val="20"/>
          <w:lang w:val="en-GB"/>
        </w:rPr>
        <w:t xml:space="preserve"> </w:t>
      </w:r>
      <w:r w:rsidR="55DF12D5" w:rsidRPr="00C74896">
        <w:rPr>
          <w:sz w:val="20"/>
          <w:szCs w:val="20"/>
        </w:rPr>
        <w:t>I</w:t>
      </w:r>
      <w:r w:rsidR="0074205F" w:rsidRPr="005C07C2">
        <w:rPr>
          <w:rFonts w:ascii="Calibri" w:eastAsia="Calibri" w:hAnsi="Calibri" w:cs="Calibri"/>
          <w:sz w:val="20"/>
          <w:szCs w:val="20"/>
        </w:rPr>
        <w:t xml:space="preserve">nfant vocalizations are quantifiable behavioral markers that </w:t>
      </w:r>
      <w:r w:rsidR="7AB1D17C" w:rsidRPr="005C07C2">
        <w:rPr>
          <w:rFonts w:ascii="Calibri" w:eastAsia="Calibri" w:hAnsi="Calibri" w:cs="Calibri"/>
          <w:sz w:val="20"/>
          <w:szCs w:val="20"/>
        </w:rPr>
        <w:t xml:space="preserve">have been shown to </w:t>
      </w:r>
      <w:r w:rsidR="00425102">
        <w:rPr>
          <w:rFonts w:ascii="Calibri" w:eastAsia="Calibri" w:hAnsi="Calibri" w:cs="Calibri"/>
          <w:sz w:val="20"/>
          <w:szCs w:val="20"/>
        </w:rPr>
        <w:t>predict later language and diagnostic outcomes</w:t>
      </w:r>
      <w:r w:rsidR="0074205F" w:rsidRPr="005C07C2">
        <w:rPr>
          <w:rFonts w:ascii="Calibri" w:eastAsia="Calibri" w:hAnsi="Calibri" w:cs="Calibri"/>
          <w:sz w:val="20"/>
          <w:szCs w:val="20"/>
        </w:rPr>
        <w:t>.</w:t>
      </w:r>
      <w:r w:rsidR="005C07C2" w:rsidRPr="005C07C2">
        <w:rPr>
          <w:rFonts w:ascii="Calibri" w:eastAsia="Calibri" w:hAnsi="Calibri" w:cs="Calibri"/>
          <w:sz w:val="20"/>
          <w:szCs w:val="20"/>
        </w:rPr>
        <w:t xml:space="preserve"> </w:t>
      </w:r>
      <w:r w:rsidR="00032FB5">
        <w:rPr>
          <w:rFonts w:ascii="Calibri" w:eastAsia="Calibri" w:hAnsi="Calibri" w:cs="Calibri"/>
          <w:sz w:val="20"/>
          <w:szCs w:val="20"/>
        </w:rPr>
        <w:t xml:space="preserve">For example, </w:t>
      </w:r>
      <w:r w:rsidR="005C07C2" w:rsidRPr="52E8EADC">
        <w:rPr>
          <w:sz w:val="20"/>
          <w:szCs w:val="20"/>
          <w:shd w:val="clear" w:color="auto" w:fill="FFFFFF"/>
        </w:rPr>
        <w:t>speech-like vocaliz</w:t>
      </w:r>
      <w:r w:rsidR="70599D23" w:rsidRPr="00C74896">
        <w:rPr>
          <w:sz w:val="20"/>
          <w:szCs w:val="20"/>
        </w:rPr>
        <w:t xml:space="preserve">ing at </w:t>
      </w:r>
      <w:r w:rsidR="005C07C2" w:rsidRPr="52E8EADC">
        <w:rPr>
          <w:sz w:val="20"/>
          <w:szCs w:val="20"/>
          <w:shd w:val="clear" w:color="auto" w:fill="FFFFFF"/>
        </w:rPr>
        <w:t xml:space="preserve">12 months </w:t>
      </w:r>
      <w:r w:rsidR="119586DC" w:rsidRPr="52E8EADC">
        <w:rPr>
          <w:sz w:val="20"/>
          <w:szCs w:val="20"/>
          <w:shd w:val="clear" w:color="auto" w:fill="FFFFFF"/>
        </w:rPr>
        <w:t>is</w:t>
      </w:r>
      <w:r w:rsidR="005C07C2" w:rsidRPr="52E8EADC">
        <w:rPr>
          <w:sz w:val="20"/>
          <w:szCs w:val="20"/>
          <w:shd w:val="clear" w:color="auto" w:fill="FFFFFF"/>
        </w:rPr>
        <w:t xml:space="preserve"> associated with </w:t>
      </w:r>
      <w:r w:rsidR="001D3D01" w:rsidRPr="52E8EADC">
        <w:rPr>
          <w:sz w:val="20"/>
          <w:szCs w:val="20"/>
          <w:shd w:val="clear" w:color="auto" w:fill="FFFFFF"/>
        </w:rPr>
        <w:t xml:space="preserve">language, social phenotype, and autism </w:t>
      </w:r>
      <w:r w:rsidR="005C07C2" w:rsidRPr="52E8EADC">
        <w:rPr>
          <w:sz w:val="20"/>
          <w:szCs w:val="20"/>
          <w:shd w:val="clear" w:color="auto" w:fill="FFFFFF"/>
        </w:rPr>
        <w:t>diagnosis at age 2</w:t>
      </w:r>
      <w:r w:rsidR="750BC2C1" w:rsidRPr="52E8EADC">
        <w:rPr>
          <w:sz w:val="20"/>
          <w:szCs w:val="20"/>
          <w:shd w:val="clear" w:color="auto" w:fill="FFFFFF"/>
        </w:rPr>
        <w:t xml:space="preserve"> </w:t>
      </w:r>
      <w:r w:rsidR="62296A02" w:rsidRPr="00D917BA">
        <w:rPr>
          <w:sz w:val="20"/>
          <w:szCs w:val="20"/>
        </w:rPr>
        <w:t xml:space="preserve">in </w:t>
      </w:r>
      <w:r w:rsidR="750BC2C1" w:rsidRPr="53DCC51D">
        <w:rPr>
          <w:sz w:val="20"/>
          <w:szCs w:val="20"/>
        </w:rPr>
        <w:t>infants at elevated likelihood for autism</w:t>
      </w:r>
      <w:r w:rsidR="005C07C2" w:rsidRPr="52E8EADC">
        <w:rPr>
          <w:sz w:val="20"/>
          <w:szCs w:val="20"/>
        </w:rPr>
        <w:t xml:space="preserve"> </w:t>
      </w:r>
      <w:r w:rsidR="005C07C2" w:rsidRPr="52E8EADC">
        <w:rPr>
          <w:sz w:val="20"/>
          <w:szCs w:val="20"/>
          <w:shd w:val="clear" w:color="auto" w:fill="FFFFFF"/>
        </w:rPr>
        <w:t>(Plate et al., 2022).</w:t>
      </w:r>
      <w:r w:rsidR="00DA6BB2" w:rsidRPr="52E8EADC">
        <w:rPr>
          <w:sz w:val="20"/>
          <w:szCs w:val="20"/>
          <w:shd w:val="clear" w:color="auto" w:fill="FFFFFF"/>
        </w:rPr>
        <w:t xml:space="preserve"> </w:t>
      </w:r>
      <w:r w:rsidR="008567E8" w:rsidRPr="52E8EADC">
        <w:rPr>
          <w:sz w:val="20"/>
          <w:szCs w:val="20"/>
          <w:shd w:val="clear" w:color="auto" w:fill="FFFFFF"/>
        </w:rPr>
        <w:t>One study found that c</w:t>
      </w:r>
      <w:r w:rsidR="009D1E9D" w:rsidRPr="52E8EADC">
        <w:rPr>
          <w:sz w:val="20"/>
          <w:szCs w:val="20"/>
          <w:shd w:val="clear" w:color="auto" w:fill="FFFFFF"/>
        </w:rPr>
        <w:t>hildren with Down syndrome prod</w:t>
      </w:r>
      <w:r w:rsidR="008567E8" w:rsidRPr="52E8EADC">
        <w:rPr>
          <w:sz w:val="20"/>
          <w:szCs w:val="20"/>
          <w:shd w:val="clear" w:color="auto" w:fill="FFFFFF"/>
        </w:rPr>
        <w:t>uce fewer utterances compared to typically developing children</w:t>
      </w:r>
      <w:r w:rsidR="5B16C004" w:rsidRPr="52E8EADC">
        <w:rPr>
          <w:sz w:val="20"/>
          <w:szCs w:val="20"/>
          <w:shd w:val="clear" w:color="auto" w:fill="FFFFFF"/>
        </w:rPr>
        <w:t xml:space="preserve"> </w:t>
      </w:r>
      <w:r w:rsidR="5B16C004" w:rsidRPr="53DCC51D">
        <w:rPr>
          <w:sz w:val="20"/>
          <w:szCs w:val="20"/>
        </w:rPr>
        <w:t>between two and five years of age</w:t>
      </w:r>
      <w:r w:rsidR="008567E8" w:rsidRPr="52E8EADC">
        <w:rPr>
          <w:sz w:val="20"/>
          <w:szCs w:val="20"/>
          <w:shd w:val="clear" w:color="auto" w:fill="FFFFFF"/>
        </w:rPr>
        <w:t xml:space="preserve"> (Parikh &amp; </w:t>
      </w:r>
      <w:proofErr w:type="spellStart"/>
      <w:r w:rsidR="008567E8" w:rsidRPr="52E8EADC">
        <w:rPr>
          <w:sz w:val="20"/>
          <w:szCs w:val="20"/>
          <w:shd w:val="clear" w:color="auto" w:fill="FFFFFF"/>
        </w:rPr>
        <w:t>Mastergeorge</w:t>
      </w:r>
      <w:proofErr w:type="spellEnd"/>
      <w:r w:rsidR="008567E8" w:rsidRPr="52E8EADC">
        <w:rPr>
          <w:sz w:val="20"/>
          <w:szCs w:val="20"/>
          <w:shd w:val="clear" w:color="auto" w:fill="FFFFFF"/>
        </w:rPr>
        <w:t>, 2018)</w:t>
      </w:r>
      <w:r w:rsidR="7E3A3848" w:rsidRPr="52E8EADC">
        <w:rPr>
          <w:sz w:val="20"/>
          <w:szCs w:val="20"/>
          <w:shd w:val="clear" w:color="auto" w:fill="FFFFFF"/>
        </w:rPr>
        <w:t xml:space="preserve"> and several</w:t>
      </w:r>
      <w:r w:rsidR="008567E8" w:rsidRPr="52E8EADC">
        <w:rPr>
          <w:sz w:val="20"/>
          <w:szCs w:val="20"/>
          <w:shd w:val="clear" w:color="auto" w:fill="FFFFFF"/>
        </w:rPr>
        <w:t xml:space="preserve"> studies </w:t>
      </w:r>
      <w:r w:rsidR="13647188" w:rsidRPr="52E8EADC">
        <w:rPr>
          <w:sz w:val="20"/>
          <w:szCs w:val="20"/>
          <w:shd w:val="clear" w:color="auto" w:fill="FFFFFF"/>
        </w:rPr>
        <w:t xml:space="preserve">have </w:t>
      </w:r>
      <w:r w:rsidR="00AE7F16">
        <w:rPr>
          <w:sz w:val="20"/>
          <w:szCs w:val="20"/>
          <w:shd w:val="clear" w:color="auto" w:fill="FFFFFF"/>
        </w:rPr>
        <w:t>identif</w:t>
      </w:r>
      <w:r w:rsidR="061C62BC">
        <w:rPr>
          <w:sz w:val="20"/>
          <w:szCs w:val="20"/>
          <w:shd w:val="clear" w:color="auto" w:fill="FFFFFF"/>
        </w:rPr>
        <w:t xml:space="preserve">ied </w:t>
      </w:r>
      <w:r w:rsidR="008567E8" w:rsidRPr="52E8EADC">
        <w:rPr>
          <w:sz w:val="20"/>
          <w:szCs w:val="20"/>
          <w:shd w:val="clear" w:color="auto" w:fill="FFFFFF"/>
        </w:rPr>
        <w:t>expressive language delays in Down syndrome (</w:t>
      </w:r>
      <w:proofErr w:type="gramStart"/>
      <w:r w:rsidR="0078157D" w:rsidRPr="52E8EADC">
        <w:rPr>
          <w:sz w:val="20"/>
          <w:szCs w:val="20"/>
          <w:shd w:val="clear" w:color="auto" w:fill="FFFFFF"/>
        </w:rPr>
        <w:t>e.g.</w:t>
      </w:r>
      <w:proofErr w:type="gramEnd"/>
      <w:r w:rsidR="0078157D" w:rsidRPr="52E8EADC">
        <w:rPr>
          <w:sz w:val="20"/>
          <w:szCs w:val="20"/>
          <w:shd w:val="clear" w:color="auto" w:fill="FFFFFF"/>
        </w:rPr>
        <w:t xml:space="preserve"> Martin et al., 2009</w:t>
      </w:r>
      <w:r w:rsidR="008567E8" w:rsidRPr="52E8EADC">
        <w:rPr>
          <w:sz w:val="20"/>
          <w:szCs w:val="20"/>
          <w:shd w:val="clear" w:color="auto" w:fill="FFFFFF"/>
        </w:rPr>
        <w:t>)</w:t>
      </w:r>
      <w:r w:rsidR="0078157D" w:rsidRPr="52E8EADC">
        <w:rPr>
          <w:sz w:val="20"/>
          <w:szCs w:val="20"/>
          <w:shd w:val="clear" w:color="auto" w:fill="FFFFFF"/>
        </w:rPr>
        <w:t xml:space="preserve">. </w:t>
      </w:r>
      <w:r w:rsidR="005B0D19" w:rsidRPr="52E8EADC">
        <w:rPr>
          <w:sz w:val="20"/>
          <w:szCs w:val="20"/>
          <w:shd w:val="clear" w:color="auto" w:fill="FFFFFF"/>
        </w:rPr>
        <w:t xml:space="preserve">However, </w:t>
      </w:r>
      <w:r w:rsidR="0F47E8CC" w:rsidRPr="52E8EADC">
        <w:rPr>
          <w:sz w:val="20"/>
          <w:szCs w:val="20"/>
          <w:shd w:val="clear" w:color="auto" w:fill="FFFFFF"/>
        </w:rPr>
        <w:t xml:space="preserve">little is known about </w:t>
      </w:r>
      <w:r w:rsidR="005B0D19" w:rsidRPr="52E8EADC">
        <w:rPr>
          <w:sz w:val="20"/>
          <w:szCs w:val="20"/>
          <w:shd w:val="clear" w:color="auto" w:fill="FFFFFF"/>
        </w:rPr>
        <w:t>the link between early vocaliz</w:t>
      </w:r>
      <w:r w:rsidR="35B02DF5" w:rsidRPr="52E8EADC">
        <w:rPr>
          <w:sz w:val="20"/>
          <w:szCs w:val="20"/>
          <w:shd w:val="clear" w:color="auto" w:fill="FFFFFF"/>
        </w:rPr>
        <w:t>ing</w:t>
      </w:r>
      <w:r w:rsidR="005B0D19" w:rsidRPr="52E8EADC">
        <w:rPr>
          <w:sz w:val="20"/>
          <w:szCs w:val="20"/>
          <w:shd w:val="clear" w:color="auto" w:fill="FFFFFF"/>
        </w:rPr>
        <w:t xml:space="preserve"> and later receptive and expressive language outcomes in Down syndrome. </w:t>
      </w:r>
      <w:r w:rsidR="008809B7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This abstract will</w:t>
      </w:r>
      <w:r w:rsidR="007A7DDD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(1) </w:t>
      </w:r>
      <w:r w:rsidR="00C04CA5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present </w:t>
      </w:r>
      <w:r w:rsidR="2DFAF3F6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modifications to an</w:t>
      </w:r>
      <w:r w:rsidR="2AE3BAB6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2AE3BAB6" w:rsidRPr="53DCC51D">
        <w:rPr>
          <w:rStyle w:val="eop"/>
          <w:rFonts w:ascii="Calibri" w:hAnsi="Calibri" w:cs="Calibri"/>
          <w:color w:val="000000" w:themeColor="text1"/>
          <w:sz w:val="20"/>
          <w:szCs w:val="20"/>
        </w:rPr>
        <w:t>established coding system for infants at elevated likelihood for autism (</w:t>
      </w:r>
      <w:r w:rsidR="00EB55DF">
        <w:rPr>
          <w:rStyle w:val="eop"/>
          <w:rFonts w:ascii="Calibri" w:hAnsi="Calibri" w:cs="Calibri"/>
          <w:color w:val="000000" w:themeColor="text1"/>
          <w:sz w:val="20"/>
          <w:szCs w:val="20"/>
        </w:rPr>
        <w:t>Plate et al., 2022)</w:t>
      </w:r>
      <w:r w:rsidR="2AE3BAB6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which has been specialized</w:t>
      </w:r>
      <w:r w:rsidR="00C04CA5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for infants with Down </w:t>
      </w:r>
      <w:r w:rsidR="00DB22EE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s</w:t>
      </w:r>
      <w:r w:rsidR="00C04CA5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yndrome</w:t>
      </w:r>
      <w:r w:rsidR="00001B01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, and</w:t>
      </w:r>
      <w:r w:rsidR="008809B7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9817D4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(</w:t>
      </w:r>
      <w:r w:rsidR="007A7DDD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2</w:t>
      </w:r>
      <w:r w:rsidR="009817D4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) </w:t>
      </w:r>
      <w:r w:rsidR="006F24E3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explore relationships between speech-like </w:t>
      </w:r>
      <w:r w:rsidR="007A7DDD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vocaliz</w:t>
      </w:r>
      <w:r w:rsidR="4A56AC24" w:rsidRPr="00C74896">
        <w:rPr>
          <w:sz w:val="20"/>
          <w:szCs w:val="20"/>
        </w:rPr>
        <w:t>ing</w:t>
      </w:r>
      <w:r w:rsidR="16C2E960" w:rsidRPr="00C74896">
        <w:rPr>
          <w:sz w:val="20"/>
          <w:szCs w:val="20"/>
        </w:rPr>
        <w:t xml:space="preserve"> </w:t>
      </w:r>
      <w:r w:rsidR="00467800" w:rsidRPr="00D917BA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w</w:t>
      </w:r>
      <w:r w:rsidR="00467800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ith</w:t>
      </w:r>
      <w:r w:rsidR="007A7DDD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Bayley receptive and expressive language scores in 2-year-old</w:t>
      </w:r>
      <w:r w:rsidR="74C7BBEC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s </w:t>
      </w:r>
      <w:r w:rsidR="007A7DDD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with Down </w:t>
      </w:r>
      <w:r w:rsidR="00DB22EE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s</w:t>
      </w:r>
      <w:r w:rsidR="007A7DDD" w:rsidRPr="005B0D1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yndrome.</w:t>
      </w:r>
    </w:p>
    <w:p w14:paraId="7AC50373" w14:textId="291BF33A" w:rsidR="003D6244" w:rsidRDefault="003D6244" w:rsidP="53DCC51D">
      <w:pPr>
        <w:rPr>
          <w:color w:val="000000" w:themeColor="text1"/>
          <w:sz w:val="20"/>
          <w:szCs w:val="20"/>
          <w:lang w:val="en-GB"/>
        </w:rPr>
      </w:pPr>
      <w:r w:rsidRPr="7C21B140">
        <w:rPr>
          <w:b/>
          <w:bCs/>
          <w:color w:val="000000" w:themeColor="text1"/>
          <w:sz w:val="20"/>
          <w:szCs w:val="20"/>
          <w:lang w:val="en-GB"/>
        </w:rPr>
        <w:t>Method</w:t>
      </w:r>
      <w:r w:rsidRPr="7C21B140">
        <w:rPr>
          <w:color w:val="000000" w:themeColor="text1"/>
          <w:sz w:val="20"/>
          <w:szCs w:val="20"/>
          <w:lang w:val="en-GB"/>
        </w:rPr>
        <w:t xml:space="preserve">: </w:t>
      </w:r>
      <w:r w:rsidR="00FA1654" w:rsidRPr="7C21B140">
        <w:rPr>
          <w:color w:val="000000" w:themeColor="text1"/>
          <w:sz w:val="20"/>
          <w:szCs w:val="20"/>
          <w:lang w:val="en-GB"/>
        </w:rPr>
        <w:t xml:space="preserve">Participants included </w:t>
      </w:r>
      <w:r w:rsidR="00DE2E06" w:rsidRPr="7C21B140">
        <w:rPr>
          <w:color w:val="000000" w:themeColor="text1"/>
          <w:sz w:val="20"/>
          <w:szCs w:val="20"/>
          <w:lang w:val="en-GB"/>
        </w:rPr>
        <w:t xml:space="preserve">11 </w:t>
      </w:r>
      <w:r w:rsidR="4F25FAF3" w:rsidRPr="7C21B140">
        <w:rPr>
          <w:color w:val="000000" w:themeColor="text1"/>
          <w:sz w:val="20"/>
          <w:szCs w:val="20"/>
          <w:lang w:val="en-GB"/>
        </w:rPr>
        <w:t xml:space="preserve">toddlers </w:t>
      </w:r>
      <w:r w:rsidR="00DE2E06" w:rsidRPr="7C21B140">
        <w:rPr>
          <w:color w:val="000000" w:themeColor="text1"/>
          <w:sz w:val="20"/>
          <w:szCs w:val="20"/>
          <w:lang w:val="en-GB"/>
        </w:rPr>
        <w:t xml:space="preserve">(3 female, 8 male) with Down </w:t>
      </w:r>
      <w:r w:rsidR="005344C8">
        <w:rPr>
          <w:color w:val="000000" w:themeColor="text1"/>
          <w:sz w:val="20"/>
          <w:szCs w:val="20"/>
          <w:lang w:val="en-GB"/>
        </w:rPr>
        <w:t>s</w:t>
      </w:r>
      <w:r w:rsidR="00DE2E06" w:rsidRPr="7C21B140">
        <w:rPr>
          <w:color w:val="000000" w:themeColor="text1"/>
          <w:sz w:val="20"/>
          <w:szCs w:val="20"/>
          <w:lang w:val="en-GB"/>
        </w:rPr>
        <w:t>yndrome</w:t>
      </w:r>
      <w:r w:rsidR="004874E4" w:rsidRPr="7C21B140">
        <w:rPr>
          <w:color w:val="000000" w:themeColor="text1"/>
          <w:sz w:val="20"/>
          <w:szCs w:val="20"/>
          <w:lang w:val="en-GB"/>
        </w:rPr>
        <w:t xml:space="preserve"> </w:t>
      </w:r>
      <w:r w:rsidR="00C04C28" w:rsidRPr="7C21B140">
        <w:rPr>
          <w:color w:val="000000" w:themeColor="text1"/>
          <w:sz w:val="20"/>
          <w:szCs w:val="20"/>
          <w:lang w:val="en-GB"/>
        </w:rPr>
        <w:t>who</w:t>
      </w:r>
      <w:r w:rsidR="004874E4" w:rsidRPr="7C21B140">
        <w:rPr>
          <w:color w:val="000000" w:themeColor="text1"/>
          <w:sz w:val="20"/>
          <w:szCs w:val="20"/>
          <w:lang w:val="en-GB"/>
        </w:rPr>
        <w:t xml:space="preserve"> completed </w:t>
      </w:r>
      <w:r w:rsidR="0E791A12" w:rsidRPr="7C21B140">
        <w:rPr>
          <w:color w:val="000000" w:themeColor="text1"/>
          <w:sz w:val="20"/>
          <w:szCs w:val="20"/>
          <w:lang w:val="en-GB"/>
        </w:rPr>
        <w:t xml:space="preserve">the </w:t>
      </w:r>
      <w:r w:rsidR="004874E4" w:rsidRPr="7C21B140">
        <w:rPr>
          <w:color w:val="000000" w:themeColor="text1"/>
          <w:sz w:val="20"/>
          <w:szCs w:val="20"/>
          <w:lang w:val="en-GB"/>
        </w:rPr>
        <w:t>Communication and Symbolic Behavior Scale</w:t>
      </w:r>
      <w:r w:rsidR="00703FD4" w:rsidRPr="7C21B140">
        <w:rPr>
          <w:color w:val="000000" w:themeColor="text1"/>
          <w:sz w:val="20"/>
          <w:szCs w:val="20"/>
          <w:lang w:val="en-GB"/>
        </w:rPr>
        <w:t>s (CSBS) and Bayley assessments at 24 months.</w:t>
      </w:r>
      <w:r w:rsidR="00E811BA" w:rsidRPr="7C21B140">
        <w:rPr>
          <w:color w:val="000000" w:themeColor="text1"/>
          <w:sz w:val="20"/>
          <w:szCs w:val="20"/>
          <w:lang w:val="en-GB"/>
        </w:rPr>
        <w:t xml:space="preserve"> </w:t>
      </w:r>
      <w:r w:rsidR="66B129BC" w:rsidRPr="7C21B140">
        <w:rPr>
          <w:color w:val="000000" w:themeColor="text1"/>
          <w:sz w:val="20"/>
          <w:szCs w:val="20"/>
          <w:lang w:val="en-GB"/>
        </w:rPr>
        <w:t>A</w:t>
      </w:r>
      <w:r w:rsidR="00467344" w:rsidRPr="7C21B140">
        <w:rPr>
          <w:color w:val="000000" w:themeColor="text1"/>
          <w:sz w:val="20"/>
          <w:szCs w:val="20"/>
          <w:lang w:val="en-GB"/>
        </w:rPr>
        <w:t xml:space="preserve"> team of </w:t>
      </w:r>
      <w:r w:rsidR="03077563" w:rsidRPr="7C21B140">
        <w:rPr>
          <w:color w:val="000000" w:themeColor="text1"/>
          <w:sz w:val="20"/>
          <w:szCs w:val="20"/>
          <w:lang w:val="en-GB"/>
        </w:rPr>
        <w:t xml:space="preserve">annotators </w:t>
      </w:r>
      <w:r w:rsidR="63E9857B" w:rsidRPr="7C21B140">
        <w:rPr>
          <w:color w:val="000000" w:themeColor="text1"/>
          <w:sz w:val="20"/>
          <w:szCs w:val="20"/>
          <w:lang w:val="en-GB"/>
        </w:rPr>
        <w:t>with experience coding vocalizations from</w:t>
      </w:r>
      <w:r w:rsidR="00BF38DD" w:rsidRPr="7C21B140">
        <w:rPr>
          <w:color w:val="000000" w:themeColor="text1"/>
          <w:sz w:val="20"/>
          <w:szCs w:val="20"/>
          <w:lang w:val="en-GB"/>
        </w:rPr>
        <w:t xml:space="preserve"> typically developing </w:t>
      </w:r>
      <w:r w:rsidR="66403DD8" w:rsidRPr="7C21B140">
        <w:rPr>
          <w:color w:val="000000" w:themeColor="text1"/>
          <w:sz w:val="20"/>
          <w:szCs w:val="20"/>
          <w:lang w:val="en-GB"/>
        </w:rPr>
        <w:t xml:space="preserve">toddlers </w:t>
      </w:r>
      <w:r w:rsidR="00BF38DD" w:rsidRPr="7C21B140">
        <w:rPr>
          <w:color w:val="000000" w:themeColor="text1"/>
          <w:sz w:val="20"/>
          <w:szCs w:val="20"/>
          <w:lang w:val="en-GB"/>
        </w:rPr>
        <w:t xml:space="preserve">and </w:t>
      </w:r>
      <w:r w:rsidR="0CDB87C5" w:rsidRPr="7C21B140">
        <w:rPr>
          <w:color w:val="000000" w:themeColor="text1"/>
          <w:sz w:val="20"/>
          <w:szCs w:val="20"/>
          <w:lang w:val="en-GB"/>
        </w:rPr>
        <w:t xml:space="preserve">toddlers </w:t>
      </w:r>
      <w:r w:rsidR="00421DB4" w:rsidRPr="7C21B140">
        <w:rPr>
          <w:color w:val="000000" w:themeColor="text1"/>
          <w:sz w:val="20"/>
          <w:szCs w:val="20"/>
          <w:lang w:val="en-GB"/>
        </w:rPr>
        <w:t>at elevated likelihood for autism</w:t>
      </w:r>
      <w:r w:rsidR="008302E7" w:rsidRPr="7C21B140">
        <w:rPr>
          <w:color w:val="000000" w:themeColor="text1"/>
          <w:sz w:val="20"/>
          <w:szCs w:val="20"/>
          <w:lang w:val="en-GB"/>
        </w:rPr>
        <w:t xml:space="preserve"> (</w:t>
      </w:r>
      <w:r w:rsidR="0037734E" w:rsidRPr="7C21B140">
        <w:rPr>
          <w:color w:val="000000" w:themeColor="text1"/>
          <w:sz w:val="20"/>
          <w:szCs w:val="20"/>
          <w:lang w:val="en-GB"/>
        </w:rPr>
        <w:t>Plate et al., 2022</w:t>
      </w:r>
      <w:r w:rsidR="008302E7" w:rsidRPr="7C21B140">
        <w:rPr>
          <w:color w:val="000000" w:themeColor="text1"/>
          <w:sz w:val="20"/>
          <w:szCs w:val="20"/>
          <w:lang w:val="en-GB"/>
        </w:rPr>
        <w:t>)</w:t>
      </w:r>
      <w:r w:rsidR="00421DB4" w:rsidRPr="7C21B140">
        <w:rPr>
          <w:color w:val="000000" w:themeColor="text1"/>
          <w:sz w:val="20"/>
          <w:szCs w:val="20"/>
          <w:lang w:val="en-GB"/>
        </w:rPr>
        <w:t xml:space="preserve"> listened</w:t>
      </w:r>
      <w:r w:rsidR="00DC1FF0" w:rsidRPr="7C21B140">
        <w:rPr>
          <w:color w:val="000000" w:themeColor="text1"/>
          <w:sz w:val="20"/>
          <w:szCs w:val="20"/>
          <w:lang w:val="en-GB"/>
        </w:rPr>
        <w:t xml:space="preserve"> to </w:t>
      </w:r>
      <w:r w:rsidR="005F4680" w:rsidRPr="7C21B140">
        <w:rPr>
          <w:color w:val="000000" w:themeColor="text1"/>
          <w:sz w:val="20"/>
          <w:szCs w:val="20"/>
          <w:lang w:val="en-GB"/>
        </w:rPr>
        <w:t xml:space="preserve">recordings of </w:t>
      </w:r>
      <w:r w:rsidR="46F7C866" w:rsidRPr="7C21B140">
        <w:rPr>
          <w:color w:val="000000" w:themeColor="text1"/>
          <w:sz w:val="20"/>
          <w:szCs w:val="20"/>
          <w:lang w:val="en-GB"/>
        </w:rPr>
        <w:t xml:space="preserve">the </w:t>
      </w:r>
      <w:r w:rsidR="00113381" w:rsidRPr="7C21B140">
        <w:rPr>
          <w:color w:val="000000" w:themeColor="text1"/>
          <w:sz w:val="20"/>
          <w:szCs w:val="20"/>
          <w:lang w:val="en-GB"/>
        </w:rPr>
        <w:t>ADOS</w:t>
      </w:r>
      <w:r w:rsidR="00DC1FF0" w:rsidRPr="7C21B140">
        <w:rPr>
          <w:color w:val="000000" w:themeColor="text1"/>
          <w:sz w:val="20"/>
          <w:szCs w:val="20"/>
          <w:lang w:val="en-GB"/>
        </w:rPr>
        <w:t xml:space="preserve"> </w:t>
      </w:r>
      <w:r w:rsidR="61DDD615" w:rsidRPr="7C21B140">
        <w:rPr>
          <w:color w:val="000000" w:themeColor="text1"/>
          <w:sz w:val="20"/>
          <w:szCs w:val="20"/>
          <w:lang w:val="en-GB"/>
        </w:rPr>
        <w:t xml:space="preserve">and coded </w:t>
      </w:r>
      <w:r w:rsidR="77A4E303" w:rsidRPr="7C21B140">
        <w:rPr>
          <w:color w:val="000000" w:themeColor="text1"/>
          <w:sz w:val="20"/>
          <w:szCs w:val="20"/>
          <w:lang w:val="en-GB"/>
        </w:rPr>
        <w:t xml:space="preserve">child </w:t>
      </w:r>
      <w:r w:rsidR="61DDD615" w:rsidRPr="7C21B140">
        <w:rPr>
          <w:color w:val="000000" w:themeColor="text1"/>
          <w:sz w:val="20"/>
          <w:szCs w:val="20"/>
          <w:lang w:val="en-GB"/>
        </w:rPr>
        <w:t>vocalizations</w:t>
      </w:r>
      <w:r w:rsidR="00DC1FF0" w:rsidRPr="7C21B140">
        <w:rPr>
          <w:color w:val="000000" w:themeColor="text1"/>
          <w:sz w:val="20"/>
          <w:szCs w:val="20"/>
          <w:lang w:val="en-GB"/>
        </w:rPr>
        <w:t>.</w:t>
      </w:r>
      <w:r w:rsidR="007A25BF" w:rsidRPr="7C21B140">
        <w:rPr>
          <w:color w:val="000000" w:themeColor="text1"/>
          <w:sz w:val="20"/>
          <w:szCs w:val="20"/>
          <w:lang w:val="en-GB"/>
        </w:rPr>
        <w:t xml:space="preserve"> T</w:t>
      </w:r>
      <w:r w:rsidR="45217785" w:rsidRPr="7C21B140">
        <w:rPr>
          <w:color w:val="000000" w:themeColor="text1"/>
          <w:sz w:val="20"/>
          <w:szCs w:val="20"/>
          <w:lang w:val="en-GB"/>
        </w:rPr>
        <w:t xml:space="preserve">he team </w:t>
      </w:r>
      <w:r w:rsidR="00467344" w:rsidRPr="7C21B140">
        <w:rPr>
          <w:color w:val="000000" w:themeColor="text1"/>
          <w:sz w:val="20"/>
          <w:szCs w:val="20"/>
          <w:lang w:val="en-GB"/>
        </w:rPr>
        <w:t xml:space="preserve">met with each other, a research assistant, and </w:t>
      </w:r>
      <w:r w:rsidR="00DC1FF0" w:rsidRPr="7C21B140">
        <w:rPr>
          <w:color w:val="000000" w:themeColor="text1"/>
          <w:sz w:val="20"/>
          <w:szCs w:val="20"/>
          <w:lang w:val="en-GB"/>
        </w:rPr>
        <w:t xml:space="preserve">a developmental psychologist to </w:t>
      </w:r>
      <w:r w:rsidR="002121CB" w:rsidRPr="7C21B140">
        <w:rPr>
          <w:color w:val="000000" w:themeColor="text1"/>
          <w:sz w:val="20"/>
          <w:szCs w:val="20"/>
          <w:lang w:val="en-GB"/>
        </w:rPr>
        <w:t xml:space="preserve">determine how </w:t>
      </w:r>
      <w:r w:rsidR="00746347" w:rsidRPr="7C21B140">
        <w:rPr>
          <w:color w:val="000000" w:themeColor="text1"/>
          <w:sz w:val="20"/>
          <w:szCs w:val="20"/>
          <w:lang w:val="en-GB"/>
        </w:rPr>
        <w:t xml:space="preserve">best </w:t>
      </w:r>
      <w:r w:rsidR="002121CB" w:rsidRPr="7C21B140">
        <w:rPr>
          <w:color w:val="000000" w:themeColor="text1"/>
          <w:sz w:val="20"/>
          <w:szCs w:val="20"/>
          <w:lang w:val="en-GB"/>
        </w:rPr>
        <w:t xml:space="preserve">to adapt the language coding pipeline for </w:t>
      </w:r>
      <w:r w:rsidR="2FE20EB4" w:rsidRPr="7C21B140">
        <w:rPr>
          <w:color w:val="000000" w:themeColor="text1"/>
          <w:sz w:val="20"/>
          <w:szCs w:val="20"/>
          <w:lang w:val="en-GB"/>
        </w:rPr>
        <w:t xml:space="preserve">participants </w:t>
      </w:r>
      <w:r w:rsidR="002121CB" w:rsidRPr="7C21B140">
        <w:rPr>
          <w:color w:val="000000" w:themeColor="text1"/>
          <w:sz w:val="20"/>
          <w:szCs w:val="20"/>
          <w:lang w:val="en-GB"/>
        </w:rPr>
        <w:t xml:space="preserve">with Down </w:t>
      </w:r>
      <w:r w:rsidR="0024209B">
        <w:rPr>
          <w:color w:val="000000" w:themeColor="text1"/>
          <w:sz w:val="20"/>
          <w:szCs w:val="20"/>
          <w:lang w:val="en-GB"/>
        </w:rPr>
        <w:t>s</w:t>
      </w:r>
      <w:r w:rsidR="002121CB" w:rsidRPr="7C21B140">
        <w:rPr>
          <w:color w:val="000000" w:themeColor="text1"/>
          <w:sz w:val="20"/>
          <w:szCs w:val="20"/>
          <w:lang w:val="en-GB"/>
        </w:rPr>
        <w:t>yndrome.</w:t>
      </w:r>
      <w:r w:rsidR="008302E7" w:rsidRPr="7C21B140">
        <w:rPr>
          <w:color w:val="000000" w:themeColor="text1"/>
          <w:sz w:val="20"/>
          <w:szCs w:val="20"/>
          <w:lang w:val="en-GB"/>
        </w:rPr>
        <w:t xml:space="preserve"> The team of coders </w:t>
      </w:r>
      <w:r w:rsidR="00CC56BB" w:rsidRPr="7C21B140">
        <w:rPr>
          <w:color w:val="000000" w:themeColor="text1"/>
          <w:sz w:val="20"/>
          <w:szCs w:val="20"/>
          <w:lang w:val="en-GB"/>
        </w:rPr>
        <w:t xml:space="preserve">then </w:t>
      </w:r>
      <w:r w:rsidR="00E7006D" w:rsidRPr="7C21B140">
        <w:rPr>
          <w:color w:val="000000" w:themeColor="text1"/>
          <w:sz w:val="20"/>
          <w:szCs w:val="20"/>
          <w:lang w:val="en-GB"/>
        </w:rPr>
        <w:t xml:space="preserve">segmented and annotated CSBS recordings, </w:t>
      </w:r>
      <w:r w:rsidR="66AE142E" w:rsidRPr="7C21B140">
        <w:rPr>
          <w:color w:val="000000" w:themeColor="text1"/>
          <w:sz w:val="20"/>
          <w:szCs w:val="20"/>
          <w:lang w:val="en-GB"/>
        </w:rPr>
        <w:t>labeling</w:t>
      </w:r>
      <w:r w:rsidR="00E7006D" w:rsidRPr="7C21B140">
        <w:rPr>
          <w:color w:val="000000" w:themeColor="text1"/>
          <w:sz w:val="20"/>
          <w:szCs w:val="20"/>
          <w:lang w:val="en-GB"/>
        </w:rPr>
        <w:t xml:space="preserve"> </w:t>
      </w:r>
      <w:r w:rsidR="62E4300B" w:rsidRPr="7C21B140">
        <w:rPr>
          <w:color w:val="000000" w:themeColor="text1"/>
          <w:sz w:val="20"/>
          <w:szCs w:val="20"/>
          <w:lang w:val="en-GB"/>
        </w:rPr>
        <w:t>toddler</w:t>
      </w:r>
      <w:r w:rsidR="00E7006D" w:rsidRPr="7C21B140">
        <w:rPr>
          <w:color w:val="000000" w:themeColor="text1"/>
          <w:sz w:val="20"/>
          <w:szCs w:val="20"/>
          <w:lang w:val="en-GB"/>
        </w:rPr>
        <w:t xml:space="preserve"> </w:t>
      </w:r>
      <w:r w:rsidR="50D46DA1" w:rsidRPr="7C21B140">
        <w:rPr>
          <w:color w:val="000000" w:themeColor="text1"/>
          <w:sz w:val="20"/>
          <w:szCs w:val="20"/>
          <w:lang w:val="en-GB"/>
        </w:rPr>
        <w:t xml:space="preserve">vocalizations as </w:t>
      </w:r>
      <w:r w:rsidR="00E7006D" w:rsidRPr="7C21B140">
        <w:rPr>
          <w:color w:val="000000" w:themeColor="text1"/>
          <w:sz w:val="20"/>
          <w:szCs w:val="20"/>
          <w:lang w:val="en-GB"/>
        </w:rPr>
        <w:t>speech-like</w:t>
      </w:r>
      <w:r w:rsidR="00E4449D" w:rsidRPr="7C21B140">
        <w:rPr>
          <w:color w:val="000000" w:themeColor="text1"/>
          <w:sz w:val="20"/>
          <w:szCs w:val="20"/>
          <w:lang w:val="en-GB"/>
        </w:rPr>
        <w:t xml:space="preserve">, atypical, and non-speech. </w:t>
      </w:r>
      <w:r w:rsidR="38001178" w:rsidRPr="7C21B140">
        <w:rPr>
          <w:color w:val="000000" w:themeColor="text1"/>
          <w:sz w:val="20"/>
          <w:szCs w:val="20"/>
          <w:lang w:val="en-GB"/>
        </w:rPr>
        <w:t>Spearman correlations explored associations between rate of speech-like vocalizing (relative to total vocalizing) and Bay</w:t>
      </w:r>
      <w:r w:rsidR="00E925F9">
        <w:rPr>
          <w:color w:val="000000" w:themeColor="text1"/>
          <w:sz w:val="20"/>
          <w:szCs w:val="20"/>
          <w:lang w:val="en-GB"/>
        </w:rPr>
        <w:t>le</w:t>
      </w:r>
      <w:r w:rsidR="38001178" w:rsidRPr="7C21B140">
        <w:rPr>
          <w:color w:val="000000" w:themeColor="text1"/>
          <w:sz w:val="20"/>
          <w:szCs w:val="20"/>
          <w:lang w:val="en-GB"/>
        </w:rPr>
        <w:t>y expressive and receptive scaled scores.</w:t>
      </w:r>
    </w:p>
    <w:p w14:paraId="2430A692" w14:textId="7A6DC89C" w:rsidR="003D6244" w:rsidRPr="00074E07" w:rsidRDefault="003D6244" w:rsidP="53DCC51D">
      <w:pPr>
        <w:rPr>
          <w:color w:val="000000" w:themeColor="text1"/>
          <w:sz w:val="20"/>
          <w:szCs w:val="20"/>
          <w:lang w:val="en-GB"/>
        </w:rPr>
      </w:pPr>
      <w:r w:rsidRPr="7C21B140">
        <w:rPr>
          <w:b/>
          <w:bCs/>
          <w:color w:val="000000" w:themeColor="text1"/>
          <w:sz w:val="20"/>
          <w:szCs w:val="20"/>
          <w:lang w:val="en-GB"/>
        </w:rPr>
        <w:t>Results</w:t>
      </w:r>
      <w:r w:rsidRPr="7C21B140">
        <w:rPr>
          <w:color w:val="000000" w:themeColor="text1"/>
          <w:sz w:val="20"/>
          <w:szCs w:val="20"/>
          <w:lang w:val="en-GB"/>
        </w:rPr>
        <w:t xml:space="preserve">: </w:t>
      </w:r>
      <w:r w:rsidR="25811045" w:rsidRPr="7C21B140">
        <w:rPr>
          <w:color w:val="000000" w:themeColor="text1"/>
          <w:sz w:val="20"/>
          <w:szCs w:val="20"/>
          <w:lang w:val="en-GB"/>
        </w:rPr>
        <w:t xml:space="preserve">Participants produced </w:t>
      </w:r>
      <w:r w:rsidR="6473F016" w:rsidRPr="7C21B140">
        <w:rPr>
          <w:color w:val="000000" w:themeColor="text1"/>
          <w:sz w:val="20"/>
          <w:szCs w:val="20"/>
          <w:lang w:val="en-GB"/>
        </w:rPr>
        <w:t xml:space="preserve">a total of </w:t>
      </w:r>
      <w:r w:rsidR="25811045" w:rsidRPr="7C21B140">
        <w:rPr>
          <w:color w:val="000000" w:themeColor="text1"/>
          <w:sz w:val="20"/>
          <w:szCs w:val="20"/>
          <w:lang w:val="en-GB"/>
        </w:rPr>
        <w:t xml:space="preserve">869 vocalizations. (1) </w:t>
      </w:r>
      <w:r w:rsidR="00537332" w:rsidRPr="7C21B140">
        <w:rPr>
          <w:color w:val="000000" w:themeColor="text1"/>
          <w:sz w:val="20"/>
          <w:szCs w:val="20"/>
          <w:lang w:val="en-GB"/>
        </w:rPr>
        <w:t>Atypical vocalizations</w:t>
      </w:r>
      <w:r w:rsidR="64B0B101" w:rsidRPr="7C21B140">
        <w:rPr>
          <w:color w:val="000000" w:themeColor="text1"/>
          <w:sz w:val="20"/>
          <w:szCs w:val="20"/>
          <w:lang w:val="en-GB"/>
        </w:rPr>
        <w:t xml:space="preserve"> were observed</w:t>
      </w:r>
      <w:r w:rsidR="15A7FE64" w:rsidRPr="7C21B140">
        <w:rPr>
          <w:color w:val="000000" w:themeColor="text1"/>
          <w:sz w:val="20"/>
          <w:szCs w:val="20"/>
          <w:lang w:val="en-GB"/>
        </w:rPr>
        <w:t>, which were captured in a new coding tier</w:t>
      </w:r>
      <w:r w:rsidR="64B0B101" w:rsidRPr="7C21B140">
        <w:rPr>
          <w:color w:val="000000" w:themeColor="text1"/>
          <w:sz w:val="20"/>
          <w:szCs w:val="20"/>
          <w:lang w:val="en-GB"/>
        </w:rPr>
        <w:t xml:space="preserve">. </w:t>
      </w:r>
      <w:r w:rsidR="7ACA5DD8" w:rsidRPr="7C21B140">
        <w:rPr>
          <w:color w:val="000000" w:themeColor="text1"/>
          <w:sz w:val="20"/>
          <w:szCs w:val="20"/>
          <w:lang w:val="en-GB"/>
        </w:rPr>
        <w:t>Atypical vocalizations</w:t>
      </w:r>
      <w:r w:rsidR="00537332" w:rsidRPr="7C21B140">
        <w:rPr>
          <w:color w:val="000000" w:themeColor="text1"/>
          <w:sz w:val="20"/>
          <w:szCs w:val="20"/>
          <w:lang w:val="en-GB"/>
        </w:rPr>
        <w:t xml:space="preserve"> </w:t>
      </w:r>
      <w:r w:rsidR="00A228D4" w:rsidRPr="7C21B140">
        <w:rPr>
          <w:color w:val="000000" w:themeColor="text1"/>
          <w:sz w:val="20"/>
          <w:szCs w:val="20"/>
          <w:lang w:val="en-GB"/>
        </w:rPr>
        <w:t>sounded grunt-like,</w:t>
      </w:r>
      <w:r w:rsidR="69818191" w:rsidRPr="7C21B140">
        <w:rPr>
          <w:color w:val="000000" w:themeColor="text1"/>
          <w:sz w:val="20"/>
          <w:szCs w:val="20"/>
          <w:lang w:val="en-GB"/>
        </w:rPr>
        <w:t xml:space="preserve"> as if </w:t>
      </w:r>
      <w:r w:rsidR="00A228D4" w:rsidRPr="7C21B140">
        <w:rPr>
          <w:color w:val="000000" w:themeColor="text1"/>
          <w:sz w:val="20"/>
          <w:szCs w:val="20"/>
          <w:lang w:val="en-GB"/>
        </w:rPr>
        <w:t xml:space="preserve">they were </w:t>
      </w:r>
      <w:r w:rsidR="49B95158" w:rsidRPr="7C21B140">
        <w:rPr>
          <w:color w:val="000000" w:themeColor="text1"/>
          <w:sz w:val="20"/>
          <w:szCs w:val="20"/>
          <w:lang w:val="en-GB"/>
        </w:rPr>
        <w:t xml:space="preserve">produced in </w:t>
      </w:r>
      <w:r w:rsidR="00A228D4" w:rsidRPr="7C21B140">
        <w:rPr>
          <w:color w:val="000000" w:themeColor="text1"/>
          <w:sz w:val="20"/>
          <w:szCs w:val="20"/>
          <w:lang w:val="en-GB"/>
        </w:rPr>
        <w:t>the back of the throat</w:t>
      </w:r>
      <w:r w:rsidR="6B718C60" w:rsidRPr="7C21B140">
        <w:rPr>
          <w:color w:val="000000" w:themeColor="text1"/>
          <w:sz w:val="20"/>
          <w:szCs w:val="20"/>
          <w:lang w:val="en-GB"/>
        </w:rPr>
        <w:t xml:space="preserve"> (gutt</w:t>
      </w:r>
      <w:r w:rsidR="1E96975D" w:rsidRPr="7C21B140">
        <w:rPr>
          <w:color w:val="000000" w:themeColor="text1"/>
          <w:sz w:val="20"/>
          <w:szCs w:val="20"/>
          <w:lang w:val="en-GB"/>
        </w:rPr>
        <w:t>u</w:t>
      </w:r>
      <w:r w:rsidR="6B718C60" w:rsidRPr="7C21B140">
        <w:rPr>
          <w:color w:val="000000" w:themeColor="text1"/>
          <w:sz w:val="20"/>
          <w:szCs w:val="20"/>
          <w:lang w:val="en-GB"/>
        </w:rPr>
        <w:t>ral)</w:t>
      </w:r>
      <w:r w:rsidR="00A228D4" w:rsidRPr="7C21B140">
        <w:rPr>
          <w:color w:val="000000" w:themeColor="text1"/>
          <w:sz w:val="20"/>
          <w:szCs w:val="20"/>
          <w:lang w:val="en-GB"/>
        </w:rPr>
        <w:t>.</w:t>
      </w:r>
      <w:r w:rsidR="01FB846A" w:rsidRPr="7C21B140">
        <w:rPr>
          <w:color w:val="000000" w:themeColor="text1"/>
          <w:sz w:val="20"/>
          <w:szCs w:val="20"/>
          <w:lang w:val="en-GB"/>
        </w:rPr>
        <w:t xml:space="preserve"> With the new coding system in place, raters achieved 86% agreement</w:t>
      </w:r>
      <w:r w:rsidR="07707975" w:rsidRPr="7C21B140">
        <w:rPr>
          <w:color w:val="000000" w:themeColor="text1"/>
          <w:sz w:val="20"/>
          <w:szCs w:val="20"/>
          <w:lang w:val="en-GB"/>
        </w:rPr>
        <w:t xml:space="preserve">; </w:t>
      </w:r>
      <w:r w:rsidR="01FB846A" w:rsidRPr="7C21B140">
        <w:rPr>
          <w:color w:val="000000" w:themeColor="text1"/>
          <w:sz w:val="20"/>
          <w:szCs w:val="20"/>
          <w:lang w:val="en-GB"/>
        </w:rPr>
        <w:t>coding was less reliable before the new tier was added.</w:t>
      </w:r>
      <w:r w:rsidR="00A228D4" w:rsidRPr="7C21B140">
        <w:rPr>
          <w:color w:val="000000" w:themeColor="text1"/>
          <w:sz w:val="20"/>
          <w:szCs w:val="20"/>
          <w:lang w:val="en-GB"/>
        </w:rPr>
        <w:t xml:space="preserve"> </w:t>
      </w:r>
      <w:r w:rsidR="40B6CA01" w:rsidRPr="7C21B140">
        <w:rPr>
          <w:color w:val="000000" w:themeColor="text1"/>
          <w:sz w:val="20"/>
          <w:szCs w:val="20"/>
          <w:lang w:val="en-GB"/>
        </w:rPr>
        <w:t xml:space="preserve">(2) </w:t>
      </w:r>
      <w:r w:rsidR="00334B42" w:rsidRPr="7C21B140">
        <w:rPr>
          <w:color w:val="000000" w:themeColor="text1"/>
          <w:sz w:val="20"/>
          <w:szCs w:val="20"/>
          <w:lang w:val="en-GB"/>
        </w:rPr>
        <w:t xml:space="preserve">A Spearman correlation revealed a positive association between </w:t>
      </w:r>
      <w:r w:rsidR="006B785F" w:rsidRPr="7C21B140">
        <w:rPr>
          <w:color w:val="000000" w:themeColor="text1"/>
          <w:sz w:val="20"/>
          <w:szCs w:val="20"/>
          <w:lang w:val="en-GB"/>
        </w:rPr>
        <w:t xml:space="preserve">rate of speech-like vocalizing relative to total vocalizing and Bayley </w:t>
      </w:r>
      <w:r w:rsidR="008B7394" w:rsidRPr="7C21B140">
        <w:rPr>
          <w:color w:val="000000" w:themeColor="text1"/>
          <w:sz w:val="20"/>
          <w:szCs w:val="20"/>
          <w:lang w:val="en-GB"/>
        </w:rPr>
        <w:t>receptive scaled scores (</w:t>
      </w:r>
      <w:proofErr w:type="spellStart"/>
      <w:r w:rsidR="002901EB" w:rsidRPr="7C21B140">
        <w:rPr>
          <w:i/>
          <w:iCs/>
          <w:color w:val="000000" w:themeColor="text1"/>
          <w:sz w:val="20"/>
          <w:szCs w:val="20"/>
          <w:lang w:val="en-GB"/>
        </w:rPr>
        <w:t>r</w:t>
      </w:r>
      <w:r w:rsidR="002901EB" w:rsidRPr="7C21B140">
        <w:rPr>
          <w:i/>
          <w:iCs/>
          <w:color w:val="000000" w:themeColor="text1"/>
          <w:sz w:val="20"/>
          <w:szCs w:val="20"/>
          <w:vertAlign w:val="subscript"/>
          <w:lang w:val="en-GB"/>
        </w:rPr>
        <w:t>s</w:t>
      </w:r>
      <w:proofErr w:type="spellEnd"/>
      <w:r w:rsidR="002901EB" w:rsidRPr="7C21B140">
        <w:rPr>
          <w:color w:val="000000" w:themeColor="text1"/>
          <w:sz w:val="20"/>
          <w:szCs w:val="20"/>
          <w:lang w:val="en-GB"/>
        </w:rPr>
        <w:t xml:space="preserve"> = </w:t>
      </w:r>
      <w:r w:rsidR="00CB25BA" w:rsidRPr="7C21B140">
        <w:rPr>
          <w:color w:val="000000" w:themeColor="text1"/>
          <w:sz w:val="20"/>
          <w:szCs w:val="20"/>
          <w:lang w:val="en-GB"/>
        </w:rPr>
        <w:t xml:space="preserve">0.61, </w:t>
      </w:r>
      <w:r w:rsidR="00CB25BA" w:rsidRPr="7C21B140">
        <w:rPr>
          <w:i/>
          <w:iCs/>
          <w:color w:val="000000" w:themeColor="text1"/>
          <w:sz w:val="20"/>
          <w:szCs w:val="20"/>
          <w:lang w:val="en-GB"/>
        </w:rPr>
        <w:t>p</w:t>
      </w:r>
      <w:r w:rsidR="00CB25BA" w:rsidRPr="7C21B140">
        <w:rPr>
          <w:sz w:val="20"/>
          <w:szCs w:val="20"/>
        </w:rPr>
        <w:t xml:space="preserve"> = 0.048</w:t>
      </w:r>
      <w:r w:rsidR="008B7394" w:rsidRPr="7C21B140">
        <w:rPr>
          <w:color w:val="000000" w:themeColor="text1"/>
          <w:sz w:val="20"/>
          <w:szCs w:val="20"/>
          <w:lang w:val="en-GB"/>
        </w:rPr>
        <w:t>; Figure). Rate of speech-like vocalizing was not significantly associated with Bayley expressive scaled scores (</w:t>
      </w:r>
      <w:proofErr w:type="spellStart"/>
      <w:r w:rsidR="00CB25BA" w:rsidRPr="7C21B140">
        <w:rPr>
          <w:i/>
          <w:iCs/>
          <w:color w:val="000000" w:themeColor="text1"/>
          <w:sz w:val="20"/>
          <w:szCs w:val="20"/>
          <w:lang w:val="en-GB"/>
        </w:rPr>
        <w:t>r</w:t>
      </w:r>
      <w:r w:rsidR="00CB25BA" w:rsidRPr="7C21B140">
        <w:rPr>
          <w:i/>
          <w:iCs/>
          <w:color w:val="000000" w:themeColor="text1"/>
          <w:sz w:val="20"/>
          <w:szCs w:val="20"/>
          <w:vertAlign w:val="subscript"/>
          <w:lang w:val="en-GB"/>
        </w:rPr>
        <w:t>s</w:t>
      </w:r>
      <w:proofErr w:type="spellEnd"/>
      <w:r w:rsidR="00CB25BA" w:rsidRPr="7C21B140">
        <w:rPr>
          <w:color w:val="000000" w:themeColor="text1"/>
          <w:sz w:val="20"/>
          <w:szCs w:val="20"/>
          <w:lang w:val="en-GB"/>
        </w:rPr>
        <w:t xml:space="preserve"> = -0.21, </w:t>
      </w:r>
      <w:r w:rsidR="00CB25BA" w:rsidRPr="7C21B140">
        <w:rPr>
          <w:i/>
          <w:iCs/>
          <w:color w:val="000000" w:themeColor="text1"/>
          <w:sz w:val="20"/>
          <w:szCs w:val="20"/>
          <w:lang w:val="en-GB"/>
        </w:rPr>
        <w:t>p</w:t>
      </w:r>
      <w:r w:rsidR="00CB25BA" w:rsidRPr="7C21B140">
        <w:rPr>
          <w:sz w:val="20"/>
          <w:szCs w:val="20"/>
        </w:rPr>
        <w:t xml:space="preserve"> = 0.54</w:t>
      </w:r>
      <w:r w:rsidR="008B7394" w:rsidRPr="7C21B140">
        <w:rPr>
          <w:color w:val="000000" w:themeColor="text1"/>
          <w:sz w:val="20"/>
          <w:szCs w:val="20"/>
          <w:lang w:val="en-GB"/>
        </w:rPr>
        <w:t>).</w:t>
      </w:r>
    </w:p>
    <w:p w14:paraId="1B5C5F4B" w14:textId="31867283" w:rsidR="00EB55DF" w:rsidRPr="00980EDE" w:rsidRDefault="003D6244">
      <w:pPr>
        <w:rPr>
          <w:color w:val="000000" w:themeColor="text1"/>
          <w:sz w:val="20"/>
          <w:szCs w:val="20"/>
          <w:lang w:val="en-GB"/>
        </w:rPr>
      </w:pPr>
      <w:r w:rsidRPr="53DCC51D">
        <w:rPr>
          <w:b/>
          <w:bCs/>
          <w:color w:val="000000" w:themeColor="text1"/>
          <w:sz w:val="20"/>
          <w:szCs w:val="20"/>
          <w:lang w:val="en-GB"/>
        </w:rPr>
        <w:t xml:space="preserve">Discussion: </w:t>
      </w:r>
      <w:r w:rsidR="00F73F60" w:rsidRPr="53DCC51D">
        <w:rPr>
          <w:color w:val="000000" w:themeColor="text1"/>
          <w:sz w:val="20"/>
          <w:szCs w:val="20"/>
          <w:lang w:val="en-GB"/>
        </w:rPr>
        <w:t xml:space="preserve">Adding an “atypical” </w:t>
      </w:r>
      <w:r w:rsidR="0F7ABDE9" w:rsidRPr="00EB55DF">
        <w:rPr>
          <w:color w:val="000000" w:themeColor="text1"/>
          <w:sz w:val="20"/>
          <w:szCs w:val="20"/>
          <w:lang w:val="en-GB"/>
        </w:rPr>
        <w:t xml:space="preserve">category </w:t>
      </w:r>
      <w:r w:rsidR="00F73F60" w:rsidRPr="53DCC51D">
        <w:rPr>
          <w:color w:val="000000" w:themeColor="text1"/>
          <w:sz w:val="20"/>
          <w:szCs w:val="20"/>
          <w:lang w:val="en-GB"/>
        </w:rPr>
        <w:t xml:space="preserve">to </w:t>
      </w:r>
      <w:r w:rsidR="2262F314" w:rsidRPr="53DCC51D">
        <w:rPr>
          <w:color w:val="000000" w:themeColor="text1"/>
          <w:sz w:val="20"/>
          <w:szCs w:val="20"/>
          <w:lang w:val="en-GB"/>
        </w:rPr>
        <w:t xml:space="preserve">the established </w:t>
      </w:r>
      <w:r w:rsidR="00F73F60" w:rsidRPr="53DCC51D">
        <w:rPr>
          <w:color w:val="000000" w:themeColor="text1"/>
          <w:sz w:val="20"/>
          <w:szCs w:val="20"/>
          <w:lang w:val="en-GB"/>
        </w:rPr>
        <w:t xml:space="preserve">language coding pipeline </w:t>
      </w:r>
      <w:r w:rsidR="00CB4DBC" w:rsidRPr="53DCC51D">
        <w:rPr>
          <w:color w:val="000000" w:themeColor="text1"/>
          <w:sz w:val="20"/>
          <w:szCs w:val="20"/>
          <w:lang w:val="en-GB"/>
        </w:rPr>
        <w:t>yielded relatively high reliability among coders</w:t>
      </w:r>
      <w:r w:rsidR="004814D6" w:rsidRPr="53DCC51D">
        <w:rPr>
          <w:color w:val="000000" w:themeColor="text1"/>
          <w:sz w:val="20"/>
          <w:szCs w:val="20"/>
          <w:lang w:val="en-GB"/>
        </w:rPr>
        <w:t>. Atypical</w:t>
      </w:r>
      <w:r w:rsidR="50284FD4" w:rsidRPr="53DCC51D">
        <w:rPr>
          <w:color w:val="000000" w:themeColor="text1"/>
          <w:sz w:val="20"/>
          <w:szCs w:val="20"/>
          <w:lang w:val="en-GB"/>
        </w:rPr>
        <w:t xml:space="preserve">, </w:t>
      </w:r>
      <w:r w:rsidR="0DB6B302" w:rsidRPr="53DCC51D">
        <w:rPr>
          <w:color w:val="000000" w:themeColor="text1"/>
          <w:sz w:val="20"/>
          <w:szCs w:val="20"/>
          <w:lang w:val="en-GB"/>
        </w:rPr>
        <w:t>guttural</w:t>
      </w:r>
      <w:r w:rsidR="004814D6" w:rsidRPr="53DCC51D">
        <w:rPr>
          <w:color w:val="000000" w:themeColor="text1"/>
          <w:sz w:val="20"/>
          <w:szCs w:val="20"/>
          <w:lang w:val="en-GB"/>
        </w:rPr>
        <w:t xml:space="preserve"> vocalizations in Down syndrome</w:t>
      </w:r>
      <w:r w:rsidR="5E2DC76A" w:rsidRPr="53DCC51D">
        <w:rPr>
          <w:color w:val="000000" w:themeColor="text1"/>
          <w:sz w:val="20"/>
          <w:szCs w:val="20"/>
          <w:lang w:val="en-GB"/>
        </w:rPr>
        <w:t xml:space="preserve"> may be related to upper airway obstructions, </w:t>
      </w:r>
      <w:r w:rsidR="066C90F3" w:rsidRPr="53DCC51D">
        <w:rPr>
          <w:color w:val="000000" w:themeColor="text1"/>
          <w:sz w:val="20"/>
          <w:szCs w:val="20"/>
          <w:lang w:val="en-GB"/>
        </w:rPr>
        <w:t xml:space="preserve">for </w:t>
      </w:r>
      <w:r w:rsidR="5E2DC76A" w:rsidRPr="53DCC51D">
        <w:rPr>
          <w:color w:val="000000" w:themeColor="text1"/>
          <w:sz w:val="20"/>
          <w:szCs w:val="20"/>
          <w:lang w:val="en-GB"/>
        </w:rPr>
        <w:t>which children with Down syndrome are at greater risk due to their unique craniofacial features (</w:t>
      </w:r>
      <w:proofErr w:type="spellStart"/>
      <w:r w:rsidR="5E2DC76A" w:rsidRPr="53DCC51D">
        <w:rPr>
          <w:color w:val="000000" w:themeColor="text1"/>
          <w:sz w:val="20"/>
          <w:szCs w:val="20"/>
          <w:lang w:val="en-GB"/>
        </w:rPr>
        <w:t>Pfleger</w:t>
      </w:r>
      <w:proofErr w:type="spellEnd"/>
      <w:r w:rsidR="5E2DC76A" w:rsidRPr="53DCC51D">
        <w:rPr>
          <w:color w:val="000000" w:themeColor="text1"/>
          <w:sz w:val="20"/>
          <w:szCs w:val="20"/>
          <w:lang w:val="en-GB"/>
        </w:rPr>
        <w:t xml:space="preserve"> &amp; Eber, 2016)</w:t>
      </w:r>
      <w:r w:rsidR="004814D6" w:rsidRPr="53DCC51D">
        <w:rPr>
          <w:color w:val="000000" w:themeColor="text1"/>
          <w:sz w:val="20"/>
          <w:szCs w:val="20"/>
          <w:lang w:val="en-GB"/>
        </w:rPr>
        <w:t xml:space="preserve">. </w:t>
      </w:r>
      <w:r w:rsidR="0027047B" w:rsidRPr="00825305">
        <w:rPr>
          <w:color w:val="000000" w:themeColor="text1"/>
          <w:sz w:val="20"/>
          <w:szCs w:val="20"/>
          <w:lang w:val="en-GB"/>
        </w:rPr>
        <w:t xml:space="preserve">In this preliminary study with a small sample, </w:t>
      </w:r>
      <w:r w:rsidR="00C75017" w:rsidRPr="00825305">
        <w:rPr>
          <w:color w:val="000000" w:themeColor="text1"/>
          <w:sz w:val="20"/>
          <w:szCs w:val="20"/>
          <w:lang w:val="en-GB"/>
        </w:rPr>
        <w:t>significant</w:t>
      </w:r>
      <w:r w:rsidR="6A3C29EA" w:rsidRPr="00825305">
        <w:rPr>
          <w:color w:val="000000" w:themeColor="text1"/>
          <w:sz w:val="20"/>
          <w:szCs w:val="20"/>
          <w:lang w:val="en-GB"/>
        </w:rPr>
        <w:t xml:space="preserve"> concurrent</w:t>
      </w:r>
      <w:r w:rsidR="00C75017" w:rsidRPr="00825305">
        <w:rPr>
          <w:color w:val="000000" w:themeColor="text1"/>
          <w:sz w:val="20"/>
          <w:szCs w:val="20"/>
          <w:lang w:val="en-GB"/>
        </w:rPr>
        <w:t xml:space="preserve"> associations between </w:t>
      </w:r>
      <w:r w:rsidR="44E72265" w:rsidRPr="00825305">
        <w:rPr>
          <w:color w:val="000000" w:themeColor="text1"/>
          <w:sz w:val="20"/>
          <w:szCs w:val="20"/>
          <w:lang w:val="en-GB"/>
        </w:rPr>
        <w:t xml:space="preserve">natural </w:t>
      </w:r>
      <w:r w:rsidR="08CC031B" w:rsidRPr="00825305">
        <w:rPr>
          <w:color w:val="000000" w:themeColor="text1"/>
          <w:sz w:val="20"/>
          <w:szCs w:val="20"/>
          <w:lang w:val="en-GB"/>
        </w:rPr>
        <w:t>speech-like vocaliz</w:t>
      </w:r>
      <w:r w:rsidR="3DBE83EB" w:rsidRPr="00825305">
        <w:rPr>
          <w:color w:val="000000" w:themeColor="text1"/>
          <w:sz w:val="20"/>
          <w:szCs w:val="20"/>
          <w:lang w:val="en-GB"/>
        </w:rPr>
        <w:t xml:space="preserve">ing </w:t>
      </w:r>
      <w:r w:rsidR="00C75017" w:rsidRPr="00825305">
        <w:rPr>
          <w:color w:val="000000" w:themeColor="text1"/>
          <w:sz w:val="20"/>
          <w:szCs w:val="20"/>
          <w:lang w:val="en-GB"/>
        </w:rPr>
        <w:t>and standardized receptive and expressive language scores were found</w:t>
      </w:r>
      <w:r w:rsidR="70BCF6CB" w:rsidRPr="00825305">
        <w:rPr>
          <w:color w:val="000000" w:themeColor="text1"/>
          <w:sz w:val="20"/>
          <w:szCs w:val="20"/>
          <w:lang w:val="en-GB"/>
        </w:rPr>
        <w:t xml:space="preserve">; however, these results were affected by outliers that highlight </w:t>
      </w:r>
      <w:r w:rsidR="7AD79393" w:rsidRPr="00825305">
        <w:rPr>
          <w:color w:val="000000" w:themeColor="text1"/>
          <w:sz w:val="20"/>
          <w:szCs w:val="20"/>
          <w:lang w:val="en-GB"/>
        </w:rPr>
        <w:t xml:space="preserve">vast </w:t>
      </w:r>
      <w:r w:rsidR="70BCF6CB" w:rsidRPr="00825305">
        <w:rPr>
          <w:color w:val="000000" w:themeColor="text1"/>
          <w:sz w:val="20"/>
          <w:szCs w:val="20"/>
          <w:lang w:val="en-GB"/>
        </w:rPr>
        <w:t xml:space="preserve">heterogeneity </w:t>
      </w:r>
      <w:r w:rsidR="025E2BBC" w:rsidRPr="00825305">
        <w:rPr>
          <w:color w:val="000000" w:themeColor="text1"/>
          <w:sz w:val="20"/>
          <w:szCs w:val="20"/>
          <w:lang w:val="en-GB"/>
        </w:rPr>
        <w:t xml:space="preserve">in </w:t>
      </w:r>
      <w:r w:rsidR="70BCF6CB" w:rsidRPr="00825305">
        <w:rPr>
          <w:color w:val="000000" w:themeColor="text1"/>
          <w:sz w:val="20"/>
          <w:szCs w:val="20"/>
          <w:lang w:val="en-GB"/>
        </w:rPr>
        <w:t>Down syndrome</w:t>
      </w:r>
      <w:r w:rsidR="00C75017" w:rsidRPr="00825305">
        <w:rPr>
          <w:color w:val="000000" w:themeColor="text1"/>
          <w:sz w:val="20"/>
          <w:szCs w:val="20"/>
          <w:lang w:val="en-GB"/>
        </w:rPr>
        <w:t>. Future r</w:t>
      </w:r>
      <w:r w:rsidR="00C75017" w:rsidRPr="53DCC51D">
        <w:rPr>
          <w:color w:val="000000" w:themeColor="text1"/>
          <w:sz w:val="20"/>
          <w:szCs w:val="20"/>
          <w:lang w:val="en-GB"/>
        </w:rPr>
        <w:t xml:space="preserve">esearch </w:t>
      </w:r>
      <w:r w:rsidR="0C992372" w:rsidRPr="00EB55DF">
        <w:rPr>
          <w:color w:val="000000" w:themeColor="text1"/>
          <w:sz w:val="20"/>
          <w:szCs w:val="20"/>
          <w:lang w:val="en-GB"/>
        </w:rPr>
        <w:t xml:space="preserve">should include </w:t>
      </w:r>
      <w:r w:rsidR="00FA0AEA" w:rsidRPr="53DCC51D">
        <w:rPr>
          <w:color w:val="000000" w:themeColor="text1"/>
          <w:sz w:val="20"/>
          <w:szCs w:val="20"/>
          <w:lang w:val="en-GB"/>
        </w:rPr>
        <w:t xml:space="preserve">computational linguistic methods </w:t>
      </w:r>
      <w:r w:rsidR="2D0895E2" w:rsidRPr="53DCC51D">
        <w:rPr>
          <w:color w:val="000000" w:themeColor="text1"/>
          <w:sz w:val="20"/>
          <w:szCs w:val="20"/>
          <w:lang w:val="en-GB"/>
        </w:rPr>
        <w:t xml:space="preserve">for </w:t>
      </w:r>
      <w:r w:rsidR="0055508A" w:rsidRPr="53DCC51D">
        <w:rPr>
          <w:color w:val="000000" w:themeColor="text1"/>
          <w:sz w:val="20"/>
          <w:szCs w:val="20"/>
          <w:lang w:val="en-GB"/>
        </w:rPr>
        <w:t>analyz</w:t>
      </w:r>
      <w:r w:rsidR="02DA69C5" w:rsidRPr="53DCC51D">
        <w:rPr>
          <w:color w:val="000000" w:themeColor="text1"/>
          <w:sz w:val="20"/>
          <w:szCs w:val="20"/>
          <w:lang w:val="en-GB"/>
        </w:rPr>
        <w:t xml:space="preserve">ing </w:t>
      </w:r>
      <w:r w:rsidR="00747D7F" w:rsidRPr="53DCC51D">
        <w:rPr>
          <w:color w:val="000000" w:themeColor="text1"/>
          <w:sz w:val="20"/>
          <w:szCs w:val="20"/>
          <w:lang w:val="en-GB"/>
        </w:rPr>
        <w:t>much larger samples of vocalizations from infants with Down syndrome</w:t>
      </w:r>
      <w:r w:rsidR="00D40271" w:rsidRPr="53DCC51D">
        <w:rPr>
          <w:color w:val="000000" w:themeColor="text1"/>
          <w:sz w:val="20"/>
          <w:szCs w:val="20"/>
          <w:lang w:val="en-GB"/>
        </w:rPr>
        <w:t xml:space="preserve"> to </w:t>
      </w:r>
      <w:r w:rsidR="00747D7F" w:rsidRPr="53DCC51D">
        <w:rPr>
          <w:color w:val="000000" w:themeColor="text1"/>
          <w:sz w:val="20"/>
          <w:szCs w:val="20"/>
          <w:lang w:val="en-GB"/>
        </w:rPr>
        <w:t xml:space="preserve">learn </w:t>
      </w:r>
      <w:r w:rsidR="001F4D83" w:rsidRPr="53DCC51D">
        <w:rPr>
          <w:color w:val="000000" w:themeColor="text1"/>
          <w:sz w:val="20"/>
          <w:szCs w:val="20"/>
          <w:lang w:val="en-GB"/>
        </w:rPr>
        <w:t>more about types</w:t>
      </w:r>
      <w:r w:rsidR="0058170B" w:rsidRPr="53DCC51D">
        <w:rPr>
          <w:color w:val="000000" w:themeColor="text1"/>
          <w:sz w:val="20"/>
          <w:szCs w:val="20"/>
          <w:lang w:val="en-GB"/>
        </w:rPr>
        <w:t xml:space="preserve"> and patterns</w:t>
      </w:r>
      <w:r w:rsidR="001F4D83" w:rsidRPr="53DCC51D">
        <w:rPr>
          <w:color w:val="000000" w:themeColor="text1"/>
          <w:sz w:val="20"/>
          <w:szCs w:val="20"/>
          <w:lang w:val="en-GB"/>
        </w:rPr>
        <w:t xml:space="preserve"> of vocaliz</w:t>
      </w:r>
      <w:r w:rsidR="180B680B" w:rsidRPr="53DCC51D">
        <w:rPr>
          <w:color w:val="000000" w:themeColor="text1"/>
          <w:sz w:val="20"/>
          <w:szCs w:val="20"/>
          <w:lang w:val="en-GB"/>
        </w:rPr>
        <w:t>ing</w:t>
      </w:r>
      <w:r w:rsidR="001F4D83" w:rsidRPr="53DCC51D">
        <w:rPr>
          <w:color w:val="000000" w:themeColor="text1"/>
          <w:sz w:val="20"/>
          <w:szCs w:val="20"/>
          <w:lang w:val="en-GB"/>
        </w:rPr>
        <w:t xml:space="preserve"> </w:t>
      </w:r>
      <w:r w:rsidR="49A7664C" w:rsidRPr="53DCC51D">
        <w:rPr>
          <w:color w:val="000000" w:themeColor="text1"/>
          <w:sz w:val="20"/>
          <w:szCs w:val="20"/>
          <w:lang w:val="en-GB"/>
        </w:rPr>
        <w:t>and predict long-term outcomes</w:t>
      </w:r>
      <w:r w:rsidR="00747D7F" w:rsidRPr="53DCC51D">
        <w:rPr>
          <w:color w:val="000000" w:themeColor="text1"/>
          <w:sz w:val="20"/>
          <w:szCs w:val="20"/>
          <w:lang w:val="en-GB"/>
        </w:rPr>
        <w:t xml:space="preserve">. </w:t>
      </w:r>
      <w:r w:rsidR="00EB55DF">
        <w:rPr>
          <w:b/>
          <w:color w:val="000000"/>
          <w:sz w:val="20"/>
          <w:szCs w:val="20"/>
          <w:lang w:val="en-GB"/>
        </w:rPr>
        <w:br w:type="page"/>
      </w:r>
    </w:p>
    <w:p w14:paraId="5DEED829" w14:textId="6BD1FE7F" w:rsidR="00866E4B" w:rsidRPr="003461A1" w:rsidRDefault="00866E4B" w:rsidP="00486E7C">
      <w:pPr>
        <w:spacing w:after="0"/>
        <w:rPr>
          <w:bCs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lastRenderedPageBreak/>
        <w:t>Figure.</w:t>
      </w:r>
    </w:p>
    <w:p w14:paraId="09B38FE7" w14:textId="24153CDF" w:rsidR="00866E4B" w:rsidRPr="00074E07" w:rsidRDefault="00C7210D" w:rsidP="00614777">
      <w:pPr>
        <w:spacing w:after="0"/>
        <w:rPr>
          <w:bCs/>
          <w:color w:val="000000"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5DCCFE91" wp14:editId="1C4EEC6D">
            <wp:extent cx="4572000" cy="269557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11D430C-0DF0-D36C-B3DD-DA6A584498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281759C" w14:textId="77777777" w:rsidR="00866E4B" w:rsidRDefault="00866E4B" w:rsidP="00486E7C">
      <w:pPr>
        <w:spacing w:after="0"/>
        <w:rPr>
          <w:b/>
          <w:color w:val="000000"/>
          <w:sz w:val="20"/>
          <w:szCs w:val="20"/>
          <w:lang w:val="en-GB"/>
        </w:rPr>
      </w:pPr>
    </w:p>
    <w:p w14:paraId="7AC50376" w14:textId="1204D1BC" w:rsidR="003D6244" w:rsidRDefault="003D6244" w:rsidP="00486E7C">
      <w:pPr>
        <w:spacing w:after="0"/>
        <w:rPr>
          <w:b/>
          <w:color w:val="000000"/>
          <w:sz w:val="20"/>
          <w:szCs w:val="20"/>
          <w:lang w:val="en-GB"/>
        </w:rPr>
      </w:pPr>
      <w:r w:rsidRPr="00514B99">
        <w:rPr>
          <w:b/>
          <w:color w:val="000000"/>
          <w:sz w:val="20"/>
          <w:szCs w:val="20"/>
          <w:lang w:val="en-GB"/>
        </w:rPr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</w:p>
    <w:p w14:paraId="7B471148" w14:textId="72FD5122" w:rsidR="00486E7C" w:rsidRPr="006D6304" w:rsidRDefault="00486E7C" w:rsidP="00DB420E">
      <w:pPr>
        <w:spacing w:after="120"/>
        <w:ind w:left="720" w:hanging="720"/>
        <w:rPr>
          <w:bCs/>
          <w:color w:val="000000"/>
          <w:sz w:val="20"/>
          <w:szCs w:val="20"/>
          <w:lang w:val="en-GB"/>
        </w:rPr>
      </w:pPr>
      <w:r>
        <w:rPr>
          <w:bCs/>
          <w:color w:val="000000"/>
          <w:sz w:val="20"/>
          <w:szCs w:val="20"/>
          <w:lang w:val="en-GB"/>
        </w:rPr>
        <w:t>Martin</w:t>
      </w:r>
      <w:r w:rsidR="00B06605">
        <w:rPr>
          <w:bCs/>
          <w:color w:val="000000"/>
          <w:sz w:val="20"/>
          <w:szCs w:val="20"/>
          <w:lang w:val="en-GB"/>
        </w:rPr>
        <w:t xml:space="preserve">, G. E., </w:t>
      </w:r>
      <w:proofErr w:type="spellStart"/>
      <w:r w:rsidR="009B7286">
        <w:rPr>
          <w:bCs/>
          <w:color w:val="000000"/>
          <w:sz w:val="20"/>
          <w:szCs w:val="20"/>
          <w:lang w:val="en-GB"/>
        </w:rPr>
        <w:t>Klusek</w:t>
      </w:r>
      <w:proofErr w:type="spellEnd"/>
      <w:r w:rsidR="009B7286">
        <w:rPr>
          <w:bCs/>
          <w:color w:val="000000"/>
          <w:sz w:val="20"/>
          <w:szCs w:val="20"/>
          <w:lang w:val="en-GB"/>
        </w:rPr>
        <w:t xml:space="preserve">, J., </w:t>
      </w:r>
      <w:proofErr w:type="spellStart"/>
      <w:r w:rsidR="009B7286">
        <w:rPr>
          <w:bCs/>
          <w:color w:val="000000"/>
          <w:sz w:val="20"/>
          <w:szCs w:val="20"/>
          <w:lang w:val="en-GB"/>
        </w:rPr>
        <w:t>Estigarribia</w:t>
      </w:r>
      <w:proofErr w:type="spellEnd"/>
      <w:r w:rsidR="009B7286">
        <w:rPr>
          <w:bCs/>
          <w:color w:val="000000"/>
          <w:sz w:val="20"/>
          <w:szCs w:val="20"/>
          <w:lang w:val="en-GB"/>
        </w:rPr>
        <w:t>, B., &amp; Roberts, J. E.</w:t>
      </w:r>
      <w:r w:rsidR="00FC43A1">
        <w:rPr>
          <w:bCs/>
          <w:color w:val="000000"/>
          <w:sz w:val="20"/>
          <w:szCs w:val="20"/>
          <w:lang w:val="en-GB"/>
        </w:rPr>
        <w:t xml:space="preserve"> (2009). Language characteristics of individuals with down syndrome.</w:t>
      </w:r>
      <w:r w:rsidR="004A7ACA">
        <w:rPr>
          <w:bCs/>
          <w:color w:val="000000"/>
          <w:sz w:val="20"/>
          <w:szCs w:val="20"/>
          <w:lang w:val="en-GB"/>
        </w:rPr>
        <w:t xml:space="preserve"> </w:t>
      </w:r>
      <w:r w:rsidR="004A7ACA">
        <w:rPr>
          <w:bCs/>
          <w:i/>
          <w:iCs/>
          <w:color w:val="000000"/>
          <w:sz w:val="20"/>
          <w:szCs w:val="20"/>
          <w:lang w:val="en-GB"/>
        </w:rPr>
        <w:t>Topics in Language Disorders.</w:t>
      </w:r>
      <w:r w:rsidR="006D6304">
        <w:rPr>
          <w:bCs/>
          <w:i/>
          <w:iCs/>
          <w:color w:val="000000"/>
          <w:sz w:val="20"/>
          <w:szCs w:val="20"/>
          <w:lang w:val="en-GB"/>
        </w:rPr>
        <w:t xml:space="preserve"> 29</w:t>
      </w:r>
      <w:r w:rsidR="006D6304">
        <w:rPr>
          <w:bCs/>
          <w:color w:val="000000"/>
          <w:sz w:val="20"/>
          <w:szCs w:val="20"/>
          <w:lang w:val="en-GB"/>
        </w:rPr>
        <w:t>(2): 112-132.</w:t>
      </w:r>
    </w:p>
    <w:p w14:paraId="14F435F6" w14:textId="77777777" w:rsidR="009A2108" w:rsidRDefault="0041758C" w:rsidP="00DB420E">
      <w:pPr>
        <w:spacing w:after="120"/>
        <w:ind w:left="720" w:hanging="720"/>
        <w:rPr>
          <w:bCs/>
          <w:color w:val="000000"/>
          <w:sz w:val="20"/>
          <w:szCs w:val="20"/>
          <w:lang w:val="en-GB"/>
        </w:rPr>
      </w:pPr>
      <w:r w:rsidRPr="0041758C">
        <w:rPr>
          <w:bCs/>
          <w:color w:val="000000"/>
          <w:sz w:val="20"/>
          <w:szCs w:val="20"/>
          <w:lang w:val="en-GB"/>
        </w:rPr>
        <w:t>Parikh</w:t>
      </w:r>
      <w:r>
        <w:rPr>
          <w:bCs/>
          <w:color w:val="000000"/>
          <w:sz w:val="20"/>
          <w:szCs w:val="20"/>
          <w:lang w:val="en-GB"/>
        </w:rPr>
        <w:t>,</w:t>
      </w:r>
      <w:r w:rsidRPr="0041758C">
        <w:rPr>
          <w:bCs/>
          <w:color w:val="000000"/>
          <w:sz w:val="20"/>
          <w:szCs w:val="20"/>
          <w:lang w:val="en-GB"/>
        </w:rPr>
        <w:t xml:space="preserve"> C</w:t>
      </w:r>
      <w:r>
        <w:rPr>
          <w:bCs/>
          <w:color w:val="000000"/>
          <w:sz w:val="20"/>
          <w:szCs w:val="20"/>
          <w:lang w:val="en-GB"/>
        </w:rPr>
        <w:t>.</w:t>
      </w:r>
      <w:r w:rsidRPr="0041758C">
        <w:rPr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41758C">
        <w:rPr>
          <w:bCs/>
          <w:color w:val="000000"/>
          <w:sz w:val="20"/>
          <w:szCs w:val="20"/>
          <w:lang w:val="en-GB"/>
        </w:rPr>
        <w:t>Mastergeorge</w:t>
      </w:r>
      <w:proofErr w:type="spellEnd"/>
      <w:r>
        <w:rPr>
          <w:bCs/>
          <w:color w:val="000000"/>
          <w:sz w:val="20"/>
          <w:szCs w:val="20"/>
          <w:lang w:val="en-GB"/>
        </w:rPr>
        <w:t>,</w:t>
      </w:r>
      <w:r w:rsidRPr="0041758C">
        <w:rPr>
          <w:bCs/>
          <w:color w:val="000000"/>
          <w:sz w:val="20"/>
          <w:szCs w:val="20"/>
          <w:lang w:val="en-GB"/>
        </w:rPr>
        <w:t xml:space="preserve"> A</w:t>
      </w:r>
      <w:r>
        <w:rPr>
          <w:bCs/>
          <w:color w:val="000000"/>
          <w:sz w:val="20"/>
          <w:szCs w:val="20"/>
          <w:lang w:val="en-GB"/>
        </w:rPr>
        <w:t xml:space="preserve">. </w:t>
      </w:r>
      <w:r w:rsidRPr="0041758C">
        <w:rPr>
          <w:bCs/>
          <w:color w:val="000000"/>
          <w:sz w:val="20"/>
          <w:szCs w:val="20"/>
          <w:lang w:val="en-GB"/>
        </w:rPr>
        <w:t xml:space="preserve">M. </w:t>
      </w:r>
      <w:r w:rsidR="009A2108">
        <w:rPr>
          <w:bCs/>
          <w:color w:val="000000"/>
          <w:sz w:val="20"/>
          <w:szCs w:val="20"/>
          <w:lang w:val="en-GB"/>
        </w:rPr>
        <w:t xml:space="preserve">(2018). </w:t>
      </w:r>
      <w:r w:rsidRPr="0041758C">
        <w:rPr>
          <w:bCs/>
          <w:color w:val="000000"/>
          <w:sz w:val="20"/>
          <w:szCs w:val="20"/>
          <w:lang w:val="en-GB"/>
        </w:rPr>
        <w:t xml:space="preserve">Vocalization patterns in young children with Down syndrome: Utilizing the language environment analysis (LENA) to inform </w:t>
      </w:r>
      <w:proofErr w:type="spellStart"/>
      <w:r w:rsidRPr="0041758C">
        <w:rPr>
          <w:bCs/>
          <w:color w:val="000000"/>
          <w:sz w:val="20"/>
          <w:szCs w:val="20"/>
          <w:lang w:val="en-GB"/>
        </w:rPr>
        <w:t>behavioral</w:t>
      </w:r>
      <w:proofErr w:type="spellEnd"/>
      <w:r w:rsidRPr="0041758C">
        <w:rPr>
          <w:bCs/>
          <w:color w:val="000000"/>
          <w:sz w:val="20"/>
          <w:szCs w:val="20"/>
          <w:lang w:val="en-GB"/>
        </w:rPr>
        <w:t xml:space="preserve"> phenotypes. </w:t>
      </w:r>
      <w:r w:rsidR="00EE20D8">
        <w:rPr>
          <w:bCs/>
          <w:i/>
          <w:iCs/>
          <w:color w:val="000000"/>
          <w:sz w:val="20"/>
          <w:szCs w:val="20"/>
          <w:lang w:val="en-GB"/>
        </w:rPr>
        <w:t>Journal of Intellectual Disabilities</w:t>
      </w:r>
      <w:r w:rsidRPr="0041758C">
        <w:rPr>
          <w:bCs/>
          <w:color w:val="000000"/>
          <w:sz w:val="20"/>
          <w:szCs w:val="20"/>
          <w:lang w:val="en-GB"/>
        </w:rPr>
        <w:t xml:space="preserve">. </w:t>
      </w:r>
      <w:r w:rsidRPr="009A2108">
        <w:rPr>
          <w:bCs/>
          <w:i/>
          <w:iCs/>
          <w:color w:val="000000"/>
          <w:sz w:val="20"/>
          <w:szCs w:val="20"/>
          <w:lang w:val="en-GB"/>
        </w:rPr>
        <w:t>22</w:t>
      </w:r>
      <w:r w:rsidRPr="0041758C">
        <w:rPr>
          <w:bCs/>
          <w:color w:val="000000"/>
          <w:sz w:val="20"/>
          <w:szCs w:val="20"/>
          <w:lang w:val="en-GB"/>
        </w:rPr>
        <w:t xml:space="preserve">(4):328-345. </w:t>
      </w:r>
    </w:p>
    <w:p w14:paraId="08D5DF47" w14:textId="0B2E9419" w:rsidR="004814D6" w:rsidRPr="009708B8" w:rsidRDefault="004814D6" w:rsidP="00DB420E">
      <w:pPr>
        <w:spacing w:after="120"/>
        <w:ind w:left="720" w:hanging="720"/>
        <w:rPr>
          <w:bCs/>
          <w:color w:val="000000"/>
          <w:sz w:val="20"/>
          <w:szCs w:val="20"/>
          <w:lang w:val="en-GB"/>
        </w:rPr>
      </w:pPr>
      <w:proofErr w:type="spellStart"/>
      <w:r>
        <w:rPr>
          <w:bCs/>
          <w:color w:val="000000"/>
          <w:sz w:val="20"/>
          <w:szCs w:val="20"/>
          <w:lang w:val="en-GB"/>
        </w:rPr>
        <w:t>Pfleger</w:t>
      </w:r>
      <w:proofErr w:type="spellEnd"/>
      <w:r w:rsidR="00BC538E">
        <w:rPr>
          <w:bCs/>
          <w:color w:val="000000"/>
          <w:sz w:val="20"/>
          <w:szCs w:val="20"/>
          <w:lang w:val="en-GB"/>
        </w:rPr>
        <w:t>, A. &amp; Eber, E. (</w:t>
      </w:r>
      <w:r w:rsidR="009708B8">
        <w:rPr>
          <w:bCs/>
          <w:color w:val="000000"/>
          <w:sz w:val="20"/>
          <w:szCs w:val="20"/>
          <w:lang w:val="en-GB"/>
        </w:rPr>
        <w:t>201</w:t>
      </w:r>
      <w:r w:rsidR="00AD3562">
        <w:rPr>
          <w:bCs/>
          <w:color w:val="000000"/>
          <w:sz w:val="20"/>
          <w:szCs w:val="20"/>
          <w:lang w:val="en-GB"/>
        </w:rPr>
        <w:t>6</w:t>
      </w:r>
      <w:r w:rsidR="009708B8">
        <w:rPr>
          <w:bCs/>
          <w:color w:val="000000"/>
          <w:sz w:val="20"/>
          <w:szCs w:val="20"/>
          <w:lang w:val="en-GB"/>
        </w:rPr>
        <w:t xml:space="preserve">). Assessment and causes of stridor. </w:t>
      </w:r>
      <w:proofErr w:type="spellStart"/>
      <w:r w:rsidR="009708B8">
        <w:rPr>
          <w:bCs/>
          <w:i/>
          <w:iCs/>
          <w:color w:val="000000"/>
          <w:sz w:val="20"/>
          <w:szCs w:val="20"/>
          <w:lang w:val="en-GB"/>
        </w:rPr>
        <w:t>Pediatric</w:t>
      </w:r>
      <w:proofErr w:type="spellEnd"/>
      <w:r w:rsidR="009708B8">
        <w:rPr>
          <w:bCs/>
          <w:i/>
          <w:iCs/>
          <w:color w:val="000000"/>
          <w:sz w:val="20"/>
          <w:szCs w:val="20"/>
          <w:lang w:val="en-GB"/>
        </w:rPr>
        <w:t xml:space="preserve"> Respiratory Reviews.</w:t>
      </w:r>
      <w:r w:rsidR="009708B8">
        <w:rPr>
          <w:bCs/>
          <w:color w:val="000000"/>
          <w:sz w:val="20"/>
          <w:szCs w:val="20"/>
          <w:lang w:val="en-GB"/>
        </w:rPr>
        <w:t xml:space="preserve"> </w:t>
      </w:r>
      <w:r w:rsidR="009708B8">
        <w:rPr>
          <w:bCs/>
          <w:i/>
          <w:iCs/>
          <w:color w:val="000000"/>
          <w:sz w:val="20"/>
          <w:szCs w:val="20"/>
          <w:lang w:val="en-GB"/>
        </w:rPr>
        <w:t>18</w:t>
      </w:r>
      <w:r w:rsidR="009708B8">
        <w:rPr>
          <w:bCs/>
          <w:color w:val="000000"/>
          <w:sz w:val="20"/>
          <w:szCs w:val="20"/>
          <w:lang w:val="en-GB"/>
        </w:rPr>
        <w:t xml:space="preserve">: </w:t>
      </w:r>
      <w:r w:rsidR="00AD3562">
        <w:rPr>
          <w:bCs/>
          <w:color w:val="000000"/>
          <w:sz w:val="20"/>
          <w:szCs w:val="20"/>
          <w:lang w:val="en-GB"/>
        </w:rPr>
        <w:t>64-72.</w:t>
      </w:r>
    </w:p>
    <w:p w14:paraId="0C47015F" w14:textId="5665EF13" w:rsidR="00486E7C" w:rsidRPr="007C5CD6" w:rsidRDefault="00EF376F" w:rsidP="00DB420E">
      <w:pPr>
        <w:spacing w:after="240"/>
        <w:ind w:left="720" w:hanging="720"/>
        <w:rPr>
          <w:bCs/>
          <w:color w:val="000000"/>
          <w:sz w:val="20"/>
          <w:szCs w:val="20"/>
          <w:lang w:val="en-GB"/>
        </w:rPr>
      </w:pPr>
      <w:r w:rsidRPr="00EF376F">
        <w:rPr>
          <w:bCs/>
          <w:color w:val="000000"/>
          <w:sz w:val="20"/>
          <w:szCs w:val="20"/>
          <w:lang w:val="en-GB"/>
        </w:rPr>
        <w:t>Plate</w:t>
      </w:r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S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EF376F">
        <w:rPr>
          <w:bCs/>
          <w:color w:val="000000"/>
          <w:sz w:val="20"/>
          <w:szCs w:val="20"/>
          <w:lang w:val="en-GB"/>
        </w:rPr>
        <w:t>Yankowitz</w:t>
      </w:r>
      <w:proofErr w:type="spellEnd"/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L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EF376F">
        <w:rPr>
          <w:bCs/>
          <w:color w:val="000000"/>
          <w:sz w:val="20"/>
          <w:szCs w:val="20"/>
          <w:lang w:val="en-GB"/>
        </w:rPr>
        <w:t>Resorla</w:t>
      </w:r>
      <w:proofErr w:type="spellEnd"/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L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Swanson</w:t>
      </w:r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M</w:t>
      </w:r>
      <w:r>
        <w:rPr>
          <w:bCs/>
          <w:color w:val="000000"/>
          <w:sz w:val="20"/>
          <w:szCs w:val="20"/>
          <w:lang w:val="en-GB"/>
        </w:rPr>
        <w:t xml:space="preserve">. </w:t>
      </w:r>
      <w:r w:rsidRPr="00EF376F">
        <w:rPr>
          <w:bCs/>
          <w:color w:val="000000"/>
          <w:sz w:val="20"/>
          <w:szCs w:val="20"/>
          <w:lang w:val="en-GB"/>
        </w:rPr>
        <w:t>R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Meera</w:t>
      </w:r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S</w:t>
      </w:r>
      <w:r>
        <w:rPr>
          <w:bCs/>
          <w:color w:val="000000"/>
          <w:sz w:val="20"/>
          <w:szCs w:val="20"/>
          <w:lang w:val="en-GB"/>
        </w:rPr>
        <w:t xml:space="preserve">. </w:t>
      </w:r>
      <w:r w:rsidRPr="00EF376F">
        <w:rPr>
          <w:bCs/>
          <w:color w:val="000000"/>
          <w:sz w:val="20"/>
          <w:szCs w:val="20"/>
          <w:lang w:val="en-GB"/>
        </w:rPr>
        <w:t>S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Estes</w:t>
      </w:r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A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EF376F">
        <w:rPr>
          <w:bCs/>
          <w:color w:val="000000"/>
          <w:sz w:val="20"/>
          <w:szCs w:val="20"/>
          <w:lang w:val="en-GB"/>
        </w:rPr>
        <w:t>Marrus</w:t>
      </w:r>
      <w:proofErr w:type="spellEnd"/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N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Cola</w:t>
      </w:r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M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EF376F">
        <w:rPr>
          <w:bCs/>
          <w:color w:val="000000"/>
          <w:sz w:val="20"/>
          <w:szCs w:val="20"/>
          <w:lang w:val="en-GB"/>
        </w:rPr>
        <w:t>Petrulla</w:t>
      </w:r>
      <w:proofErr w:type="spellEnd"/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V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EF376F">
        <w:rPr>
          <w:bCs/>
          <w:color w:val="000000"/>
          <w:sz w:val="20"/>
          <w:szCs w:val="20"/>
          <w:lang w:val="en-GB"/>
        </w:rPr>
        <w:t>Faggen</w:t>
      </w:r>
      <w:proofErr w:type="spellEnd"/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A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Pandey</w:t>
      </w:r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J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Paterson</w:t>
      </w:r>
      <w:r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S</w:t>
      </w:r>
      <w:r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Pruett</w:t>
      </w:r>
      <w:r w:rsidR="000843CC"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J</w:t>
      </w:r>
      <w:r w:rsidR="000843CC">
        <w:rPr>
          <w:bCs/>
          <w:color w:val="000000"/>
          <w:sz w:val="20"/>
          <w:szCs w:val="20"/>
          <w:lang w:val="en-GB"/>
        </w:rPr>
        <w:t xml:space="preserve">. </w:t>
      </w:r>
      <w:r w:rsidRPr="00EF376F">
        <w:rPr>
          <w:bCs/>
          <w:color w:val="000000"/>
          <w:sz w:val="20"/>
          <w:szCs w:val="20"/>
          <w:lang w:val="en-GB"/>
        </w:rPr>
        <w:t>R</w:t>
      </w:r>
      <w:r w:rsidR="000843CC"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Hazlett</w:t>
      </w:r>
      <w:r w:rsidR="000843CC"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H</w:t>
      </w:r>
      <w:r w:rsidR="000843CC"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EF376F">
        <w:rPr>
          <w:bCs/>
          <w:color w:val="000000"/>
          <w:sz w:val="20"/>
          <w:szCs w:val="20"/>
          <w:lang w:val="en-GB"/>
        </w:rPr>
        <w:t>Dager</w:t>
      </w:r>
      <w:proofErr w:type="spellEnd"/>
      <w:r w:rsidR="000843CC"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S</w:t>
      </w:r>
      <w:r w:rsidR="000843CC"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St John</w:t>
      </w:r>
      <w:r w:rsidR="000843CC"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T</w:t>
      </w:r>
      <w:r w:rsidR="000843CC"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EF376F">
        <w:rPr>
          <w:bCs/>
          <w:color w:val="000000"/>
          <w:sz w:val="20"/>
          <w:szCs w:val="20"/>
          <w:lang w:val="en-GB"/>
        </w:rPr>
        <w:t>Botteron</w:t>
      </w:r>
      <w:proofErr w:type="spellEnd"/>
      <w:r w:rsidR="000843CC"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K</w:t>
      </w:r>
      <w:r w:rsidR="000843CC"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EF376F">
        <w:rPr>
          <w:bCs/>
          <w:color w:val="000000"/>
          <w:sz w:val="20"/>
          <w:szCs w:val="20"/>
          <w:lang w:val="en-GB"/>
        </w:rPr>
        <w:t>Zwaigenbaum</w:t>
      </w:r>
      <w:proofErr w:type="spellEnd"/>
      <w:r w:rsidR="000843CC"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L</w:t>
      </w:r>
      <w:r w:rsidR="000843CC"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EF376F">
        <w:rPr>
          <w:bCs/>
          <w:color w:val="000000"/>
          <w:sz w:val="20"/>
          <w:szCs w:val="20"/>
          <w:lang w:val="en-GB"/>
        </w:rPr>
        <w:t>Piven</w:t>
      </w:r>
      <w:proofErr w:type="spellEnd"/>
      <w:r w:rsidR="000843CC"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J</w:t>
      </w:r>
      <w:r w:rsidR="000843CC"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Schultz</w:t>
      </w:r>
      <w:r w:rsidR="000843CC"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R</w:t>
      </w:r>
      <w:r w:rsidR="000843CC">
        <w:rPr>
          <w:bCs/>
          <w:color w:val="000000"/>
          <w:sz w:val="20"/>
          <w:szCs w:val="20"/>
          <w:lang w:val="en-GB"/>
        </w:rPr>
        <w:t xml:space="preserve">. </w:t>
      </w:r>
      <w:r w:rsidRPr="00EF376F">
        <w:rPr>
          <w:bCs/>
          <w:color w:val="000000"/>
          <w:sz w:val="20"/>
          <w:szCs w:val="20"/>
          <w:lang w:val="en-GB"/>
        </w:rPr>
        <w:t>T</w:t>
      </w:r>
      <w:r w:rsidR="000843CC">
        <w:rPr>
          <w:bCs/>
          <w:color w:val="000000"/>
          <w:sz w:val="20"/>
          <w:szCs w:val="20"/>
          <w:lang w:val="en-GB"/>
        </w:rPr>
        <w:t>.</w:t>
      </w:r>
      <w:r w:rsidRPr="00EF376F">
        <w:rPr>
          <w:bCs/>
          <w:color w:val="000000"/>
          <w:sz w:val="20"/>
          <w:szCs w:val="20"/>
          <w:lang w:val="en-GB"/>
        </w:rPr>
        <w:t>, Parish-Morris</w:t>
      </w:r>
      <w:r w:rsidR="000843CC"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J</w:t>
      </w:r>
      <w:r w:rsidR="000843CC">
        <w:rPr>
          <w:bCs/>
          <w:color w:val="000000"/>
          <w:sz w:val="20"/>
          <w:szCs w:val="20"/>
          <w:lang w:val="en-GB"/>
        </w:rPr>
        <w:t>.</w:t>
      </w:r>
      <w:r w:rsidR="00DB420E">
        <w:rPr>
          <w:bCs/>
          <w:color w:val="000000"/>
          <w:sz w:val="20"/>
          <w:szCs w:val="20"/>
          <w:lang w:val="en-GB"/>
        </w:rPr>
        <w:t>,</w:t>
      </w:r>
      <w:r w:rsidRPr="00EF376F">
        <w:rPr>
          <w:bCs/>
          <w:color w:val="000000"/>
          <w:sz w:val="20"/>
          <w:szCs w:val="20"/>
          <w:lang w:val="en-GB"/>
        </w:rPr>
        <w:t xml:space="preserve"> IBIS Network.</w:t>
      </w:r>
      <w:r w:rsidR="00DB420E">
        <w:rPr>
          <w:bCs/>
          <w:color w:val="000000"/>
          <w:sz w:val="20"/>
          <w:szCs w:val="20"/>
          <w:lang w:val="en-GB"/>
        </w:rPr>
        <w:t xml:space="preserve"> (2022).</w:t>
      </w:r>
      <w:r w:rsidRPr="00EF376F">
        <w:rPr>
          <w:bCs/>
          <w:color w:val="000000"/>
          <w:sz w:val="20"/>
          <w:szCs w:val="20"/>
          <w:lang w:val="en-GB"/>
        </w:rPr>
        <w:t xml:space="preserve"> Infant vocalizing and phenotypic outcomes in autism: Evidence from the first 2 years. </w:t>
      </w:r>
      <w:r w:rsidR="00DB420E">
        <w:rPr>
          <w:bCs/>
          <w:i/>
          <w:iCs/>
          <w:color w:val="000000"/>
          <w:sz w:val="20"/>
          <w:szCs w:val="20"/>
          <w:lang w:val="en-GB"/>
        </w:rPr>
        <w:t>Child Development</w:t>
      </w:r>
      <w:r w:rsidRPr="00EF376F">
        <w:rPr>
          <w:bCs/>
          <w:color w:val="000000"/>
          <w:sz w:val="20"/>
          <w:szCs w:val="20"/>
          <w:lang w:val="en-GB"/>
        </w:rPr>
        <w:t xml:space="preserve">. </w:t>
      </w:r>
      <w:r w:rsidRPr="00DB420E">
        <w:rPr>
          <w:bCs/>
          <w:i/>
          <w:iCs/>
          <w:color w:val="000000"/>
          <w:sz w:val="20"/>
          <w:szCs w:val="20"/>
          <w:lang w:val="en-GB"/>
        </w:rPr>
        <w:t>93</w:t>
      </w:r>
      <w:r w:rsidRPr="00EF376F">
        <w:rPr>
          <w:bCs/>
          <w:color w:val="000000"/>
          <w:sz w:val="20"/>
          <w:szCs w:val="20"/>
          <w:lang w:val="en-GB"/>
        </w:rPr>
        <w:t>(2):468-483.</w:t>
      </w:r>
    </w:p>
    <w:p w14:paraId="6E294702" w14:textId="77777777" w:rsidR="00D805A5" w:rsidRDefault="00D805A5" w:rsidP="00D805A5">
      <w:pPr>
        <w:pStyle w:val="FootnoteText"/>
        <w:rPr>
          <w:lang w:val="en-CA"/>
        </w:rPr>
      </w:pPr>
      <w:r w:rsidRPr="008B1E03">
        <w:rPr>
          <w:rStyle w:val="FootnoteReference"/>
        </w:rPr>
        <w:footnoteRef/>
      </w:r>
      <w:r>
        <w:rPr>
          <w:lang w:val="en-CA"/>
        </w:rPr>
        <w:t>Center for Autism Research, Children’s Hospital of Philadelphia</w:t>
      </w:r>
    </w:p>
    <w:p w14:paraId="40961677" w14:textId="77777777" w:rsidR="00D805A5" w:rsidRDefault="00D805A5" w:rsidP="00D805A5">
      <w:pPr>
        <w:pStyle w:val="FootnoteText"/>
        <w:rPr>
          <w:lang w:val="en-CA"/>
        </w:rPr>
      </w:pPr>
      <w:r w:rsidRPr="005E774F">
        <w:rPr>
          <w:vertAlign w:val="superscript"/>
          <w:lang w:val="en-CA"/>
        </w:rPr>
        <w:t>2</w:t>
      </w:r>
      <w:r>
        <w:rPr>
          <w:lang w:val="en-CA"/>
        </w:rPr>
        <w:t>University of Washington Autism Center</w:t>
      </w:r>
    </w:p>
    <w:p w14:paraId="58E8B2C3" w14:textId="77777777" w:rsidR="00D805A5" w:rsidRDefault="00D805A5" w:rsidP="00D805A5">
      <w:pPr>
        <w:pStyle w:val="FootnoteText"/>
        <w:rPr>
          <w:lang w:val="en-CA"/>
        </w:rPr>
      </w:pPr>
      <w:r w:rsidRPr="005E774F">
        <w:rPr>
          <w:vertAlign w:val="superscript"/>
          <w:lang w:val="en-CA"/>
        </w:rPr>
        <w:t>3</w:t>
      </w:r>
      <w:r>
        <w:rPr>
          <w:lang w:val="en-CA"/>
        </w:rPr>
        <w:t>Department of Radiology, University of Washington School of Medicine</w:t>
      </w:r>
    </w:p>
    <w:p w14:paraId="721ED361" w14:textId="77777777" w:rsidR="00D805A5" w:rsidRDefault="00D805A5" w:rsidP="00D805A5">
      <w:pPr>
        <w:pStyle w:val="FootnoteText"/>
        <w:rPr>
          <w:lang w:val="en-CA"/>
        </w:rPr>
      </w:pPr>
      <w:r>
        <w:rPr>
          <w:vertAlign w:val="superscript"/>
        </w:rPr>
        <w:t>4</w:t>
      </w:r>
      <w:r>
        <w:rPr>
          <w:lang w:val="en-CA"/>
        </w:rPr>
        <w:t>Department of Psychiatry, University of Pennsylvania</w:t>
      </w:r>
    </w:p>
    <w:p w14:paraId="23A029B3" w14:textId="77777777" w:rsidR="00D805A5" w:rsidRDefault="00D805A5" w:rsidP="00D805A5">
      <w:pPr>
        <w:pStyle w:val="FootnoteText"/>
        <w:rPr>
          <w:lang w:val="en-CA"/>
        </w:rPr>
      </w:pPr>
      <w:r>
        <w:rPr>
          <w:vertAlign w:val="superscript"/>
        </w:rPr>
        <w:t>5</w:t>
      </w:r>
      <w:r>
        <w:rPr>
          <w:lang w:val="en-CA"/>
        </w:rPr>
        <w:t>Department of Psychology, University of Pennsylvania</w:t>
      </w:r>
    </w:p>
    <w:p w14:paraId="526C7C70" w14:textId="77777777" w:rsidR="00D805A5" w:rsidRDefault="00D805A5" w:rsidP="00D805A5">
      <w:pPr>
        <w:pStyle w:val="FootnoteText"/>
        <w:rPr>
          <w:lang w:val="en-CA"/>
        </w:rPr>
      </w:pPr>
      <w:r w:rsidRPr="001F09EA">
        <w:rPr>
          <w:vertAlign w:val="superscript"/>
          <w:lang w:val="en-CA"/>
        </w:rPr>
        <w:t>6</w:t>
      </w:r>
      <w:r>
        <w:rPr>
          <w:lang w:val="en-CA"/>
        </w:rPr>
        <w:t>Institute of Child Development, University of Minnesota</w:t>
      </w:r>
    </w:p>
    <w:p w14:paraId="26EEA84F" w14:textId="77777777" w:rsidR="00D805A5" w:rsidRPr="008B1E03" w:rsidRDefault="00D805A5" w:rsidP="00D805A5">
      <w:pPr>
        <w:pStyle w:val="FootnoteText"/>
        <w:rPr>
          <w:lang w:val="en-CA"/>
        </w:rPr>
      </w:pPr>
      <w:r>
        <w:rPr>
          <w:vertAlign w:val="superscript"/>
          <w:lang w:val="en-CA"/>
        </w:rPr>
        <w:t>7</w:t>
      </w:r>
      <w:r>
        <w:rPr>
          <w:lang w:val="en-CA"/>
        </w:rPr>
        <w:t>Department of Psychiatry, University of North Carolina School of Medicine</w:t>
      </w:r>
    </w:p>
    <w:p w14:paraId="2CBBAD73" w14:textId="77777777" w:rsidR="00D805A5" w:rsidRDefault="00D805A5" w:rsidP="00D805A5">
      <w:pPr>
        <w:pStyle w:val="FootnoteText"/>
        <w:rPr>
          <w:lang w:val="en-CA"/>
        </w:rPr>
      </w:pPr>
      <w:r>
        <w:rPr>
          <w:vertAlign w:val="superscript"/>
        </w:rPr>
        <w:t>8</w:t>
      </w:r>
      <w:r>
        <w:rPr>
          <w:lang w:val="en-CA"/>
        </w:rPr>
        <w:t>Department of Psychiatry, Washington University School of Medicine in St. Louis</w:t>
      </w:r>
    </w:p>
    <w:p w14:paraId="7AC5037A" w14:textId="77777777" w:rsidR="001C735E" w:rsidRPr="003D6244" w:rsidRDefault="001C735E" w:rsidP="003D6244"/>
    <w:sectPr w:rsidR="001C735E" w:rsidRPr="003D6244" w:rsidSect="00394E2C">
      <w:headerReference w:type="default" r:id="rId11"/>
      <w:footerReference w:type="defaul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D242" w14:textId="77777777" w:rsidR="005536C3" w:rsidRDefault="005536C3" w:rsidP="00A16498">
      <w:pPr>
        <w:spacing w:after="0" w:line="240" w:lineRule="auto"/>
      </w:pPr>
      <w:r>
        <w:separator/>
      </w:r>
    </w:p>
  </w:endnote>
  <w:endnote w:type="continuationSeparator" w:id="0">
    <w:p w14:paraId="4844DF48" w14:textId="77777777" w:rsidR="005536C3" w:rsidRDefault="005536C3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CA41" w14:textId="77777777" w:rsidR="005536C3" w:rsidRDefault="005536C3" w:rsidP="00A16498">
      <w:pPr>
        <w:spacing w:after="0" w:line="240" w:lineRule="auto"/>
      </w:pPr>
      <w:r>
        <w:separator/>
      </w:r>
    </w:p>
  </w:footnote>
  <w:footnote w:type="continuationSeparator" w:id="0">
    <w:p w14:paraId="76BF8153" w14:textId="77777777" w:rsidR="005536C3" w:rsidRDefault="005536C3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037F" w14:textId="110E26D7" w:rsidR="00A16498" w:rsidRDefault="00E35B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4D11C" wp14:editId="7909AF3C">
              <wp:simplePos x="0" y="0"/>
              <wp:positionH relativeFrom="column">
                <wp:posOffset>-20867</wp:posOffset>
              </wp:positionH>
              <wp:positionV relativeFrom="paragraph">
                <wp:posOffset>-230368</wp:posOffset>
              </wp:positionV>
              <wp:extent cx="5371689" cy="457200"/>
              <wp:effectExtent l="0" t="0" r="19685" b="1905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AC50385" w14:textId="77E815E7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9601C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F4D11C" id="Rectangle 197" o:spid="_x0000_s1026" style="position:absolute;margin-left:-1.65pt;margin-top:-18.15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7AC50385" w14:textId="77E815E7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59601C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439D"/>
    <w:multiLevelType w:val="hybridMultilevel"/>
    <w:tmpl w:val="8FA8ACEA"/>
    <w:lvl w:ilvl="0" w:tplc="A8822F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0107E"/>
    <w:multiLevelType w:val="hybridMultilevel"/>
    <w:tmpl w:val="B5E2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  <w:num w:numId="2" w16cid:durableId="1508867732">
    <w:abstractNumId w:val="1"/>
  </w:num>
  <w:num w:numId="3" w16cid:durableId="58958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01B01"/>
    <w:rsid w:val="000130DA"/>
    <w:rsid w:val="000136A7"/>
    <w:rsid w:val="00021487"/>
    <w:rsid w:val="00032FB5"/>
    <w:rsid w:val="00041FF2"/>
    <w:rsid w:val="00046E86"/>
    <w:rsid w:val="00055653"/>
    <w:rsid w:val="00066103"/>
    <w:rsid w:val="00074E07"/>
    <w:rsid w:val="00074FD7"/>
    <w:rsid w:val="000843CC"/>
    <w:rsid w:val="00097728"/>
    <w:rsid w:val="000D0162"/>
    <w:rsid w:val="000F7D43"/>
    <w:rsid w:val="000F7F03"/>
    <w:rsid w:val="0010414E"/>
    <w:rsid w:val="00113381"/>
    <w:rsid w:val="00134225"/>
    <w:rsid w:val="001511F6"/>
    <w:rsid w:val="00155D8F"/>
    <w:rsid w:val="00160A9D"/>
    <w:rsid w:val="00175A04"/>
    <w:rsid w:val="0018325D"/>
    <w:rsid w:val="001A3D1A"/>
    <w:rsid w:val="001B3B1A"/>
    <w:rsid w:val="001C00EE"/>
    <w:rsid w:val="001C735E"/>
    <w:rsid w:val="001D3D01"/>
    <w:rsid w:val="001E0245"/>
    <w:rsid w:val="001E6037"/>
    <w:rsid w:val="001E7373"/>
    <w:rsid w:val="001F09EA"/>
    <w:rsid w:val="001F4D83"/>
    <w:rsid w:val="002121CB"/>
    <w:rsid w:val="00226854"/>
    <w:rsid w:val="00230A5A"/>
    <w:rsid w:val="0024209B"/>
    <w:rsid w:val="00244C29"/>
    <w:rsid w:val="0027047B"/>
    <w:rsid w:val="0027266D"/>
    <w:rsid w:val="002872AA"/>
    <w:rsid w:val="002901EB"/>
    <w:rsid w:val="002C7EFF"/>
    <w:rsid w:val="002D52A1"/>
    <w:rsid w:val="00300310"/>
    <w:rsid w:val="00312417"/>
    <w:rsid w:val="00316B3B"/>
    <w:rsid w:val="0032171F"/>
    <w:rsid w:val="00324E6F"/>
    <w:rsid w:val="0033415B"/>
    <w:rsid w:val="00334B42"/>
    <w:rsid w:val="00341A52"/>
    <w:rsid w:val="003461A1"/>
    <w:rsid w:val="00370976"/>
    <w:rsid w:val="00372A73"/>
    <w:rsid w:val="0037734E"/>
    <w:rsid w:val="00394E2C"/>
    <w:rsid w:val="00396C58"/>
    <w:rsid w:val="003A7946"/>
    <w:rsid w:val="003B0285"/>
    <w:rsid w:val="003C2A0A"/>
    <w:rsid w:val="003C4D59"/>
    <w:rsid w:val="003D6244"/>
    <w:rsid w:val="003F4F8F"/>
    <w:rsid w:val="003F558A"/>
    <w:rsid w:val="00412A17"/>
    <w:rsid w:val="0041758C"/>
    <w:rsid w:val="00421DB4"/>
    <w:rsid w:val="00422268"/>
    <w:rsid w:val="00422F8B"/>
    <w:rsid w:val="004240D9"/>
    <w:rsid w:val="00425102"/>
    <w:rsid w:val="00434C31"/>
    <w:rsid w:val="00444D82"/>
    <w:rsid w:val="00446E6A"/>
    <w:rsid w:val="004473AC"/>
    <w:rsid w:val="00452576"/>
    <w:rsid w:val="0045428A"/>
    <w:rsid w:val="00467344"/>
    <w:rsid w:val="00467800"/>
    <w:rsid w:val="004814D6"/>
    <w:rsid w:val="00486E7C"/>
    <w:rsid w:val="004874E4"/>
    <w:rsid w:val="004937AC"/>
    <w:rsid w:val="004A6BC2"/>
    <w:rsid w:val="004A7ACA"/>
    <w:rsid w:val="004C06EE"/>
    <w:rsid w:val="004C7476"/>
    <w:rsid w:val="004F619A"/>
    <w:rsid w:val="00511AFC"/>
    <w:rsid w:val="005344C8"/>
    <w:rsid w:val="00537332"/>
    <w:rsid w:val="005416FD"/>
    <w:rsid w:val="00550360"/>
    <w:rsid w:val="005536C3"/>
    <w:rsid w:val="0055508A"/>
    <w:rsid w:val="00577DC4"/>
    <w:rsid w:val="0058170B"/>
    <w:rsid w:val="005942EF"/>
    <w:rsid w:val="0059601C"/>
    <w:rsid w:val="005A2FB9"/>
    <w:rsid w:val="005B0D19"/>
    <w:rsid w:val="005C07C2"/>
    <w:rsid w:val="005C08C6"/>
    <w:rsid w:val="005C446F"/>
    <w:rsid w:val="005E774F"/>
    <w:rsid w:val="005F3158"/>
    <w:rsid w:val="005F4680"/>
    <w:rsid w:val="0060139C"/>
    <w:rsid w:val="00614777"/>
    <w:rsid w:val="00625543"/>
    <w:rsid w:val="0063715C"/>
    <w:rsid w:val="00645CC5"/>
    <w:rsid w:val="006535AF"/>
    <w:rsid w:val="006587D1"/>
    <w:rsid w:val="006637E7"/>
    <w:rsid w:val="0069448E"/>
    <w:rsid w:val="006B785F"/>
    <w:rsid w:val="006C05DD"/>
    <w:rsid w:val="006C58DB"/>
    <w:rsid w:val="006D6304"/>
    <w:rsid w:val="006F24E3"/>
    <w:rsid w:val="00703FD4"/>
    <w:rsid w:val="00711E81"/>
    <w:rsid w:val="007146DB"/>
    <w:rsid w:val="00727A92"/>
    <w:rsid w:val="0074205F"/>
    <w:rsid w:val="00746347"/>
    <w:rsid w:val="00747D7F"/>
    <w:rsid w:val="00751FEE"/>
    <w:rsid w:val="007722E4"/>
    <w:rsid w:val="0077649B"/>
    <w:rsid w:val="00777D73"/>
    <w:rsid w:val="0078157D"/>
    <w:rsid w:val="007A25BF"/>
    <w:rsid w:val="007A7DDD"/>
    <w:rsid w:val="007B4CE7"/>
    <w:rsid w:val="007C5CD6"/>
    <w:rsid w:val="007D4970"/>
    <w:rsid w:val="00801D2A"/>
    <w:rsid w:val="00817FE3"/>
    <w:rsid w:val="00825305"/>
    <w:rsid w:val="008302E7"/>
    <w:rsid w:val="008377C0"/>
    <w:rsid w:val="0084195E"/>
    <w:rsid w:val="008567E8"/>
    <w:rsid w:val="00866E4B"/>
    <w:rsid w:val="0087492A"/>
    <w:rsid w:val="008809B7"/>
    <w:rsid w:val="008938D8"/>
    <w:rsid w:val="008A6C58"/>
    <w:rsid w:val="008B19D2"/>
    <w:rsid w:val="008B7394"/>
    <w:rsid w:val="008C38B6"/>
    <w:rsid w:val="008D3969"/>
    <w:rsid w:val="008E09FB"/>
    <w:rsid w:val="008E56AA"/>
    <w:rsid w:val="009026F9"/>
    <w:rsid w:val="009462E3"/>
    <w:rsid w:val="009708B8"/>
    <w:rsid w:val="00980EDE"/>
    <w:rsid w:val="009817D4"/>
    <w:rsid w:val="00982E9B"/>
    <w:rsid w:val="00994DEE"/>
    <w:rsid w:val="009A18D8"/>
    <w:rsid w:val="009A2108"/>
    <w:rsid w:val="009B1DAB"/>
    <w:rsid w:val="009B6C0C"/>
    <w:rsid w:val="009B7286"/>
    <w:rsid w:val="009D1E9D"/>
    <w:rsid w:val="009E1B56"/>
    <w:rsid w:val="00A16498"/>
    <w:rsid w:val="00A228D4"/>
    <w:rsid w:val="00A33D4D"/>
    <w:rsid w:val="00A42B4E"/>
    <w:rsid w:val="00A47B6E"/>
    <w:rsid w:val="00A54A63"/>
    <w:rsid w:val="00A928BB"/>
    <w:rsid w:val="00AA781B"/>
    <w:rsid w:val="00AA7AE2"/>
    <w:rsid w:val="00AB7B37"/>
    <w:rsid w:val="00AC2A1E"/>
    <w:rsid w:val="00AD3562"/>
    <w:rsid w:val="00AE4ADB"/>
    <w:rsid w:val="00AE7F16"/>
    <w:rsid w:val="00B06605"/>
    <w:rsid w:val="00B101AA"/>
    <w:rsid w:val="00B2041E"/>
    <w:rsid w:val="00B226B4"/>
    <w:rsid w:val="00B70146"/>
    <w:rsid w:val="00B71AFF"/>
    <w:rsid w:val="00BA2D2D"/>
    <w:rsid w:val="00BC538E"/>
    <w:rsid w:val="00BF38DD"/>
    <w:rsid w:val="00C04C28"/>
    <w:rsid w:val="00C04CA5"/>
    <w:rsid w:val="00C245E0"/>
    <w:rsid w:val="00C37DE1"/>
    <w:rsid w:val="00C508E9"/>
    <w:rsid w:val="00C6243D"/>
    <w:rsid w:val="00C7210D"/>
    <w:rsid w:val="00C74896"/>
    <w:rsid w:val="00C75017"/>
    <w:rsid w:val="00C80718"/>
    <w:rsid w:val="00CB25BA"/>
    <w:rsid w:val="00CB4DBC"/>
    <w:rsid w:val="00CC56BB"/>
    <w:rsid w:val="00CD5DF1"/>
    <w:rsid w:val="00CF3CDF"/>
    <w:rsid w:val="00D0164D"/>
    <w:rsid w:val="00D16DD2"/>
    <w:rsid w:val="00D279B4"/>
    <w:rsid w:val="00D40271"/>
    <w:rsid w:val="00D415CE"/>
    <w:rsid w:val="00D46241"/>
    <w:rsid w:val="00D560B6"/>
    <w:rsid w:val="00D60D08"/>
    <w:rsid w:val="00D72458"/>
    <w:rsid w:val="00D805A5"/>
    <w:rsid w:val="00D917BA"/>
    <w:rsid w:val="00DA24FA"/>
    <w:rsid w:val="00DA6AFA"/>
    <w:rsid w:val="00DA6BB2"/>
    <w:rsid w:val="00DB22EE"/>
    <w:rsid w:val="00DB420E"/>
    <w:rsid w:val="00DC15FA"/>
    <w:rsid w:val="00DC1FF0"/>
    <w:rsid w:val="00DC42C1"/>
    <w:rsid w:val="00DC4880"/>
    <w:rsid w:val="00DE2E06"/>
    <w:rsid w:val="00DF6BD1"/>
    <w:rsid w:val="00E15391"/>
    <w:rsid w:val="00E34365"/>
    <w:rsid w:val="00E348D6"/>
    <w:rsid w:val="00E35BBA"/>
    <w:rsid w:val="00E4449D"/>
    <w:rsid w:val="00E7006D"/>
    <w:rsid w:val="00E757A5"/>
    <w:rsid w:val="00E811BA"/>
    <w:rsid w:val="00E8746B"/>
    <w:rsid w:val="00E90A76"/>
    <w:rsid w:val="00E925F9"/>
    <w:rsid w:val="00EA7E70"/>
    <w:rsid w:val="00EB55DF"/>
    <w:rsid w:val="00EC1345"/>
    <w:rsid w:val="00EE06EB"/>
    <w:rsid w:val="00EE20D8"/>
    <w:rsid w:val="00EE4FC8"/>
    <w:rsid w:val="00EF376F"/>
    <w:rsid w:val="00F0051B"/>
    <w:rsid w:val="00F0107E"/>
    <w:rsid w:val="00F023E6"/>
    <w:rsid w:val="00F2162A"/>
    <w:rsid w:val="00F26AF9"/>
    <w:rsid w:val="00F31148"/>
    <w:rsid w:val="00F4174E"/>
    <w:rsid w:val="00F73F60"/>
    <w:rsid w:val="00F84E96"/>
    <w:rsid w:val="00FA0AEA"/>
    <w:rsid w:val="00FA1654"/>
    <w:rsid w:val="00FC43A1"/>
    <w:rsid w:val="00FC6721"/>
    <w:rsid w:val="00FC7425"/>
    <w:rsid w:val="00FD6E1E"/>
    <w:rsid w:val="00FD77A1"/>
    <w:rsid w:val="00FF5F04"/>
    <w:rsid w:val="01FB846A"/>
    <w:rsid w:val="02399C15"/>
    <w:rsid w:val="025E2BBC"/>
    <w:rsid w:val="02DA69C5"/>
    <w:rsid w:val="03077563"/>
    <w:rsid w:val="0313343D"/>
    <w:rsid w:val="0359D405"/>
    <w:rsid w:val="054017C6"/>
    <w:rsid w:val="05A8D3A8"/>
    <w:rsid w:val="061C62BC"/>
    <w:rsid w:val="066C90F3"/>
    <w:rsid w:val="07707975"/>
    <w:rsid w:val="07F90ED8"/>
    <w:rsid w:val="08CC031B"/>
    <w:rsid w:val="095CC936"/>
    <w:rsid w:val="0B5A2D99"/>
    <w:rsid w:val="0C992372"/>
    <w:rsid w:val="0CDB87C5"/>
    <w:rsid w:val="0D7BDF41"/>
    <w:rsid w:val="0DB6B302"/>
    <w:rsid w:val="0E791A12"/>
    <w:rsid w:val="0E9A9CE6"/>
    <w:rsid w:val="0F0ECA57"/>
    <w:rsid w:val="0F47E8CC"/>
    <w:rsid w:val="0F7ABDE9"/>
    <w:rsid w:val="119586DC"/>
    <w:rsid w:val="13647188"/>
    <w:rsid w:val="15A7FE64"/>
    <w:rsid w:val="16C2E960"/>
    <w:rsid w:val="180B680B"/>
    <w:rsid w:val="1A925578"/>
    <w:rsid w:val="1C06EB30"/>
    <w:rsid w:val="1D89E0E0"/>
    <w:rsid w:val="1E96975D"/>
    <w:rsid w:val="1FFF4354"/>
    <w:rsid w:val="2262F314"/>
    <w:rsid w:val="24B7C254"/>
    <w:rsid w:val="25811045"/>
    <w:rsid w:val="26C7FDC6"/>
    <w:rsid w:val="27EA3716"/>
    <w:rsid w:val="28CEA337"/>
    <w:rsid w:val="29C94F38"/>
    <w:rsid w:val="2A934701"/>
    <w:rsid w:val="2AE3BAB6"/>
    <w:rsid w:val="2D0895E2"/>
    <w:rsid w:val="2D50CFDC"/>
    <w:rsid w:val="2D6E198D"/>
    <w:rsid w:val="2DFAF3F6"/>
    <w:rsid w:val="2EB840B5"/>
    <w:rsid w:val="2EC8D02E"/>
    <w:rsid w:val="2FE20EB4"/>
    <w:rsid w:val="30B4033D"/>
    <w:rsid w:val="34A6B2A0"/>
    <w:rsid w:val="35B02DF5"/>
    <w:rsid w:val="3736E67D"/>
    <w:rsid w:val="38001178"/>
    <w:rsid w:val="3ABA9A19"/>
    <w:rsid w:val="3BC75A27"/>
    <w:rsid w:val="3BD9AF2C"/>
    <w:rsid w:val="3DBE83EB"/>
    <w:rsid w:val="3F30D4A9"/>
    <w:rsid w:val="40B6CA01"/>
    <w:rsid w:val="44E72265"/>
    <w:rsid w:val="45217785"/>
    <w:rsid w:val="46F7C866"/>
    <w:rsid w:val="49A7664C"/>
    <w:rsid w:val="49B95158"/>
    <w:rsid w:val="4A35E079"/>
    <w:rsid w:val="4A56AC24"/>
    <w:rsid w:val="4AEB3B23"/>
    <w:rsid w:val="4CA14213"/>
    <w:rsid w:val="4DF20599"/>
    <w:rsid w:val="4F25FAF3"/>
    <w:rsid w:val="50284FD4"/>
    <w:rsid w:val="50D46DA1"/>
    <w:rsid w:val="51CFD99D"/>
    <w:rsid w:val="52A60062"/>
    <w:rsid w:val="52E8EADC"/>
    <w:rsid w:val="5389D69C"/>
    <w:rsid w:val="53DCC51D"/>
    <w:rsid w:val="55DF12D5"/>
    <w:rsid w:val="5B16C004"/>
    <w:rsid w:val="5B9BA306"/>
    <w:rsid w:val="5D57CAEF"/>
    <w:rsid w:val="5DF3D157"/>
    <w:rsid w:val="5E2DC76A"/>
    <w:rsid w:val="601AA672"/>
    <w:rsid w:val="60F3172E"/>
    <w:rsid w:val="61DDD615"/>
    <w:rsid w:val="62296A02"/>
    <w:rsid w:val="62E4300B"/>
    <w:rsid w:val="63E9857B"/>
    <w:rsid w:val="6473F016"/>
    <w:rsid w:val="64B0B101"/>
    <w:rsid w:val="64EB20C7"/>
    <w:rsid w:val="66403DD8"/>
    <w:rsid w:val="66AE142E"/>
    <w:rsid w:val="66B129BC"/>
    <w:rsid w:val="67194634"/>
    <w:rsid w:val="6739441F"/>
    <w:rsid w:val="67A3BC47"/>
    <w:rsid w:val="6879B19D"/>
    <w:rsid w:val="69818191"/>
    <w:rsid w:val="6A3C29EA"/>
    <w:rsid w:val="6B1186EA"/>
    <w:rsid w:val="6B718C60"/>
    <w:rsid w:val="6EEB1D81"/>
    <w:rsid w:val="6F7F49B2"/>
    <w:rsid w:val="700DCCA4"/>
    <w:rsid w:val="70599D23"/>
    <w:rsid w:val="70BCF6CB"/>
    <w:rsid w:val="72822FA6"/>
    <w:rsid w:val="74C7BBEC"/>
    <w:rsid w:val="750BC2C1"/>
    <w:rsid w:val="76B43CD4"/>
    <w:rsid w:val="77A4E303"/>
    <w:rsid w:val="77B70BBE"/>
    <w:rsid w:val="798D78AC"/>
    <w:rsid w:val="7A218B3B"/>
    <w:rsid w:val="7A9A020C"/>
    <w:rsid w:val="7AB1D17C"/>
    <w:rsid w:val="7ACA5DD8"/>
    <w:rsid w:val="7AD79393"/>
    <w:rsid w:val="7B3D576D"/>
    <w:rsid w:val="7C21B140"/>
    <w:rsid w:val="7E3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customStyle="1" w:styleId="normaltextrun">
    <w:name w:val="normaltextrun"/>
    <w:basedOn w:val="DefaultParagraphFont"/>
    <w:rsid w:val="008C38B6"/>
  </w:style>
  <w:style w:type="character" w:customStyle="1" w:styleId="eop">
    <w:name w:val="eop"/>
    <w:basedOn w:val="DefaultParagraphFont"/>
    <w:rsid w:val="008C38B6"/>
  </w:style>
  <w:style w:type="character" w:styleId="CommentReference">
    <w:name w:val="annotation reference"/>
    <w:basedOn w:val="DefaultParagraphFont"/>
    <w:uiPriority w:val="99"/>
    <w:semiHidden/>
    <w:unhideWhenUsed/>
    <w:rsid w:val="00E90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hop365-my.sharepoint.com/personal/schillinsa_chop_edu/Documents/Sarah%20Conference%20Work/2025%20Conferences/Gatlinburg%20-%20DS/scatter%20plot%2010.26.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'scatter plot 10.15.24'!$A$2:$A$12</c:f>
              <c:numCache>
                <c:formatCode>General</c:formatCode>
                <c:ptCount val="11"/>
                <c:pt idx="0">
                  <c:v>0.96</c:v>
                </c:pt>
                <c:pt idx="1">
                  <c:v>0.88</c:v>
                </c:pt>
                <c:pt idx="2">
                  <c:v>0.23</c:v>
                </c:pt>
                <c:pt idx="3">
                  <c:v>0.92</c:v>
                </c:pt>
                <c:pt idx="4">
                  <c:v>0.83</c:v>
                </c:pt>
                <c:pt idx="5">
                  <c:v>0.83</c:v>
                </c:pt>
                <c:pt idx="6">
                  <c:v>0.92</c:v>
                </c:pt>
                <c:pt idx="7">
                  <c:v>0.87</c:v>
                </c:pt>
                <c:pt idx="8">
                  <c:v>0.2</c:v>
                </c:pt>
                <c:pt idx="9">
                  <c:v>1</c:v>
                </c:pt>
                <c:pt idx="10">
                  <c:v>1</c:v>
                </c:pt>
              </c:numCache>
            </c:numRef>
          </c:xVal>
          <c:yVal>
            <c:numRef>
              <c:f>'scatter plot 10.15.24'!$B$2:$B$12</c:f>
              <c:numCache>
                <c:formatCode>General</c:formatCode>
                <c:ptCount val="11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9</c:v>
                </c:pt>
                <c:pt idx="7">
                  <c:v>1</c:v>
                </c:pt>
                <c:pt idx="8">
                  <c:v>1</c:v>
                </c:pt>
                <c:pt idx="9">
                  <c:v>6</c:v>
                </c:pt>
                <c:pt idx="10">
                  <c:v>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178-42EC-8BC0-7AA2813E8E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16349087"/>
        <c:axId val="1832820159"/>
      </c:scatterChart>
      <c:valAx>
        <c:axId val="2116349087"/>
        <c:scaling>
          <c:orientation val="minMax"/>
          <c:max val="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Ratio of Speech-Like Vocalizing (Relative to Total Vocalizing)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2820159"/>
        <c:crosses val="autoZero"/>
        <c:crossBetween val="midCat"/>
      </c:valAx>
      <c:valAx>
        <c:axId val="183282015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Bayley Receptive Scaled Score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634908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825</Words>
  <Characters>4705</Characters>
  <Application>Microsoft Office Word</Application>
  <DocSecurity>0</DocSecurity>
  <Lines>39</Lines>
  <Paragraphs>11</Paragraphs>
  <ScaleCrop>false</ScaleCrop>
  <Company>UCDHS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Schillinger, Sarah</cp:lastModifiedBy>
  <cp:revision>10</cp:revision>
  <dcterms:created xsi:type="dcterms:W3CDTF">2024-10-28T18:50:00Z</dcterms:created>
  <dcterms:modified xsi:type="dcterms:W3CDTF">2024-11-01T13:35:00Z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