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3DD2822" w:rsidR="00E07B4A" w:rsidRDefault="00085F3A">
      <w:pPr>
        <w:spacing w:line="240" w:lineRule="auto"/>
        <w:rPr>
          <w:sz w:val="20"/>
          <w:szCs w:val="20"/>
        </w:rPr>
      </w:pPr>
      <w:r>
        <w:rPr>
          <w:b/>
          <w:sz w:val="20"/>
          <w:szCs w:val="20"/>
        </w:rPr>
        <w:t>Title</w:t>
      </w:r>
      <w:r>
        <w:rPr>
          <w:sz w:val="20"/>
          <w:szCs w:val="20"/>
        </w:rPr>
        <w:t>: Evaluating Associations of Parental Fidelity to NDBI Strategies on Child Vocalis</w:t>
      </w:r>
      <w:r>
        <w:rPr>
          <w:sz w:val="20"/>
          <w:szCs w:val="20"/>
        </w:rPr>
        <w:t>ations and Dyadic Engagement</w:t>
      </w:r>
    </w:p>
    <w:p w14:paraId="00000002" w14:textId="4355C5C3" w:rsidR="00E07B4A" w:rsidRDefault="00085F3A">
      <w:pPr>
        <w:spacing w:line="240" w:lineRule="auto"/>
        <w:rPr>
          <w:sz w:val="20"/>
          <w:szCs w:val="20"/>
        </w:rPr>
      </w:pPr>
      <w:r>
        <w:rPr>
          <w:b/>
          <w:sz w:val="20"/>
          <w:szCs w:val="20"/>
        </w:rPr>
        <w:t>Authors</w:t>
      </w:r>
      <w:r>
        <w:rPr>
          <w:sz w:val="20"/>
          <w:szCs w:val="20"/>
        </w:rPr>
        <w:t>: Hannah</w:t>
      </w:r>
      <w:r w:rsidR="007F7C15">
        <w:rPr>
          <w:sz w:val="20"/>
          <w:szCs w:val="20"/>
        </w:rPr>
        <w:t xml:space="preserve"> S</w:t>
      </w:r>
      <w:r>
        <w:rPr>
          <w:sz w:val="20"/>
          <w:szCs w:val="20"/>
        </w:rPr>
        <w:t xml:space="preserve"> Beavis</w:t>
      </w:r>
      <w:r>
        <w:rPr>
          <w:sz w:val="20"/>
          <w:szCs w:val="20"/>
          <w:vertAlign w:val="superscript"/>
        </w:rPr>
        <w:t>1</w:t>
      </w:r>
      <w:r>
        <w:rPr>
          <w:sz w:val="20"/>
          <w:szCs w:val="20"/>
        </w:rPr>
        <w:t>, Pernilla Meyer</w:t>
      </w:r>
      <w:r w:rsidR="007F7C15">
        <w:rPr>
          <w:sz w:val="20"/>
          <w:szCs w:val="20"/>
          <w:vertAlign w:val="superscript"/>
        </w:rPr>
        <w:t>1</w:t>
      </w:r>
      <w:r w:rsidR="007F7C15">
        <w:rPr>
          <w:sz w:val="20"/>
          <w:szCs w:val="20"/>
        </w:rPr>
        <w:t>, Laura</w:t>
      </w:r>
      <w:r>
        <w:rPr>
          <w:sz w:val="20"/>
          <w:szCs w:val="20"/>
        </w:rPr>
        <w:t xml:space="preserve"> J Chubb</w:t>
      </w:r>
      <w:r>
        <w:rPr>
          <w:sz w:val="20"/>
          <w:szCs w:val="20"/>
          <w:vertAlign w:val="superscript"/>
        </w:rPr>
        <w:t>1</w:t>
      </w:r>
      <w:r>
        <w:rPr>
          <w:sz w:val="20"/>
          <w:szCs w:val="20"/>
        </w:rPr>
        <w:t>, Andrea Castillo</w:t>
      </w:r>
      <w:r>
        <w:rPr>
          <w:sz w:val="20"/>
          <w:szCs w:val="20"/>
          <w:vertAlign w:val="superscript"/>
        </w:rPr>
        <w:t>2</w:t>
      </w:r>
      <w:r>
        <w:rPr>
          <w:sz w:val="20"/>
          <w:szCs w:val="20"/>
        </w:rPr>
        <w:t xml:space="preserve">, </w:t>
      </w:r>
      <w:proofErr w:type="spellStart"/>
      <w:r>
        <w:rPr>
          <w:sz w:val="20"/>
          <w:szCs w:val="20"/>
        </w:rPr>
        <w:t>Seunghee</w:t>
      </w:r>
      <w:proofErr w:type="spellEnd"/>
      <w:r>
        <w:rPr>
          <w:sz w:val="20"/>
          <w:szCs w:val="20"/>
        </w:rPr>
        <w:t xml:space="preserve"> Lee</w:t>
      </w:r>
      <w:r>
        <w:rPr>
          <w:sz w:val="20"/>
          <w:szCs w:val="20"/>
          <w:vertAlign w:val="superscript"/>
        </w:rPr>
        <w:t>2</w:t>
      </w:r>
      <w:r>
        <w:rPr>
          <w:sz w:val="20"/>
          <w:szCs w:val="20"/>
        </w:rPr>
        <w:t>, Amy Esler</w:t>
      </w:r>
      <w:r>
        <w:rPr>
          <w:sz w:val="20"/>
          <w:szCs w:val="20"/>
          <w:vertAlign w:val="superscript"/>
        </w:rPr>
        <w:t>2</w:t>
      </w:r>
      <w:r>
        <w:rPr>
          <w:sz w:val="20"/>
          <w:szCs w:val="20"/>
        </w:rPr>
        <w:t>, Adele Dimian</w:t>
      </w:r>
      <w:r>
        <w:rPr>
          <w:sz w:val="20"/>
          <w:szCs w:val="20"/>
          <w:vertAlign w:val="superscript"/>
        </w:rPr>
        <w:t>2</w:t>
      </w:r>
      <w:r>
        <w:rPr>
          <w:sz w:val="20"/>
          <w:szCs w:val="20"/>
        </w:rPr>
        <w:t>, Jason J Wolff</w:t>
      </w:r>
      <w:proofErr w:type="gramStart"/>
      <w:r>
        <w:rPr>
          <w:sz w:val="20"/>
          <w:szCs w:val="20"/>
          <w:vertAlign w:val="superscript"/>
        </w:rPr>
        <w:t xml:space="preserve">1 </w:t>
      </w:r>
      <w:r>
        <w:rPr>
          <w:sz w:val="20"/>
          <w:szCs w:val="20"/>
        </w:rPr>
        <w:t xml:space="preserve"> &amp;</w:t>
      </w:r>
      <w:proofErr w:type="gramEnd"/>
      <w:r>
        <w:rPr>
          <w:sz w:val="20"/>
          <w:szCs w:val="20"/>
        </w:rPr>
        <w:t xml:space="preserve"> Jessica J Simacek</w:t>
      </w:r>
      <w:r>
        <w:rPr>
          <w:sz w:val="20"/>
          <w:szCs w:val="20"/>
          <w:vertAlign w:val="superscript"/>
        </w:rPr>
        <w:t xml:space="preserve">2  </w:t>
      </w:r>
    </w:p>
    <w:p w14:paraId="00000003" w14:textId="77777777" w:rsidR="00E07B4A" w:rsidRDefault="00085F3A">
      <w:pPr>
        <w:spacing w:line="240" w:lineRule="auto"/>
        <w:rPr>
          <w:sz w:val="20"/>
          <w:szCs w:val="20"/>
        </w:rPr>
      </w:pPr>
      <w:r>
        <w:rPr>
          <w:sz w:val="20"/>
          <w:szCs w:val="20"/>
          <w:vertAlign w:val="superscript"/>
        </w:rPr>
        <w:t xml:space="preserve">1 </w:t>
      </w:r>
      <w:r>
        <w:rPr>
          <w:sz w:val="20"/>
          <w:szCs w:val="20"/>
        </w:rPr>
        <w:t>Department of Educational Psychology, University of Minnesota</w:t>
      </w:r>
      <w:r>
        <w:rPr>
          <w:sz w:val="20"/>
          <w:szCs w:val="20"/>
        </w:rPr>
        <w:br/>
      </w:r>
      <w:r>
        <w:rPr>
          <w:sz w:val="20"/>
          <w:szCs w:val="20"/>
          <w:vertAlign w:val="superscript"/>
        </w:rPr>
        <w:t xml:space="preserve">2 </w:t>
      </w:r>
      <w:r>
        <w:rPr>
          <w:sz w:val="20"/>
          <w:szCs w:val="20"/>
        </w:rPr>
        <w:t>Institute on Community Integration, University of Minnesota</w:t>
      </w:r>
    </w:p>
    <w:p w14:paraId="00000004" w14:textId="77777777" w:rsidR="00E07B4A" w:rsidRPr="007F7C15" w:rsidRDefault="00085F3A">
      <w:pPr>
        <w:spacing w:line="240" w:lineRule="auto"/>
        <w:rPr>
          <w:color w:val="000000"/>
          <w:sz w:val="20"/>
          <w:szCs w:val="20"/>
        </w:rPr>
      </w:pPr>
      <w:r w:rsidRPr="007F7C15">
        <w:rPr>
          <w:b/>
          <w:sz w:val="20"/>
          <w:szCs w:val="20"/>
        </w:rPr>
        <w:t>Introduction</w:t>
      </w:r>
      <w:r w:rsidRPr="007F7C15">
        <w:rPr>
          <w:sz w:val="20"/>
          <w:szCs w:val="20"/>
        </w:rPr>
        <w:t>: Challenges in social communication is a core feature of autism spectrum disorder (ASD), with some autistic children producing fewer or atypical vocalisations that in turn may negatively impact caregiver responsiveness and learning opportunities for language and social development (</w:t>
      </w:r>
      <w:proofErr w:type="spellStart"/>
      <w:r w:rsidRPr="007F7C15">
        <w:rPr>
          <w:sz w:val="20"/>
          <w:szCs w:val="20"/>
        </w:rPr>
        <w:t>Yankowitz</w:t>
      </w:r>
      <w:proofErr w:type="spellEnd"/>
      <w:r w:rsidRPr="007F7C15">
        <w:rPr>
          <w:sz w:val="20"/>
          <w:szCs w:val="20"/>
        </w:rPr>
        <w:t xml:space="preserve"> et al., 2019). </w:t>
      </w:r>
      <w:r w:rsidRPr="007F7C15">
        <w:rPr>
          <w:color w:val="000000"/>
          <w:sz w:val="20"/>
          <w:szCs w:val="20"/>
        </w:rPr>
        <w:t>To date, little is known about how individual strategies used in Naturalistic Developmental Behavioural Interventions (NDBI) may contribute to child outcomes (</w:t>
      </w:r>
      <w:proofErr w:type="spellStart"/>
      <w:r w:rsidRPr="007F7C15">
        <w:rPr>
          <w:color w:val="000000"/>
          <w:sz w:val="20"/>
          <w:szCs w:val="20"/>
        </w:rPr>
        <w:t>Shreibman</w:t>
      </w:r>
      <w:proofErr w:type="spellEnd"/>
      <w:r w:rsidRPr="007F7C15">
        <w:rPr>
          <w:color w:val="000000"/>
          <w:sz w:val="20"/>
          <w:szCs w:val="20"/>
        </w:rPr>
        <w:t xml:space="preserve"> et al., 2015). The Measure of NDBI</w:t>
      </w:r>
      <w:r w:rsidRPr="007F7C15">
        <w:rPr>
          <w:color w:val="000000"/>
          <w:sz w:val="20"/>
          <w:szCs w:val="20"/>
        </w:rPr>
        <w:t xml:space="preserve"> Implementation-Caregiver Change (MONSI-CC; Vibert et al., 2020) is designed to capture changes in how caregivers use specific NDBI strategies over time. Previous research has focused on overall caregiver fidelity to intervention, and little is known about how individual strategies (within an NDBI such as the Early Start Denver Model [ESDM]; Rogers &amp; Dawson, 2010) relate to specific child outcomes. The purpose of this study was to investigate how the use of specific intervention strategies impacted child ra</w:t>
      </w:r>
      <w:r w:rsidRPr="007F7C15">
        <w:rPr>
          <w:color w:val="000000"/>
          <w:sz w:val="20"/>
          <w:szCs w:val="20"/>
        </w:rPr>
        <w:t xml:space="preserve">te of vocalisations and the quality of dyadic child-caregiver engagement. </w:t>
      </w:r>
    </w:p>
    <w:p w14:paraId="00000005" w14:textId="2FFECAE5" w:rsidR="00E07B4A" w:rsidRPr="007F7C15" w:rsidRDefault="00085F3A">
      <w:pPr>
        <w:spacing w:line="240" w:lineRule="auto"/>
        <w:rPr>
          <w:color w:val="000000"/>
          <w:sz w:val="20"/>
          <w:szCs w:val="20"/>
        </w:rPr>
      </w:pPr>
      <w:r w:rsidRPr="007F7C15">
        <w:rPr>
          <w:b/>
          <w:color w:val="000000"/>
          <w:sz w:val="20"/>
          <w:szCs w:val="20"/>
        </w:rPr>
        <w:t>Method</w:t>
      </w:r>
      <w:r w:rsidRPr="007F7C15">
        <w:rPr>
          <w:color w:val="000000"/>
          <w:sz w:val="20"/>
          <w:szCs w:val="20"/>
        </w:rPr>
        <w:t xml:space="preserve">: Participants consisted of a subset of 18 caregiver-child dyads (child aged 18-69 months, </w:t>
      </w:r>
      <w:r w:rsidRPr="007F7C15">
        <w:rPr>
          <w:i/>
          <w:color w:val="000000"/>
          <w:sz w:val="20"/>
          <w:szCs w:val="20"/>
        </w:rPr>
        <w:t xml:space="preserve">M </w:t>
      </w:r>
      <w:r w:rsidRPr="007F7C15">
        <w:rPr>
          <w:color w:val="000000"/>
          <w:sz w:val="20"/>
          <w:szCs w:val="20"/>
        </w:rPr>
        <w:t>= 42.2; 17 English speaking, 1 Spanish speaking) enrolled in an ongoing randomized controlled trial (RCT).</w:t>
      </w:r>
      <w:r w:rsidRPr="007F7C15">
        <w:rPr>
          <w:sz w:val="20"/>
          <w:szCs w:val="20"/>
        </w:rPr>
        <w:t xml:space="preserve"> </w:t>
      </w:r>
      <w:r w:rsidRPr="007F7C15">
        <w:rPr>
          <w:color w:val="000000"/>
          <w:sz w:val="20"/>
          <w:szCs w:val="20"/>
        </w:rPr>
        <w:t xml:space="preserve">The RCT tested the use of supplemental NDBI via telehealth for children ages 1 to 5 years old who were </w:t>
      </w:r>
      <w:r w:rsidRPr="007F7C15">
        <w:rPr>
          <w:sz w:val="20"/>
          <w:szCs w:val="20"/>
        </w:rPr>
        <w:t>waitlisted for</w:t>
      </w:r>
      <w:r w:rsidRPr="007F7C15">
        <w:rPr>
          <w:color w:val="000000"/>
          <w:sz w:val="20"/>
          <w:szCs w:val="20"/>
        </w:rPr>
        <w:t xml:space="preserve"> either ASD evaluation or community-based treatment on child and caregiver outcomes. </w:t>
      </w:r>
      <w:r w:rsidRPr="007F7C15">
        <w:rPr>
          <w:sz w:val="20"/>
          <w:szCs w:val="20"/>
        </w:rPr>
        <w:t xml:space="preserve"> At study entry and following intervention,</w:t>
      </w:r>
      <w:r w:rsidRPr="007F7C15">
        <w:rPr>
          <w:color w:val="000000"/>
          <w:sz w:val="20"/>
          <w:szCs w:val="20"/>
        </w:rPr>
        <w:t xml:space="preserve"> recorded observations of child and caregiver play were collected u</w:t>
      </w:r>
      <w:r w:rsidRPr="007F7C15">
        <w:rPr>
          <w:color w:val="000000"/>
          <w:sz w:val="20"/>
          <w:szCs w:val="20"/>
        </w:rPr>
        <w:t>sing a structured play video sample that lasted for at least 12 minutes modelled after the Brief Observation of Social Communication Change (</w:t>
      </w:r>
      <w:r w:rsidR="007F7C15" w:rsidRPr="007F7C15">
        <w:rPr>
          <w:color w:val="000000"/>
          <w:sz w:val="20"/>
          <w:szCs w:val="20"/>
        </w:rPr>
        <w:t>BOSCC)</w:t>
      </w:r>
      <w:r w:rsidR="007F7C15" w:rsidRPr="007F7C15">
        <w:rPr>
          <w:sz w:val="20"/>
          <w:szCs w:val="20"/>
        </w:rPr>
        <w:t xml:space="preserve"> </w:t>
      </w:r>
      <w:r w:rsidR="007F7C15" w:rsidRPr="007F7C15">
        <w:rPr>
          <w:color w:val="000000"/>
          <w:sz w:val="20"/>
          <w:szCs w:val="20"/>
        </w:rPr>
        <w:t>administration</w:t>
      </w:r>
      <w:r w:rsidRPr="007F7C15">
        <w:rPr>
          <w:color w:val="000000"/>
          <w:sz w:val="20"/>
          <w:szCs w:val="20"/>
        </w:rPr>
        <w:t xml:space="preserve"> guidelines (</w:t>
      </w:r>
      <w:proofErr w:type="spellStart"/>
      <w:r w:rsidRPr="007F7C15">
        <w:rPr>
          <w:color w:val="000000"/>
          <w:sz w:val="20"/>
          <w:szCs w:val="20"/>
        </w:rPr>
        <w:t>Grzadzinski</w:t>
      </w:r>
      <w:proofErr w:type="spellEnd"/>
      <w:r w:rsidRPr="007F7C15">
        <w:rPr>
          <w:color w:val="000000"/>
          <w:sz w:val="20"/>
          <w:szCs w:val="20"/>
        </w:rPr>
        <w:t xml:space="preserve"> et al., 2016). Participants were mailed materials fo</w:t>
      </w:r>
      <w:r w:rsidRPr="007F7C15">
        <w:rPr>
          <w:sz w:val="20"/>
          <w:szCs w:val="20"/>
        </w:rPr>
        <w:t>r</w:t>
      </w:r>
      <w:r w:rsidRPr="007F7C15">
        <w:rPr>
          <w:color w:val="000000"/>
          <w:sz w:val="20"/>
          <w:szCs w:val="20"/>
        </w:rPr>
        <w:t xml:space="preserve"> the structured play sessions and all study procedures were </w:t>
      </w:r>
      <w:r w:rsidRPr="007F7C15">
        <w:rPr>
          <w:sz w:val="20"/>
          <w:szCs w:val="20"/>
        </w:rPr>
        <w:t>conducted</w:t>
      </w:r>
      <w:r w:rsidRPr="007F7C15">
        <w:rPr>
          <w:color w:val="000000"/>
          <w:sz w:val="20"/>
          <w:szCs w:val="20"/>
        </w:rPr>
        <w:t xml:space="preserve"> remotely over secure telehealth. Coders scored the </w:t>
      </w:r>
      <w:r w:rsidRPr="007F7C15">
        <w:rPr>
          <w:sz w:val="20"/>
          <w:szCs w:val="20"/>
        </w:rPr>
        <w:t>MONSI-CC for</w:t>
      </w:r>
      <w:r w:rsidRPr="007F7C15">
        <w:rPr>
          <w:color w:val="000000"/>
          <w:sz w:val="20"/>
          <w:szCs w:val="20"/>
        </w:rPr>
        <w:t xml:space="preserve"> each video. Vocalisations were measured as total count of functional utterances and intentional vocalisations using the same 12-minute video </w:t>
      </w:r>
      <w:sdt>
        <w:sdtPr>
          <w:rPr>
            <w:sz w:val="20"/>
            <w:szCs w:val="20"/>
          </w:rPr>
          <w:tag w:val="goog_rdk_0"/>
          <w:id w:val="785011514"/>
        </w:sdtPr>
        <w:sdtEndPr/>
        <w:sdtContent/>
      </w:sdt>
      <w:r w:rsidRPr="007F7C15">
        <w:rPr>
          <w:color w:val="000000"/>
          <w:sz w:val="20"/>
          <w:szCs w:val="20"/>
        </w:rPr>
        <w:t>recordings</w:t>
      </w:r>
      <w:r w:rsidRPr="007F7C15">
        <w:rPr>
          <w:color w:val="000000"/>
          <w:sz w:val="20"/>
          <w:szCs w:val="20"/>
        </w:rPr>
        <w:t xml:space="preserve">. </w:t>
      </w:r>
    </w:p>
    <w:p w14:paraId="00000006" w14:textId="07821985" w:rsidR="00E07B4A" w:rsidRPr="007F7C15" w:rsidRDefault="00085F3A">
      <w:pPr>
        <w:spacing w:line="240" w:lineRule="auto"/>
        <w:rPr>
          <w:color w:val="000000"/>
          <w:sz w:val="20"/>
          <w:szCs w:val="20"/>
        </w:rPr>
      </w:pPr>
      <w:r w:rsidRPr="007F7C15">
        <w:rPr>
          <w:b/>
          <w:color w:val="000000"/>
          <w:sz w:val="20"/>
          <w:szCs w:val="20"/>
        </w:rPr>
        <w:t>Results</w:t>
      </w:r>
      <w:r w:rsidRPr="007F7C15">
        <w:rPr>
          <w:color w:val="000000"/>
          <w:sz w:val="20"/>
          <w:szCs w:val="20"/>
        </w:rPr>
        <w:t>: Results suggest</w:t>
      </w:r>
      <w:r w:rsidRPr="007F7C15">
        <w:rPr>
          <w:sz w:val="20"/>
          <w:szCs w:val="20"/>
        </w:rPr>
        <w:t xml:space="preserve"> </w:t>
      </w:r>
      <w:r w:rsidRPr="007F7C15">
        <w:rPr>
          <w:color w:val="000000"/>
          <w:sz w:val="20"/>
          <w:szCs w:val="20"/>
        </w:rPr>
        <w:t>that all domains in the MONSI-CC contribute</w:t>
      </w:r>
      <w:r w:rsidRPr="007F7C15">
        <w:rPr>
          <w:sz w:val="20"/>
          <w:szCs w:val="20"/>
        </w:rPr>
        <w:t xml:space="preserve"> </w:t>
      </w:r>
      <w:r w:rsidRPr="007F7C15">
        <w:rPr>
          <w:color w:val="000000"/>
          <w:sz w:val="20"/>
          <w:szCs w:val="20"/>
        </w:rPr>
        <w:t xml:space="preserve">to the total rate of child vocalizations and the quality of dyadic engagement between caregiver and child. Total </w:t>
      </w:r>
      <w:r w:rsidRPr="007F7C15">
        <w:rPr>
          <w:i/>
          <w:color w:val="000000"/>
          <w:sz w:val="20"/>
          <w:szCs w:val="20"/>
        </w:rPr>
        <w:t>child vocalisations</w:t>
      </w:r>
      <w:r w:rsidRPr="007F7C15">
        <w:rPr>
          <w:color w:val="000000"/>
          <w:sz w:val="20"/>
          <w:szCs w:val="20"/>
        </w:rPr>
        <w:t xml:space="preserve"> </w:t>
      </w:r>
      <w:r w:rsidR="007F7C15" w:rsidRPr="007F7C15">
        <w:rPr>
          <w:color w:val="000000"/>
          <w:sz w:val="20"/>
          <w:szCs w:val="20"/>
        </w:rPr>
        <w:t>were</w:t>
      </w:r>
      <w:r w:rsidRPr="007F7C15">
        <w:rPr>
          <w:color w:val="000000"/>
          <w:sz w:val="20"/>
          <w:szCs w:val="20"/>
        </w:rPr>
        <w:t xml:space="preserve"> statistically significantly associated with several items on the MONSII CC, specifically </w:t>
      </w:r>
      <w:r w:rsidRPr="007F7C15">
        <w:rPr>
          <w:i/>
          <w:color w:val="000000"/>
          <w:sz w:val="20"/>
          <w:szCs w:val="20"/>
        </w:rPr>
        <w:t>environmental setup</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0.59, p &lt;.01), </w:t>
      </w:r>
      <w:r w:rsidRPr="007F7C15">
        <w:rPr>
          <w:i/>
          <w:color w:val="000000"/>
          <w:sz w:val="20"/>
          <w:szCs w:val="20"/>
        </w:rPr>
        <w:t>child guided interactions</w:t>
      </w:r>
      <w:r w:rsidRPr="007F7C15">
        <w:rPr>
          <w:color w:val="000000"/>
          <w:sz w:val="20"/>
          <w:szCs w:val="20"/>
        </w:rPr>
        <w:t xml:space="preserve"> (</w:t>
      </w:r>
      <w:proofErr w:type="spellStart"/>
      <w:r w:rsidRPr="007F7C15">
        <w:rPr>
          <w:i/>
          <w:color w:val="000000"/>
          <w:sz w:val="20"/>
          <w:szCs w:val="20"/>
        </w:rPr>
        <w:t>r</w:t>
      </w:r>
      <w:r w:rsidRPr="007F7C15">
        <w:rPr>
          <w:i/>
          <w:color w:val="000000"/>
          <w:sz w:val="20"/>
          <w:szCs w:val="20"/>
          <w:vertAlign w:val="subscript"/>
        </w:rPr>
        <w:t>s</w:t>
      </w:r>
      <w:proofErr w:type="spellEnd"/>
      <w:r w:rsidRPr="007F7C15">
        <w:rPr>
          <w:color w:val="000000"/>
          <w:sz w:val="20"/>
          <w:szCs w:val="20"/>
        </w:rPr>
        <w:t xml:space="preserve"> = 0.48, p &lt;.05), </w:t>
      </w:r>
      <w:r w:rsidRPr="007F7C15">
        <w:rPr>
          <w:i/>
          <w:color w:val="000000"/>
          <w:sz w:val="20"/>
          <w:szCs w:val="20"/>
        </w:rPr>
        <w:t>active teaching and learning</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0.56, p &lt;.05), and </w:t>
      </w:r>
      <w:r w:rsidRPr="007F7C15">
        <w:rPr>
          <w:i/>
          <w:color w:val="000000"/>
          <w:sz w:val="20"/>
          <w:szCs w:val="20"/>
        </w:rPr>
        <w:t>natural reinforcement and scaffolding</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0.55, p &lt;.05). </w:t>
      </w:r>
      <w:r w:rsidRPr="007F7C15">
        <w:rPr>
          <w:i/>
          <w:color w:val="000000"/>
          <w:sz w:val="20"/>
          <w:szCs w:val="20"/>
        </w:rPr>
        <w:t>Dyadic engagement</w:t>
      </w:r>
      <w:r w:rsidRPr="007F7C15">
        <w:rPr>
          <w:color w:val="000000"/>
          <w:sz w:val="20"/>
          <w:szCs w:val="20"/>
        </w:rPr>
        <w:t xml:space="preserve"> was statistically significantly associated with </w:t>
      </w:r>
      <w:r w:rsidRPr="007F7C15">
        <w:rPr>
          <w:i/>
          <w:color w:val="000000"/>
          <w:sz w:val="20"/>
          <w:szCs w:val="20"/>
        </w:rPr>
        <w:t>environmental setup</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0.66, p &lt;.01), </w:t>
      </w:r>
      <w:r w:rsidRPr="007F7C15">
        <w:rPr>
          <w:i/>
          <w:color w:val="000000"/>
          <w:sz w:val="20"/>
          <w:szCs w:val="20"/>
        </w:rPr>
        <w:t>child guided interactions</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0.51, p &lt;.05), </w:t>
      </w:r>
      <w:r w:rsidRPr="007F7C15">
        <w:rPr>
          <w:i/>
          <w:color w:val="000000"/>
          <w:sz w:val="20"/>
          <w:szCs w:val="20"/>
        </w:rPr>
        <w:t>active teaching and learning</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0.60, p &lt;.01), and </w:t>
      </w:r>
      <w:r w:rsidRPr="007F7C15">
        <w:rPr>
          <w:i/>
          <w:color w:val="000000"/>
          <w:sz w:val="20"/>
          <w:szCs w:val="20"/>
        </w:rPr>
        <w:t>natural reinf</w:t>
      </w:r>
      <w:r w:rsidRPr="007F7C15">
        <w:rPr>
          <w:i/>
          <w:color w:val="000000"/>
          <w:sz w:val="20"/>
          <w:szCs w:val="20"/>
        </w:rPr>
        <w:t>orcement and scaffolding</w:t>
      </w:r>
      <w:r w:rsidRPr="007F7C15">
        <w:rPr>
          <w:color w:val="000000"/>
          <w:sz w:val="20"/>
          <w:szCs w:val="20"/>
        </w:rPr>
        <w:t xml:space="preserve"> (</w:t>
      </w:r>
      <w:proofErr w:type="spellStart"/>
      <w:r w:rsidRPr="007F7C15">
        <w:rPr>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0.68, p &lt;.01). Neither child variable was significantly associated with </w:t>
      </w:r>
      <w:r w:rsidRPr="007F7C15">
        <w:rPr>
          <w:i/>
          <w:color w:val="000000"/>
          <w:sz w:val="20"/>
          <w:szCs w:val="20"/>
        </w:rPr>
        <w:t>opportunities for engagement</w:t>
      </w:r>
      <w:r w:rsidRPr="007F7C15">
        <w:rPr>
          <w:color w:val="000000"/>
          <w:sz w:val="20"/>
          <w:szCs w:val="20"/>
        </w:rPr>
        <w:t xml:space="preserve">. The domain </w:t>
      </w:r>
      <w:r w:rsidRPr="007F7C15">
        <w:rPr>
          <w:i/>
          <w:color w:val="000000"/>
          <w:sz w:val="20"/>
          <w:szCs w:val="20"/>
        </w:rPr>
        <w:t>natural reinforcement and scaffolding</w:t>
      </w:r>
      <w:r w:rsidRPr="007F7C15">
        <w:rPr>
          <w:color w:val="000000"/>
          <w:sz w:val="20"/>
          <w:szCs w:val="20"/>
        </w:rPr>
        <w:t xml:space="preserve"> was selected for secondary analysis at an item-level to understand which strategies contribute the most to the associations. This domain was chosen given previous research indicating positive relations between reinforcement, engagement, and vocalizations (e.g., </w:t>
      </w:r>
      <w:proofErr w:type="spellStart"/>
      <w:r w:rsidRPr="007F7C15">
        <w:rPr>
          <w:color w:val="000000"/>
          <w:sz w:val="20"/>
          <w:szCs w:val="20"/>
        </w:rPr>
        <w:t>Neimy</w:t>
      </w:r>
      <w:proofErr w:type="spellEnd"/>
      <w:r w:rsidRPr="007F7C15">
        <w:rPr>
          <w:color w:val="000000"/>
          <w:sz w:val="20"/>
          <w:szCs w:val="20"/>
        </w:rPr>
        <w:t xml:space="preserve"> et al., 2020; Vernon et al., 2012). Results indicated there we</w:t>
      </w:r>
      <w:r w:rsidRPr="007F7C15">
        <w:rPr>
          <w:color w:val="000000"/>
          <w:sz w:val="20"/>
          <w:szCs w:val="20"/>
        </w:rPr>
        <w:t xml:space="preserve">re significant positive associations between </w:t>
      </w:r>
      <w:r w:rsidRPr="007F7C15">
        <w:rPr>
          <w:i/>
          <w:color w:val="000000"/>
          <w:sz w:val="20"/>
          <w:szCs w:val="20"/>
        </w:rPr>
        <w:t>total vocalisations</w:t>
      </w:r>
      <w:r w:rsidRPr="007F7C15">
        <w:rPr>
          <w:color w:val="000000"/>
          <w:sz w:val="20"/>
          <w:szCs w:val="20"/>
        </w:rPr>
        <w:t xml:space="preserve"> and </w:t>
      </w:r>
      <w:r w:rsidRPr="007F7C15">
        <w:rPr>
          <w:i/>
          <w:color w:val="000000"/>
          <w:sz w:val="20"/>
          <w:szCs w:val="20"/>
        </w:rPr>
        <w:t>imitating social communication</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vertAlign w:val="subscript"/>
        </w:rPr>
        <w:t xml:space="preserve"> </w:t>
      </w:r>
      <w:r w:rsidRPr="007F7C15">
        <w:rPr>
          <w:color w:val="000000"/>
          <w:sz w:val="20"/>
          <w:szCs w:val="20"/>
        </w:rPr>
        <w:t xml:space="preserve">= .67, p = .003), and </w:t>
      </w:r>
      <w:r w:rsidRPr="007F7C15">
        <w:rPr>
          <w:i/>
          <w:color w:val="000000"/>
          <w:sz w:val="20"/>
          <w:szCs w:val="20"/>
        </w:rPr>
        <w:t>reinforcing desired behaviour</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vertAlign w:val="subscript"/>
        </w:rPr>
        <w:t xml:space="preserve"> </w:t>
      </w:r>
      <w:r w:rsidRPr="007F7C15">
        <w:rPr>
          <w:color w:val="000000"/>
          <w:sz w:val="20"/>
          <w:szCs w:val="20"/>
        </w:rPr>
        <w:t xml:space="preserve">= .51, p = .031), but not for </w:t>
      </w:r>
      <w:r w:rsidRPr="007F7C15">
        <w:rPr>
          <w:i/>
          <w:color w:val="000000"/>
          <w:sz w:val="20"/>
          <w:szCs w:val="20"/>
        </w:rPr>
        <w:t xml:space="preserve">reinforcing goal-directed behaviour </w:t>
      </w:r>
      <w:r w:rsidRPr="007F7C15">
        <w:rPr>
          <w:color w:val="000000"/>
          <w:sz w:val="20"/>
          <w:szCs w:val="20"/>
        </w:rPr>
        <w:t>(</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.38, p = .125). </w:t>
      </w:r>
      <w:r w:rsidRPr="007F7C15">
        <w:rPr>
          <w:i/>
          <w:color w:val="000000"/>
          <w:sz w:val="20"/>
          <w:szCs w:val="20"/>
        </w:rPr>
        <w:t>Dyadic engagement</w:t>
      </w:r>
      <w:r w:rsidRPr="007F7C15">
        <w:rPr>
          <w:color w:val="000000"/>
          <w:sz w:val="20"/>
          <w:szCs w:val="20"/>
        </w:rPr>
        <w:t xml:space="preserve"> was significantly positively correlated with all three items in the domain (imitating social communication,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.73, p = &lt;.001, </w:t>
      </w:r>
      <w:r w:rsidRPr="007F7C15">
        <w:rPr>
          <w:i/>
          <w:color w:val="000000"/>
          <w:sz w:val="20"/>
          <w:szCs w:val="20"/>
        </w:rPr>
        <w:t>reinforcing desired behaviour</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vertAlign w:val="subscript"/>
        </w:rPr>
        <w:t xml:space="preserve"> </w:t>
      </w:r>
      <w:r w:rsidRPr="007F7C15">
        <w:rPr>
          <w:color w:val="000000"/>
          <w:sz w:val="20"/>
          <w:szCs w:val="20"/>
        </w:rPr>
        <w:t xml:space="preserve">= .66, p = .003, and </w:t>
      </w:r>
      <w:r w:rsidRPr="007F7C15">
        <w:rPr>
          <w:i/>
          <w:color w:val="000000"/>
          <w:sz w:val="20"/>
          <w:szCs w:val="20"/>
        </w:rPr>
        <w:t>reinforcing goal-directed behaviour</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.55, p = .018). Last</w:t>
      </w:r>
      <w:r w:rsidRPr="007F7C15">
        <w:rPr>
          <w:color w:val="000000"/>
          <w:sz w:val="20"/>
          <w:szCs w:val="20"/>
        </w:rPr>
        <w:t xml:space="preserve">ly, the domain </w:t>
      </w:r>
      <w:r w:rsidRPr="007F7C15">
        <w:rPr>
          <w:i/>
          <w:color w:val="000000"/>
          <w:sz w:val="20"/>
          <w:szCs w:val="20"/>
        </w:rPr>
        <w:t>opportunities for engagement</w:t>
      </w:r>
      <w:r w:rsidRPr="007F7C15">
        <w:rPr>
          <w:color w:val="000000"/>
          <w:sz w:val="20"/>
          <w:szCs w:val="20"/>
        </w:rPr>
        <w:t xml:space="preserve"> </w:t>
      </w:r>
      <w:r w:rsidR="007F7C15" w:rsidRPr="007F7C15">
        <w:rPr>
          <w:color w:val="000000"/>
          <w:sz w:val="20"/>
          <w:szCs w:val="20"/>
        </w:rPr>
        <w:t>were</w:t>
      </w:r>
      <w:r w:rsidRPr="007F7C15">
        <w:rPr>
          <w:color w:val="000000"/>
          <w:sz w:val="20"/>
          <w:szCs w:val="20"/>
        </w:rPr>
        <w:t xml:space="preserve"> further analysed to understand the comparatively weak associations with child variables. The results indicated that there was a significant positive relation between the strategy </w:t>
      </w:r>
      <w:r w:rsidRPr="007F7C15">
        <w:rPr>
          <w:i/>
          <w:color w:val="000000"/>
          <w:sz w:val="20"/>
          <w:szCs w:val="20"/>
        </w:rPr>
        <w:t>using turn-taking</w:t>
      </w:r>
      <w:r w:rsidRPr="007F7C15">
        <w:rPr>
          <w:color w:val="000000"/>
          <w:sz w:val="20"/>
          <w:szCs w:val="20"/>
        </w:rPr>
        <w:t xml:space="preserve">, </w:t>
      </w:r>
      <w:r w:rsidRPr="007F7C15">
        <w:rPr>
          <w:i/>
          <w:color w:val="000000"/>
          <w:sz w:val="20"/>
          <w:szCs w:val="20"/>
        </w:rPr>
        <w:t>blocking</w:t>
      </w:r>
      <w:r w:rsidRPr="007F7C15">
        <w:rPr>
          <w:color w:val="000000"/>
          <w:sz w:val="20"/>
          <w:szCs w:val="20"/>
        </w:rPr>
        <w:t xml:space="preserve">, </w:t>
      </w:r>
      <w:r w:rsidRPr="007F7C15">
        <w:rPr>
          <w:i/>
          <w:color w:val="000000"/>
          <w:sz w:val="20"/>
          <w:szCs w:val="20"/>
        </w:rPr>
        <w:t>and</w:t>
      </w:r>
      <w:r w:rsidRPr="007F7C15">
        <w:rPr>
          <w:color w:val="000000"/>
          <w:sz w:val="20"/>
          <w:szCs w:val="20"/>
        </w:rPr>
        <w:t xml:space="preserve"> </w:t>
      </w:r>
      <w:r w:rsidRPr="007F7C15">
        <w:rPr>
          <w:i/>
          <w:color w:val="000000"/>
          <w:sz w:val="20"/>
          <w:szCs w:val="20"/>
        </w:rPr>
        <w:t xml:space="preserve">expectant waiting </w:t>
      </w:r>
      <w:r w:rsidRPr="007F7C15">
        <w:rPr>
          <w:color w:val="000000"/>
          <w:sz w:val="20"/>
          <w:szCs w:val="20"/>
        </w:rPr>
        <w:t>with</w:t>
      </w:r>
      <w:r w:rsidRPr="007F7C15">
        <w:rPr>
          <w:i/>
          <w:color w:val="000000"/>
          <w:sz w:val="20"/>
          <w:szCs w:val="20"/>
        </w:rPr>
        <w:t xml:space="preserve"> total vocalisations</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vertAlign w:val="subscript"/>
        </w:rPr>
        <w:t xml:space="preserve"> </w:t>
      </w:r>
      <w:r w:rsidRPr="007F7C15">
        <w:rPr>
          <w:color w:val="000000"/>
          <w:sz w:val="20"/>
          <w:szCs w:val="20"/>
        </w:rPr>
        <w:t xml:space="preserve">= .51, p = .031) and </w:t>
      </w:r>
      <w:r w:rsidRPr="007F7C15">
        <w:rPr>
          <w:i/>
          <w:color w:val="000000"/>
          <w:sz w:val="20"/>
          <w:szCs w:val="20"/>
        </w:rPr>
        <w:t>dyadic engagement</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.65, p = .004). However, there was a non-significant relation between the strategy </w:t>
      </w:r>
      <w:r w:rsidRPr="007F7C15">
        <w:rPr>
          <w:i/>
          <w:color w:val="000000"/>
          <w:sz w:val="20"/>
          <w:szCs w:val="20"/>
        </w:rPr>
        <w:t>providing choices</w:t>
      </w:r>
      <w:r w:rsidRPr="007F7C15">
        <w:rPr>
          <w:color w:val="000000"/>
          <w:sz w:val="20"/>
          <w:szCs w:val="20"/>
        </w:rPr>
        <w:t xml:space="preserve"> and both </w:t>
      </w:r>
      <w:r w:rsidRPr="007F7C15">
        <w:rPr>
          <w:i/>
          <w:color w:val="000000"/>
          <w:sz w:val="20"/>
          <w:szCs w:val="20"/>
        </w:rPr>
        <w:t>total vocalizations</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.13, p = .621) and </w:t>
      </w:r>
      <w:r w:rsidRPr="007F7C15">
        <w:rPr>
          <w:i/>
          <w:color w:val="000000"/>
          <w:sz w:val="20"/>
          <w:szCs w:val="20"/>
        </w:rPr>
        <w:t>dyadic engagement</w:t>
      </w:r>
      <w:r w:rsidRPr="007F7C15">
        <w:rPr>
          <w:color w:val="000000"/>
          <w:sz w:val="20"/>
          <w:szCs w:val="20"/>
        </w:rPr>
        <w:t xml:space="preserve"> (</w:t>
      </w:r>
      <w:proofErr w:type="spellStart"/>
      <w:r w:rsidRPr="007F7C15">
        <w:rPr>
          <w:i/>
          <w:color w:val="000000"/>
          <w:sz w:val="20"/>
          <w:szCs w:val="20"/>
        </w:rPr>
        <w:t>r</w:t>
      </w:r>
      <w:r w:rsidRPr="007F7C15">
        <w:rPr>
          <w:color w:val="000000"/>
          <w:sz w:val="20"/>
          <w:szCs w:val="20"/>
          <w:vertAlign w:val="subscript"/>
        </w:rPr>
        <w:t>s</w:t>
      </w:r>
      <w:proofErr w:type="spellEnd"/>
      <w:r w:rsidRPr="007F7C15">
        <w:rPr>
          <w:color w:val="000000"/>
          <w:sz w:val="20"/>
          <w:szCs w:val="20"/>
        </w:rPr>
        <w:t xml:space="preserve"> = .25, p = .313).</w:t>
      </w:r>
    </w:p>
    <w:p w14:paraId="00000007" w14:textId="77777777" w:rsidR="00E07B4A" w:rsidRDefault="00085F3A">
      <w:pPr>
        <w:spacing w:line="240" w:lineRule="auto"/>
        <w:rPr>
          <w:color w:val="000000"/>
          <w:sz w:val="20"/>
          <w:szCs w:val="20"/>
        </w:rPr>
      </w:pPr>
      <w:r w:rsidRPr="007F7C15">
        <w:rPr>
          <w:b/>
          <w:color w:val="000000"/>
          <w:sz w:val="20"/>
          <w:szCs w:val="20"/>
        </w:rPr>
        <w:t xml:space="preserve">Discussion: </w:t>
      </w:r>
      <w:r w:rsidRPr="007F7C15">
        <w:rPr>
          <w:color w:val="000000"/>
          <w:sz w:val="20"/>
          <w:szCs w:val="20"/>
        </w:rPr>
        <w:t xml:space="preserve">This study investigated the effects of caregiver use of specific NDBI strategies on dyadic engagement and child vocalizations. Results showed that most domains in the MONSI-CC contributed to the rate of total child vocalizations and the quality of dyadic engagement between caregiver and child. Results were comparable to previous research investigating the impact of parent fidelity to individual strategies on child learning response, expressive language and dyadic engagement (Zitter et al., 2020; Waddington </w:t>
      </w:r>
      <w:r w:rsidRPr="007F7C15">
        <w:rPr>
          <w:color w:val="000000"/>
          <w:sz w:val="20"/>
          <w:szCs w:val="20"/>
        </w:rPr>
        <w:t xml:space="preserve">et al., 2020). Overall, reinforcement and imitation of social communication were found to be associated </w:t>
      </w:r>
      <w:r>
        <w:rPr>
          <w:color w:val="000000"/>
          <w:sz w:val="20"/>
          <w:szCs w:val="20"/>
        </w:rPr>
        <w:t xml:space="preserve">with higher rates of child vocalisation and quality of dyadic engagement and should be considered in the future as possible priority goals when programming for child vocalisations and quality of dyadic engagement. </w:t>
      </w:r>
    </w:p>
    <w:p w14:paraId="00000008" w14:textId="77777777" w:rsidR="00E07B4A" w:rsidRDefault="00085F3A">
      <w:pPr>
        <w:spacing w:line="240" w:lineRule="auto"/>
        <w:ind w:left="720" w:hanging="720"/>
        <w:rPr>
          <w:b/>
          <w:color w:val="000000"/>
          <w:sz w:val="20"/>
          <w:szCs w:val="20"/>
        </w:rPr>
      </w:pPr>
      <w:r>
        <w:rPr>
          <w:b/>
          <w:color w:val="000000"/>
          <w:sz w:val="20"/>
          <w:szCs w:val="20"/>
        </w:rPr>
        <w:lastRenderedPageBreak/>
        <w:t>References:</w:t>
      </w:r>
    </w:p>
    <w:p w14:paraId="00000009" w14:textId="77777777" w:rsidR="00E07B4A" w:rsidRDefault="00085F3A">
      <w:pPr>
        <w:spacing w:line="240" w:lineRule="auto"/>
        <w:ind w:left="720" w:hanging="720"/>
        <w:rPr>
          <w:color w:val="000000"/>
          <w:sz w:val="20"/>
          <w:szCs w:val="20"/>
        </w:rPr>
      </w:pPr>
      <w:proofErr w:type="spellStart"/>
      <w:r>
        <w:rPr>
          <w:color w:val="000000"/>
          <w:sz w:val="20"/>
          <w:szCs w:val="20"/>
        </w:rPr>
        <w:t>Grzadzinski</w:t>
      </w:r>
      <w:proofErr w:type="spellEnd"/>
      <w:r>
        <w:rPr>
          <w:color w:val="000000"/>
          <w:sz w:val="20"/>
          <w:szCs w:val="20"/>
        </w:rPr>
        <w:t xml:space="preserve">, R., Carr, T., Colombi, C., McGuire, K., Dufek, S., Pickles, A., &amp; Lord, C. (2016). Measuring Changes in Social Communication </w:t>
      </w:r>
      <w:proofErr w:type="spellStart"/>
      <w:r>
        <w:rPr>
          <w:color w:val="000000"/>
          <w:sz w:val="20"/>
          <w:szCs w:val="20"/>
        </w:rPr>
        <w:t>Behaviors</w:t>
      </w:r>
      <w:proofErr w:type="spellEnd"/>
      <w:r>
        <w:rPr>
          <w:color w:val="000000"/>
          <w:sz w:val="20"/>
          <w:szCs w:val="20"/>
        </w:rPr>
        <w:t xml:space="preserve">: Preliminary Development of the Brief Observation of Social Communication Change (BOSCC). </w:t>
      </w:r>
      <w:r>
        <w:rPr>
          <w:i/>
          <w:color w:val="000000"/>
          <w:sz w:val="20"/>
          <w:szCs w:val="20"/>
        </w:rPr>
        <w:t>Journal of Autism and Developmental Disorders</w:t>
      </w:r>
      <w:r>
        <w:rPr>
          <w:color w:val="000000"/>
          <w:sz w:val="20"/>
          <w:szCs w:val="20"/>
        </w:rPr>
        <w:t xml:space="preserve">, </w:t>
      </w:r>
      <w:r>
        <w:rPr>
          <w:i/>
          <w:color w:val="000000"/>
          <w:sz w:val="20"/>
          <w:szCs w:val="20"/>
        </w:rPr>
        <w:t>46</w:t>
      </w:r>
      <w:r>
        <w:rPr>
          <w:color w:val="000000"/>
          <w:sz w:val="20"/>
          <w:szCs w:val="20"/>
        </w:rPr>
        <w:t xml:space="preserve">(7), 2464–2479. </w:t>
      </w:r>
      <w:hyperlink r:id="rId7">
        <w:r>
          <w:rPr>
            <w:color w:val="0000FF"/>
            <w:sz w:val="20"/>
            <w:szCs w:val="20"/>
            <w:u w:val="single"/>
          </w:rPr>
          <w:t>https://doi.org/10.1007/s10803-016-2782-9</w:t>
        </w:r>
      </w:hyperlink>
    </w:p>
    <w:p w14:paraId="0000000A" w14:textId="36217127" w:rsidR="00E07B4A" w:rsidRDefault="00085F3A">
      <w:pPr>
        <w:spacing w:line="240" w:lineRule="auto"/>
        <w:ind w:left="720" w:hanging="720"/>
        <w:rPr>
          <w:color w:val="000000"/>
          <w:sz w:val="20"/>
          <w:szCs w:val="20"/>
        </w:rPr>
      </w:pPr>
      <w:proofErr w:type="spellStart"/>
      <w:r>
        <w:rPr>
          <w:color w:val="000000"/>
          <w:sz w:val="20"/>
          <w:szCs w:val="20"/>
        </w:rPr>
        <w:t>Neimy</w:t>
      </w:r>
      <w:proofErr w:type="spellEnd"/>
      <w:r>
        <w:rPr>
          <w:color w:val="000000"/>
          <w:sz w:val="20"/>
          <w:szCs w:val="20"/>
        </w:rPr>
        <w:t xml:space="preserve">, H., Pelaez, M., Monlux, K., Carrow, J., Tarbox, J., &amp; Weiss, M. J. (2020). Increasing Vocalizations and </w:t>
      </w:r>
      <w:proofErr w:type="spellStart"/>
      <w:r>
        <w:rPr>
          <w:color w:val="000000"/>
          <w:sz w:val="20"/>
          <w:szCs w:val="20"/>
        </w:rPr>
        <w:t>Echoics</w:t>
      </w:r>
      <w:proofErr w:type="spellEnd"/>
      <w:r>
        <w:rPr>
          <w:color w:val="000000"/>
          <w:sz w:val="20"/>
          <w:szCs w:val="20"/>
        </w:rPr>
        <w:t xml:space="preserve"> in Infants at Risk of Autism Spectrum Disorder. </w:t>
      </w:r>
      <w:proofErr w:type="spellStart"/>
      <w:r>
        <w:rPr>
          <w:i/>
          <w:color w:val="000000"/>
          <w:sz w:val="20"/>
          <w:szCs w:val="20"/>
        </w:rPr>
        <w:t>Behavior</w:t>
      </w:r>
      <w:proofErr w:type="spellEnd"/>
      <w:r>
        <w:rPr>
          <w:i/>
          <w:color w:val="000000"/>
          <w:sz w:val="20"/>
          <w:szCs w:val="20"/>
        </w:rPr>
        <w:t xml:space="preserve"> Analysis in Practice</w:t>
      </w:r>
      <w:r>
        <w:rPr>
          <w:color w:val="000000"/>
          <w:sz w:val="20"/>
          <w:szCs w:val="20"/>
        </w:rPr>
        <w:t xml:space="preserve">, </w:t>
      </w:r>
      <w:r>
        <w:rPr>
          <w:i/>
          <w:color w:val="000000"/>
          <w:sz w:val="20"/>
          <w:szCs w:val="20"/>
        </w:rPr>
        <w:t>13</w:t>
      </w:r>
      <w:r>
        <w:rPr>
          <w:color w:val="000000"/>
          <w:sz w:val="20"/>
          <w:szCs w:val="20"/>
        </w:rPr>
        <w:t xml:space="preserve">(2), 467–472. </w:t>
      </w:r>
      <w:hyperlink r:id="rId8" w:history="1">
        <w:r w:rsidR="007F7C15" w:rsidRPr="00790304">
          <w:rPr>
            <w:rStyle w:val="Hyperlink"/>
            <w:sz w:val="20"/>
            <w:szCs w:val="20"/>
          </w:rPr>
          <w:t>https://doi.org/10.1007/s40617-020-00413-2</w:t>
        </w:r>
      </w:hyperlink>
      <w:r w:rsidR="007F7C15">
        <w:rPr>
          <w:color w:val="000000"/>
          <w:sz w:val="20"/>
          <w:szCs w:val="20"/>
        </w:rPr>
        <w:t xml:space="preserve"> </w:t>
      </w:r>
      <w:r>
        <w:rPr>
          <w:color w:val="000000"/>
          <w:sz w:val="20"/>
          <w:szCs w:val="20"/>
        </w:rPr>
        <w:t xml:space="preserve"> </w:t>
      </w:r>
    </w:p>
    <w:p w14:paraId="0000000B" w14:textId="77777777" w:rsidR="00E07B4A" w:rsidRDefault="00085F3A">
      <w:pPr>
        <w:spacing w:line="240" w:lineRule="auto"/>
        <w:ind w:left="720" w:hanging="720"/>
        <w:rPr>
          <w:color w:val="000000"/>
          <w:sz w:val="20"/>
          <w:szCs w:val="20"/>
        </w:rPr>
      </w:pPr>
      <w:r>
        <w:rPr>
          <w:color w:val="000000"/>
          <w:sz w:val="20"/>
          <w:szCs w:val="20"/>
        </w:rPr>
        <w:t xml:space="preserve">Rogers, S. J., &amp; Dawson, G. (2010). </w:t>
      </w:r>
      <w:r>
        <w:rPr>
          <w:i/>
          <w:color w:val="000000"/>
          <w:sz w:val="20"/>
          <w:szCs w:val="20"/>
        </w:rPr>
        <w:t>Early Start Denver Model for young children with autism: promoting language, learning, and engagement</w:t>
      </w:r>
      <w:r>
        <w:rPr>
          <w:color w:val="000000"/>
          <w:sz w:val="20"/>
          <w:szCs w:val="20"/>
        </w:rPr>
        <w:t>. Guilford Press.</w:t>
      </w:r>
    </w:p>
    <w:p w14:paraId="0000000C" w14:textId="77777777" w:rsidR="00E07B4A" w:rsidRDefault="00085F3A">
      <w:pPr>
        <w:spacing w:line="240" w:lineRule="auto"/>
        <w:ind w:left="720" w:hanging="720"/>
        <w:rPr>
          <w:color w:val="000000"/>
          <w:sz w:val="20"/>
          <w:szCs w:val="20"/>
        </w:rPr>
      </w:pPr>
      <w:r>
        <w:rPr>
          <w:color w:val="000000"/>
          <w:sz w:val="20"/>
          <w:szCs w:val="20"/>
        </w:rPr>
        <w:t xml:space="preserve">Schreibman, L., Dawson, G., Stahmer, A. C., Landa, R., Rogers, S. J., McGee, G. G., </w:t>
      </w:r>
      <w:proofErr w:type="spellStart"/>
      <w:r>
        <w:rPr>
          <w:color w:val="000000"/>
          <w:sz w:val="20"/>
          <w:szCs w:val="20"/>
        </w:rPr>
        <w:t>Kasari</w:t>
      </w:r>
      <w:proofErr w:type="spellEnd"/>
      <w:r>
        <w:rPr>
          <w:color w:val="000000"/>
          <w:sz w:val="20"/>
          <w:szCs w:val="20"/>
        </w:rPr>
        <w:t xml:space="preserve">, C., Ingersoll, B., Kaiser, A. P., Bruinsma, Y., McNerney, E., Wetherby, A., &amp; Halladay, A. (2015). Naturalistic Developmental Behavioral Interventions: Empirically Validated Treatments for Autism Spectrum Disorder. </w:t>
      </w:r>
      <w:r>
        <w:rPr>
          <w:i/>
          <w:color w:val="000000"/>
          <w:sz w:val="20"/>
          <w:szCs w:val="20"/>
        </w:rPr>
        <w:t>Journal of Autism and Developmental Disorders</w:t>
      </w:r>
      <w:r>
        <w:rPr>
          <w:color w:val="000000"/>
          <w:sz w:val="20"/>
          <w:szCs w:val="20"/>
        </w:rPr>
        <w:t xml:space="preserve">, </w:t>
      </w:r>
      <w:r>
        <w:rPr>
          <w:i/>
          <w:color w:val="000000"/>
          <w:sz w:val="20"/>
          <w:szCs w:val="20"/>
        </w:rPr>
        <w:t>45</w:t>
      </w:r>
      <w:r>
        <w:rPr>
          <w:color w:val="000000"/>
          <w:sz w:val="20"/>
          <w:szCs w:val="20"/>
        </w:rPr>
        <w:t xml:space="preserve">(8), 2411–2428. </w:t>
      </w:r>
      <w:hyperlink r:id="rId9">
        <w:r>
          <w:rPr>
            <w:color w:val="0000FF"/>
            <w:sz w:val="20"/>
            <w:szCs w:val="20"/>
            <w:u w:val="single"/>
          </w:rPr>
          <w:t>https://doi.org/10.1007/s10803-015-2407-8</w:t>
        </w:r>
      </w:hyperlink>
    </w:p>
    <w:p w14:paraId="0000000D" w14:textId="4F1A22A4" w:rsidR="00E07B4A" w:rsidRDefault="00085F3A">
      <w:pPr>
        <w:spacing w:line="240" w:lineRule="auto"/>
        <w:ind w:left="720" w:hanging="720"/>
        <w:rPr>
          <w:color w:val="000000"/>
          <w:sz w:val="20"/>
          <w:szCs w:val="20"/>
        </w:rPr>
      </w:pPr>
      <w:r>
        <w:rPr>
          <w:color w:val="000000"/>
          <w:sz w:val="20"/>
          <w:szCs w:val="20"/>
        </w:rPr>
        <w:t xml:space="preserve">Vernon, T.W., Koegel, R.L., Dauterman, H. </w:t>
      </w:r>
      <w:r>
        <w:rPr>
          <w:i/>
          <w:color w:val="000000"/>
          <w:sz w:val="20"/>
          <w:szCs w:val="20"/>
        </w:rPr>
        <w:t>et al.</w:t>
      </w:r>
      <w:r>
        <w:rPr>
          <w:color w:val="000000"/>
          <w:sz w:val="20"/>
          <w:szCs w:val="20"/>
        </w:rPr>
        <w:t xml:space="preserve"> </w:t>
      </w:r>
      <w:r w:rsidR="007F7C15">
        <w:rPr>
          <w:color w:val="000000"/>
          <w:sz w:val="20"/>
          <w:szCs w:val="20"/>
        </w:rPr>
        <w:t xml:space="preserve">(2012). </w:t>
      </w:r>
      <w:r>
        <w:rPr>
          <w:color w:val="000000"/>
          <w:sz w:val="20"/>
          <w:szCs w:val="20"/>
        </w:rPr>
        <w:t xml:space="preserve">An Early Social Engagement Intervention for Young Children with Autism and their Parents. </w:t>
      </w:r>
      <w:r>
        <w:rPr>
          <w:i/>
          <w:color w:val="000000"/>
          <w:sz w:val="20"/>
          <w:szCs w:val="20"/>
        </w:rPr>
        <w:t xml:space="preserve">J Autism Dev </w:t>
      </w:r>
      <w:proofErr w:type="spellStart"/>
      <w:r>
        <w:rPr>
          <w:i/>
          <w:color w:val="000000"/>
          <w:sz w:val="20"/>
          <w:szCs w:val="20"/>
        </w:rPr>
        <w:t>Disord</w:t>
      </w:r>
      <w:proofErr w:type="spellEnd"/>
      <w:r>
        <w:rPr>
          <w:color w:val="000000"/>
          <w:sz w:val="20"/>
          <w:szCs w:val="20"/>
        </w:rPr>
        <w:t xml:space="preserve"> 42, 2702–2717 </w:t>
      </w:r>
      <w:hyperlink r:id="rId10">
        <w:r>
          <w:rPr>
            <w:color w:val="0000FF"/>
            <w:sz w:val="20"/>
            <w:szCs w:val="20"/>
            <w:u w:val="single"/>
          </w:rPr>
          <w:t>https://doi.org/10.1007/s10803-012-1535-7</w:t>
        </w:r>
      </w:hyperlink>
      <w:r>
        <w:rPr>
          <w:color w:val="000000"/>
          <w:sz w:val="20"/>
          <w:szCs w:val="20"/>
        </w:rPr>
        <w:t xml:space="preserve"> </w:t>
      </w:r>
    </w:p>
    <w:p w14:paraId="0000000E" w14:textId="77777777" w:rsidR="00E07B4A" w:rsidRDefault="00085F3A">
      <w:pPr>
        <w:spacing w:line="240" w:lineRule="auto"/>
        <w:ind w:left="720" w:hanging="720"/>
        <w:rPr>
          <w:color w:val="000000"/>
          <w:sz w:val="20"/>
          <w:szCs w:val="20"/>
        </w:rPr>
      </w:pPr>
      <w:r>
        <w:rPr>
          <w:color w:val="000000"/>
          <w:sz w:val="20"/>
          <w:szCs w:val="20"/>
        </w:rPr>
        <w:t xml:space="preserve">Vibert, B. A., Dufek, S., Klein, C. B., Choi, Y. B., Winter, J., Lord, C., &amp; Kim, S. H. (2020). Quantifying Caregiver Change Across Early Autism Interventions Using the Measure of NDBI Strategy Implementation: Caregiver Change (MONSI-CC). </w:t>
      </w:r>
      <w:r>
        <w:rPr>
          <w:i/>
          <w:color w:val="000000"/>
          <w:sz w:val="20"/>
          <w:szCs w:val="20"/>
        </w:rPr>
        <w:t>Journal of Autism and Developmental Disorders</w:t>
      </w:r>
      <w:r>
        <w:rPr>
          <w:color w:val="000000"/>
          <w:sz w:val="20"/>
          <w:szCs w:val="20"/>
        </w:rPr>
        <w:t xml:space="preserve">, </w:t>
      </w:r>
      <w:r>
        <w:rPr>
          <w:i/>
          <w:color w:val="000000"/>
          <w:sz w:val="20"/>
          <w:szCs w:val="20"/>
        </w:rPr>
        <w:t>50</w:t>
      </w:r>
      <w:r>
        <w:rPr>
          <w:color w:val="000000"/>
          <w:sz w:val="20"/>
          <w:szCs w:val="20"/>
        </w:rPr>
        <w:t xml:space="preserve">(4), 1364–1379. </w:t>
      </w:r>
      <w:hyperlink r:id="rId11">
        <w:r>
          <w:rPr>
            <w:color w:val="0000FF"/>
            <w:sz w:val="20"/>
            <w:szCs w:val="20"/>
            <w:u w:val="single"/>
          </w:rPr>
          <w:t>https://doi.org/10.1007/s10803-019-04342-0</w:t>
        </w:r>
      </w:hyperlink>
    </w:p>
    <w:p w14:paraId="0000000F" w14:textId="77777777" w:rsidR="00E07B4A" w:rsidRDefault="00085F3A">
      <w:pPr>
        <w:spacing w:line="240" w:lineRule="auto"/>
        <w:ind w:left="720" w:hanging="720"/>
        <w:rPr>
          <w:color w:val="000000"/>
          <w:sz w:val="20"/>
          <w:szCs w:val="20"/>
        </w:rPr>
      </w:pPr>
      <w:r>
        <w:rPr>
          <w:color w:val="000000"/>
          <w:sz w:val="20"/>
          <w:szCs w:val="20"/>
        </w:rPr>
        <w:t xml:space="preserve">Waddington, H., van der Meer, L., Sigafoos, J., &amp; Whitehouse, A. (2020). Examining parent use of specific intervention techniques during a 12-week training program based on the Early Start Denver Model. </w:t>
      </w:r>
      <w:proofErr w:type="gramStart"/>
      <w:r>
        <w:rPr>
          <w:i/>
          <w:color w:val="000000"/>
          <w:sz w:val="20"/>
          <w:szCs w:val="20"/>
        </w:rPr>
        <w:t>Autism :</w:t>
      </w:r>
      <w:proofErr w:type="gramEnd"/>
      <w:r>
        <w:rPr>
          <w:i/>
          <w:color w:val="000000"/>
          <w:sz w:val="20"/>
          <w:szCs w:val="20"/>
        </w:rPr>
        <w:t xml:space="preserve"> The International Journal of Research and Practice</w:t>
      </w:r>
      <w:r>
        <w:rPr>
          <w:color w:val="000000"/>
          <w:sz w:val="20"/>
          <w:szCs w:val="20"/>
        </w:rPr>
        <w:t xml:space="preserve">, </w:t>
      </w:r>
      <w:r>
        <w:rPr>
          <w:i/>
          <w:color w:val="000000"/>
          <w:sz w:val="20"/>
          <w:szCs w:val="20"/>
        </w:rPr>
        <w:t>24</w:t>
      </w:r>
      <w:r>
        <w:rPr>
          <w:color w:val="000000"/>
          <w:sz w:val="20"/>
          <w:szCs w:val="20"/>
        </w:rPr>
        <w:t xml:space="preserve">(2), 484–498. </w:t>
      </w:r>
      <w:hyperlink r:id="rId12">
        <w:r>
          <w:rPr>
            <w:color w:val="0000FF"/>
            <w:sz w:val="20"/>
            <w:szCs w:val="20"/>
            <w:u w:val="single"/>
          </w:rPr>
          <w:t>https://doi.org/10.1177/1362361319876495</w:t>
        </w:r>
      </w:hyperlink>
    </w:p>
    <w:p w14:paraId="00000010" w14:textId="77777777" w:rsidR="00E07B4A" w:rsidRDefault="00085F3A">
      <w:pPr>
        <w:spacing w:line="240" w:lineRule="auto"/>
        <w:ind w:left="720" w:hanging="720"/>
        <w:rPr>
          <w:color w:val="000000"/>
          <w:sz w:val="20"/>
          <w:szCs w:val="20"/>
        </w:rPr>
      </w:pPr>
      <w:proofErr w:type="spellStart"/>
      <w:r>
        <w:rPr>
          <w:color w:val="000000"/>
          <w:sz w:val="20"/>
          <w:szCs w:val="20"/>
        </w:rPr>
        <w:t>Yankowitz</w:t>
      </w:r>
      <w:proofErr w:type="spellEnd"/>
      <w:r>
        <w:rPr>
          <w:color w:val="000000"/>
          <w:sz w:val="20"/>
          <w:szCs w:val="20"/>
        </w:rPr>
        <w:t xml:space="preserve">, L. D., Schultz, R. T., &amp; Parish-Morris, J. (2019). Pre- and Paralinguistic Vocal Production in ASD: Birth Through School Age. </w:t>
      </w:r>
      <w:r>
        <w:rPr>
          <w:i/>
          <w:color w:val="000000"/>
          <w:sz w:val="20"/>
          <w:szCs w:val="20"/>
        </w:rPr>
        <w:t>Current Psychiatry Reports</w:t>
      </w:r>
      <w:r>
        <w:rPr>
          <w:color w:val="000000"/>
          <w:sz w:val="20"/>
          <w:szCs w:val="20"/>
        </w:rPr>
        <w:t xml:space="preserve">, </w:t>
      </w:r>
      <w:r>
        <w:rPr>
          <w:i/>
          <w:color w:val="000000"/>
          <w:sz w:val="20"/>
          <w:szCs w:val="20"/>
        </w:rPr>
        <w:t>21</w:t>
      </w:r>
      <w:r>
        <w:rPr>
          <w:color w:val="000000"/>
          <w:sz w:val="20"/>
          <w:szCs w:val="20"/>
        </w:rPr>
        <w:t xml:space="preserve">(12), 126–126. </w:t>
      </w:r>
      <w:hyperlink r:id="rId13">
        <w:r>
          <w:rPr>
            <w:color w:val="0000FF"/>
            <w:sz w:val="20"/>
            <w:szCs w:val="20"/>
            <w:u w:val="single"/>
          </w:rPr>
          <w:t>https://doi.org/10.1007/s11920-019-1113-1</w:t>
        </w:r>
      </w:hyperlink>
      <w:r>
        <w:rPr>
          <w:color w:val="000000"/>
          <w:sz w:val="20"/>
          <w:szCs w:val="20"/>
        </w:rPr>
        <w:t xml:space="preserve"> </w:t>
      </w:r>
    </w:p>
    <w:p w14:paraId="00000011" w14:textId="77777777" w:rsidR="00E07B4A" w:rsidRDefault="00085F3A">
      <w:pPr>
        <w:spacing w:line="240" w:lineRule="auto"/>
        <w:ind w:left="720" w:hanging="720"/>
        <w:rPr>
          <w:color w:val="000000"/>
          <w:sz w:val="20"/>
          <w:szCs w:val="20"/>
        </w:rPr>
      </w:pPr>
      <w:r>
        <w:rPr>
          <w:color w:val="000000"/>
          <w:sz w:val="20"/>
          <w:szCs w:val="20"/>
        </w:rPr>
        <w:t xml:space="preserve">Zitter, A., Rinn, H., </w:t>
      </w:r>
      <w:proofErr w:type="spellStart"/>
      <w:r>
        <w:rPr>
          <w:color w:val="000000"/>
          <w:sz w:val="20"/>
          <w:szCs w:val="20"/>
        </w:rPr>
        <w:t>Szapuova</w:t>
      </w:r>
      <w:proofErr w:type="spellEnd"/>
      <w:r>
        <w:rPr>
          <w:color w:val="000000"/>
          <w:sz w:val="20"/>
          <w:szCs w:val="20"/>
        </w:rPr>
        <w:t xml:space="preserve">, Z., Avila-Pons, V. M., Coulter, K. L., Stahmer, A. C., Robins, D. L., &amp; </w:t>
      </w:r>
      <w:proofErr w:type="spellStart"/>
      <w:r>
        <w:rPr>
          <w:color w:val="000000"/>
          <w:sz w:val="20"/>
          <w:szCs w:val="20"/>
        </w:rPr>
        <w:t>Vivanti</w:t>
      </w:r>
      <w:proofErr w:type="spellEnd"/>
      <w:r>
        <w:rPr>
          <w:color w:val="000000"/>
          <w:sz w:val="20"/>
          <w:szCs w:val="20"/>
        </w:rPr>
        <w:t xml:space="preserve">, G. (2023). Does Treatment Fidelity of the Early Start Denver Model Impact Skill Acquisition in Young Children with Autism? </w:t>
      </w:r>
      <w:r>
        <w:rPr>
          <w:i/>
          <w:color w:val="000000"/>
          <w:sz w:val="20"/>
          <w:szCs w:val="20"/>
        </w:rPr>
        <w:t>Journal of Autism and Developmental Disorders</w:t>
      </w:r>
      <w:r>
        <w:rPr>
          <w:color w:val="000000"/>
          <w:sz w:val="20"/>
          <w:szCs w:val="20"/>
        </w:rPr>
        <w:t xml:space="preserve">, </w:t>
      </w:r>
      <w:r>
        <w:rPr>
          <w:i/>
          <w:color w:val="000000"/>
          <w:sz w:val="20"/>
          <w:szCs w:val="20"/>
        </w:rPr>
        <w:t>53</w:t>
      </w:r>
      <w:r>
        <w:rPr>
          <w:color w:val="000000"/>
          <w:sz w:val="20"/>
          <w:szCs w:val="20"/>
        </w:rPr>
        <w:t xml:space="preserve">(4), 1618–1628. </w:t>
      </w:r>
      <w:hyperlink r:id="rId14">
        <w:r>
          <w:rPr>
            <w:color w:val="0000FF"/>
            <w:sz w:val="20"/>
            <w:szCs w:val="20"/>
            <w:u w:val="single"/>
          </w:rPr>
          <w:t>https://doi.org/10.1007/s10803-021-05371-4</w:t>
        </w:r>
      </w:hyperlink>
      <w:r>
        <w:rPr>
          <w:color w:val="000000"/>
          <w:sz w:val="20"/>
          <w:szCs w:val="20"/>
        </w:rPr>
        <w:t xml:space="preserve"> </w:t>
      </w:r>
    </w:p>
    <w:p w14:paraId="00000012" w14:textId="77777777" w:rsidR="00E07B4A" w:rsidRDefault="00E07B4A">
      <w:pPr>
        <w:pBdr>
          <w:top w:val="nil"/>
          <w:left w:val="nil"/>
          <w:bottom w:val="nil"/>
          <w:right w:val="nil"/>
          <w:between w:val="nil"/>
        </w:pBdr>
        <w:spacing w:after="0" w:line="240" w:lineRule="auto"/>
        <w:rPr>
          <w:color w:val="000000"/>
          <w:sz w:val="20"/>
          <w:szCs w:val="20"/>
        </w:rPr>
      </w:pPr>
    </w:p>
    <w:p w14:paraId="00000013" w14:textId="77777777" w:rsidR="00E07B4A" w:rsidRDefault="00E07B4A"/>
    <w:sectPr w:rsidR="00E07B4A">
      <w:headerReference w:type="even" r:id="rId15"/>
      <w:headerReference w:type="default" r:id="rId16"/>
      <w:footerReference w:type="even" r:id="rId17"/>
      <w:footerReference w:type="default" r:id="rId18"/>
      <w:headerReference w:type="first" r:id="rId19"/>
      <w:footerReference w:type="first" r:id="rId20"/>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C04A" w14:textId="77777777" w:rsidR="00085F3A" w:rsidRDefault="00085F3A">
      <w:pPr>
        <w:spacing w:after="0" w:line="240" w:lineRule="auto"/>
      </w:pPr>
      <w:r>
        <w:separator/>
      </w:r>
    </w:p>
  </w:endnote>
  <w:endnote w:type="continuationSeparator" w:id="0">
    <w:p w14:paraId="55ACBA58" w14:textId="77777777" w:rsidR="00085F3A" w:rsidRDefault="0008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efa">
    <w:altName w:val="Nyala"/>
    <w:charset w:val="00"/>
    <w:family w:val="auto"/>
    <w:pitch w:val="variable"/>
    <w:sig w:usb0="800000AF" w:usb1="4000204B" w:usb2="000008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77777777" w:rsidR="00E07B4A" w:rsidRDefault="00E07B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230D43C9" w:rsidR="00E07B4A" w:rsidRDefault="00085F3A">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7F7C15">
      <w:rPr>
        <w:b/>
        <w:noProof/>
        <w:color w:val="000000"/>
      </w:rPr>
      <w:t>1</w: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7F7C15">
      <w:rPr>
        <w:b/>
        <w:noProof/>
        <w:color w:val="000000"/>
      </w:rPr>
      <w:t>2</w:t>
    </w:r>
    <w:r>
      <w:rPr>
        <w:b/>
        <w:color w:val="000000"/>
      </w:rPr>
      <w:fldChar w:fldCharType="end"/>
    </w:r>
  </w:p>
  <w:p w14:paraId="0000001A" w14:textId="77777777" w:rsidR="00E07B4A" w:rsidRDefault="00E07B4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E07B4A" w:rsidRDefault="00E07B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8E04" w14:textId="77777777" w:rsidR="00085F3A" w:rsidRDefault="00085F3A">
      <w:pPr>
        <w:spacing w:after="0" w:line="240" w:lineRule="auto"/>
      </w:pPr>
      <w:r>
        <w:separator/>
      </w:r>
    </w:p>
  </w:footnote>
  <w:footnote w:type="continuationSeparator" w:id="0">
    <w:p w14:paraId="1A74401D" w14:textId="77777777" w:rsidR="00085F3A" w:rsidRDefault="0008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E07B4A" w:rsidRDefault="00E07B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E07B4A" w:rsidRDefault="00085F3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27D3CB20" wp14:editId="032443B9">
              <wp:simplePos x="0" y="0"/>
              <wp:positionH relativeFrom="margin">
                <wp:posOffset>-20607</wp:posOffset>
              </wp:positionH>
              <wp:positionV relativeFrom="topMargin">
                <wp:posOffset>228963</wp:posOffset>
              </wp:positionV>
              <wp:extent cx="6669905" cy="457200"/>
              <wp:effectExtent l="0" t="0" r="0" b="0"/>
              <wp:wrapNone/>
              <wp:docPr id="227" name="Group 227"/>
              <wp:cNvGraphicFramePr/>
              <a:graphic xmlns:a="http://schemas.openxmlformats.org/drawingml/2006/main">
                <a:graphicData uri="http://schemas.microsoft.com/office/word/2010/wordprocessingGroup">
                  <wpg:wgp>
                    <wpg:cNvGrpSpPr/>
                    <wpg:grpSpPr>
                      <a:xfrm>
                        <a:off x="0" y="0"/>
                        <a:ext cx="6669905" cy="457200"/>
                        <a:chOff x="2011025" y="3536775"/>
                        <a:chExt cx="6669950" cy="486525"/>
                      </a:xfrm>
                    </wpg:grpSpPr>
                    <wpg:grpSp>
                      <wpg:cNvPr id="296910079" name="Group 296910079"/>
                      <wpg:cNvGrpSpPr/>
                      <wpg:grpSpPr>
                        <a:xfrm>
                          <a:off x="2011048" y="3551400"/>
                          <a:ext cx="6669905" cy="457200"/>
                          <a:chOff x="1998325" y="3537300"/>
                          <a:chExt cx="6682650" cy="486550"/>
                        </a:xfrm>
                      </wpg:grpSpPr>
                      <wps:wsp>
                        <wps:cNvPr id="1863929098" name="Rectangle 1863929098"/>
                        <wps:cNvSpPr/>
                        <wps:spPr>
                          <a:xfrm>
                            <a:off x="1998325" y="3537300"/>
                            <a:ext cx="6682650" cy="486550"/>
                          </a:xfrm>
                          <a:prstGeom prst="rect">
                            <a:avLst/>
                          </a:prstGeom>
                          <a:noFill/>
                          <a:ln>
                            <a:noFill/>
                          </a:ln>
                        </wps:spPr>
                        <wps:txbx>
                          <w:txbxContent>
                            <w:p w14:paraId="4ECBE15E" w14:textId="77777777" w:rsidR="00E07B4A" w:rsidRDefault="00E07B4A">
                              <w:pPr>
                                <w:spacing w:after="0" w:line="240" w:lineRule="auto"/>
                                <w:textDirection w:val="btLr"/>
                              </w:pPr>
                            </w:p>
                          </w:txbxContent>
                        </wps:txbx>
                        <wps:bodyPr spcFirstLastPara="1" wrap="square" lIns="91425" tIns="91425" rIns="91425" bIns="91425" anchor="ctr" anchorCtr="0">
                          <a:noAutofit/>
                        </wps:bodyPr>
                      </wps:wsp>
                      <wpg:grpSp>
                        <wpg:cNvPr id="1938147114" name="Group 1938147114"/>
                        <wpg:cNvGrpSpPr/>
                        <wpg:grpSpPr>
                          <a:xfrm>
                            <a:off x="2011048" y="3551400"/>
                            <a:ext cx="6669905" cy="457200"/>
                            <a:chOff x="377" y="360"/>
                            <a:chExt cx="11488" cy="720"/>
                          </a:xfrm>
                        </wpg:grpSpPr>
                        <wps:wsp>
                          <wps:cNvPr id="1355880781" name="Rectangle 1355880781"/>
                          <wps:cNvSpPr/>
                          <wps:spPr>
                            <a:xfrm>
                              <a:off x="377" y="360"/>
                              <a:ext cx="11475" cy="700"/>
                            </a:xfrm>
                            <a:prstGeom prst="rect">
                              <a:avLst/>
                            </a:prstGeom>
                            <a:noFill/>
                            <a:ln>
                              <a:noFill/>
                            </a:ln>
                          </wps:spPr>
                          <wps:txbx>
                            <w:txbxContent>
                              <w:p w14:paraId="665A8DDA" w14:textId="77777777" w:rsidR="00E07B4A" w:rsidRDefault="00E07B4A">
                                <w:pPr>
                                  <w:spacing w:after="0" w:line="240" w:lineRule="auto"/>
                                  <w:textDirection w:val="btLr"/>
                                </w:pPr>
                              </w:p>
                            </w:txbxContent>
                          </wps:txbx>
                          <wps:bodyPr spcFirstLastPara="1" wrap="square" lIns="91425" tIns="91425" rIns="91425" bIns="91425" anchor="ctr" anchorCtr="0">
                            <a:noAutofit/>
                          </wps:bodyPr>
                        </wps:wsp>
                        <wps:wsp>
                          <wps:cNvPr id="1378717001" name="Rectangle 1378717001"/>
                          <wps:cNvSpPr/>
                          <wps:spPr>
                            <a:xfrm>
                              <a:off x="377" y="360"/>
                              <a:ext cx="9252" cy="720"/>
                            </a:xfrm>
                            <a:prstGeom prst="rect">
                              <a:avLst/>
                            </a:prstGeom>
                            <a:noFill/>
                            <a:ln w="25400" cap="flat" cmpd="sng">
                              <a:solidFill>
                                <a:srgbClr val="444C6A"/>
                              </a:solidFill>
                              <a:prstDash val="solid"/>
                              <a:miter lim="800000"/>
                              <a:headEnd type="none" w="sm" len="sm"/>
                              <a:tailEnd type="none" w="sm" len="sm"/>
                            </a:ln>
                          </wps:spPr>
                          <wps:txbx>
                            <w:txbxContent>
                              <w:p w14:paraId="38604C11" w14:textId="77777777" w:rsidR="00E07B4A" w:rsidRDefault="00085F3A">
                                <w:pPr>
                                  <w:spacing w:after="0" w:line="240" w:lineRule="auto"/>
                                  <w:textDirection w:val="btLr"/>
                                </w:pPr>
                                <w:r>
                                  <w:rPr>
                                    <w:rFonts w:ascii="Kefa" w:eastAsia="Kefa" w:hAnsi="Kefa" w:cs="Kefa"/>
                                    <w:b/>
                                    <w:color w:val="444C6A"/>
                                    <w:sz w:val="36"/>
                                  </w:rPr>
                                  <w:t>2024 Gatlinburg Conference Poster Submission</w:t>
                                </w:r>
                              </w:p>
                            </w:txbxContent>
                          </wps:txbx>
                          <wps:bodyPr spcFirstLastPara="1" wrap="square" lIns="91425" tIns="45700" rIns="91425" bIns="45700" anchor="ctr" anchorCtr="0">
                            <a:noAutofit/>
                          </wps:bodyPr>
                        </wps:wsp>
                        <wps:wsp>
                          <wps:cNvPr id="1358571021" name="Rectangle 1358571021"/>
                          <wps:cNvSpPr/>
                          <wps:spPr>
                            <a:xfrm>
                              <a:off x="9763" y="360"/>
                              <a:ext cx="2102" cy="720"/>
                            </a:xfrm>
                            <a:prstGeom prst="rect">
                              <a:avLst/>
                            </a:prstGeom>
                            <a:solidFill>
                              <a:srgbClr val="76923C"/>
                            </a:solidFill>
                            <a:ln>
                              <a:noFill/>
                            </a:ln>
                          </wps:spPr>
                          <wps:txbx>
                            <w:txbxContent>
                              <w:p w14:paraId="66475283" w14:textId="77777777" w:rsidR="00E07B4A" w:rsidRDefault="00085F3A">
                                <w:pPr>
                                  <w:spacing w:after="0" w:line="240" w:lineRule="auto"/>
                                  <w:jc w:val="center"/>
                                  <w:textDirection w:val="btLr"/>
                                </w:pPr>
                                <w:r>
                                  <w:rPr>
                                    <w:rFonts w:ascii="Arial" w:eastAsia="Arial" w:hAnsi="Arial" w:cs="Arial"/>
                                    <w:b/>
                                    <w:color w:val="FFFFFF"/>
                                    <w:sz w:val="40"/>
                                  </w:rPr>
                                  <w:t>EXAMPLE</w:t>
                                </w:r>
                              </w:p>
                            </w:txbxContent>
                          </wps:txbx>
                          <wps:bodyPr spcFirstLastPara="1" wrap="square" lIns="91425" tIns="45700" rIns="91425" bIns="45700" anchor="ctr" anchorCtr="0">
                            <a:noAutofit/>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-20607</wp:posOffset>
              </wp:positionH>
              <wp:positionV relativeFrom="topMargin">
                <wp:posOffset>228963</wp:posOffset>
              </wp:positionV>
              <wp:extent cx="6669905" cy="457200"/>
              <wp:effectExtent b="0" l="0" r="0" t="0"/>
              <wp:wrapNone/>
              <wp:docPr id="22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69905" cy="457200"/>
                      </a:xfrm>
                      <a:prstGeom prst="rect"/>
                      <a:ln/>
                    </pic:spPr>
                  </pic:pic>
                </a:graphicData>
              </a:graphic>
            </wp:anchor>
          </w:drawing>
        </mc:Fallback>
      </mc:AlternateContent>
    </w:r>
  </w:p>
  <w:p w14:paraId="00000016" w14:textId="77777777" w:rsidR="00E07B4A" w:rsidRDefault="00E07B4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E07B4A" w:rsidRDefault="00E07B4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4A"/>
    <w:rsid w:val="00085F3A"/>
    <w:rsid w:val="007F7C15"/>
    <w:rsid w:val="00A93653"/>
    <w:rsid w:val="00DC27C1"/>
    <w:rsid w:val="00E0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C6F8"/>
  <w15:docId w15:val="{71421C9F-48EB-4A09-9426-FCE219F4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32593E"/>
    <w:rPr>
      <w:rFonts w:ascii="Times New Roman" w:hAnsi="Times New Roman" w:cs="Times New Roman"/>
      <w:sz w:val="24"/>
      <w:szCs w:val="24"/>
    </w:rPr>
  </w:style>
  <w:style w:type="character" w:styleId="Hyperlink">
    <w:name w:val="Hyperlink"/>
    <w:basedOn w:val="DefaultParagraphFont"/>
    <w:uiPriority w:val="99"/>
    <w:unhideWhenUsed/>
    <w:rsid w:val="0001383F"/>
    <w:rPr>
      <w:color w:val="0000FF" w:themeColor="hyperlink"/>
      <w:u w:val="single"/>
    </w:rPr>
  </w:style>
  <w:style w:type="character" w:styleId="UnresolvedMention">
    <w:name w:val="Unresolved Mention"/>
    <w:basedOn w:val="DefaultParagraphFont"/>
    <w:uiPriority w:val="99"/>
    <w:semiHidden/>
    <w:unhideWhenUsed/>
    <w:rsid w:val="0001383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E180F"/>
    <w:rPr>
      <w:sz w:val="16"/>
      <w:szCs w:val="16"/>
    </w:rPr>
  </w:style>
  <w:style w:type="paragraph" w:styleId="CommentText">
    <w:name w:val="annotation text"/>
    <w:basedOn w:val="Normal"/>
    <w:link w:val="CommentTextChar"/>
    <w:uiPriority w:val="99"/>
    <w:unhideWhenUsed/>
    <w:rsid w:val="003E180F"/>
    <w:pPr>
      <w:spacing w:line="240" w:lineRule="auto"/>
    </w:pPr>
    <w:rPr>
      <w:sz w:val="20"/>
      <w:szCs w:val="20"/>
    </w:rPr>
  </w:style>
  <w:style w:type="character" w:customStyle="1" w:styleId="CommentTextChar">
    <w:name w:val="Comment Text Char"/>
    <w:basedOn w:val="DefaultParagraphFont"/>
    <w:link w:val="CommentText"/>
    <w:uiPriority w:val="99"/>
    <w:rsid w:val="003E180F"/>
    <w:rPr>
      <w:sz w:val="20"/>
      <w:szCs w:val="20"/>
    </w:rPr>
  </w:style>
  <w:style w:type="paragraph" w:styleId="CommentSubject">
    <w:name w:val="annotation subject"/>
    <w:basedOn w:val="CommentText"/>
    <w:next w:val="CommentText"/>
    <w:link w:val="CommentSubjectChar"/>
    <w:uiPriority w:val="99"/>
    <w:semiHidden/>
    <w:unhideWhenUsed/>
    <w:rsid w:val="003E180F"/>
    <w:rPr>
      <w:b/>
      <w:bCs/>
    </w:rPr>
  </w:style>
  <w:style w:type="character" w:customStyle="1" w:styleId="CommentSubjectChar">
    <w:name w:val="Comment Subject Char"/>
    <w:basedOn w:val="CommentTextChar"/>
    <w:link w:val="CommentSubject"/>
    <w:uiPriority w:val="99"/>
    <w:semiHidden/>
    <w:rsid w:val="003E180F"/>
    <w:rPr>
      <w:b/>
      <w:bCs/>
      <w:sz w:val="20"/>
      <w:szCs w:val="20"/>
    </w:rPr>
  </w:style>
  <w:style w:type="paragraph" w:styleId="Revision">
    <w:name w:val="Revision"/>
    <w:hidden/>
    <w:uiPriority w:val="99"/>
    <w:semiHidden/>
    <w:rsid w:val="003E1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07/s40617-020-00413-2" TargetMode="External"/><Relationship Id="rId13" Type="http://schemas.openxmlformats.org/officeDocument/2006/relationships/hyperlink" Target="https://doi.org/10.1007/s11920-019-1113-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7/s10803-016-2782-9" TargetMode="External"/><Relationship Id="rId12" Type="http://schemas.openxmlformats.org/officeDocument/2006/relationships/hyperlink" Target="https://doi.org/10.1177/136236131987649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0803-019-0434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07/s10803-012-1535-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0803-015-2407-8" TargetMode="External"/><Relationship Id="rId14" Type="http://schemas.openxmlformats.org/officeDocument/2006/relationships/hyperlink" Target="https://doi.org/10.1007/s10803-021-05371-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Lt/KGZxZlKuP4PiYFifrcorfQ==">CgMxLjAaJwoBMBIiCiAIBCocCgtBQUFCWFVfWENwRRAIGgtBQUFCWFVfWENwRSKFAwoLQUFBQlhVX1hDcEUS2wIKC0FBQUJYVV9YQ3BFEgtBQUFCWFVfWENwRRowCgl0ZXh0L2h0bWwSI0hvdyB3YXMgZHlhZGljIGVuZ2FnZW1lbnQgbWVhc3VyZWQ/IjEKCnRleHQvcGxhaW4SI0hvdyB3YXMgZHlhZGljIGVuZ2FnZW1lbnQgbWVhc3VyZWQ/KkYKDUphc29uIEogV29sZmYaNS8vc3NsLmdzdGF0aWMuY29tL2RvY3MvY29tbW9uL2JsdWVfc2lsaG91ZXR0ZTk2LTAucG5nMODnhPGrMjjg54TxqzJySAoNSmFzb24gSiBXb2xmZho3CjUvL3NzbC5nc3RhdGljLmNvbS9kb2NzL2NvbW1vbi9ibHVlX3NpbGhvdWV0dGU5Ni0wLnBuZ3gAiAEBmgEGCAAQABgAqgElEiNIb3cgd2FzIGR5YWRpYyBlbmdhZ2VtZW50IG1lYXN1cmVkP7ABALgBARjg54TxqzIg4OeE8asyMABCCGtpeC5jbXQzOABqSwo2c3VnZ2VzdElkSW1wb3J0Yzc2YmFhYzEtN2E5OC00OTIwLTg4NzYtYWRiODJiY2NhMzZhXzM3EhFKZXNzaWNhIEogU2ltYWNla2pLCjZzdWdnZXN0SWRJbXBvcnRjNzZiYWFjMS03YTk4LTQ5MjAtODg3Ni1hZGI4MmJjY2EzNmFfNDISEUplc3NpY2EgSiBTaW1hY2VraksKNnN1Z2dlc3RJZEltcG9ydGM3NmJhYWMxLTdhOTgtNDkyMC04ODc2LWFkYjgyYmNjYTM2YV80MBIRSmVzc2ljYSBKIFNpbWFjZWtqSwo2c3VnZ2VzdElkSW1wb3J0Yzc2YmFhYzEtN2E5OC00OTIwLTg4NzYtYWRiODJiY2NhMzZhXzI2EhFKZXNzaWNhIEogU2ltYWNla2pLCjZzdWdnZXN0SWRJbXBvcnRjNzZiYWFjMS03YTk4LTQ5MjAtODg3Ni1hZGI4MmJjY2EzNmFfMjQSEUplc3NpY2EgSiBTaW1hY2VraksKNnN1Z2dlc3RJZEltcG9ydGM3NmJhYWMxLTdhOTgtNDkyMC04ODc2LWFkYjgyYmNjYTM2YV8xMhIRSmVzc2ljYSBKIFNpbWFjZWtqSwo2c3VnZ2VzdElkSW1wb3J0Yzc2YmFhYzEtN2E5OC00OTIwLTg4NzYtYWRiODJiY2NhMzZhXzE3EhFKZXNzaWNhIEogU2ltYWNla2pKCjVzdWdnZXN0SWRJbXBvcnRjNzZiYWFjMS03YTk4LTQ5MjAtODg3Ni1hZGI4MmJjY2EzNmFfNxIRSmVzc2ljYSBKIFNpbWFjZWtqSwo2c3VnZ2VzdElkSW1wb3J0Yzc2YmFhYzEtN2E5OC00OTIwLTg4NzYtYWRiODJiY2NhMzZhXzI1EhFKZXNzaWNhIEogU2ltYWNla2pLCjZzdWdnZXN0SWRJbXBvcnRjNzZiYWFjMS03YTk4LTQ5MjAtODg3Ni1hZGI4MmJjY2EzNmFfMTkSEUplc3NpY2EgSiBTaW1hY2VraksKNnN1Z2dlc3RJZEltcG9ydGM3NmJhYWMxLTdhOTgtNDkyMC04ODc2LWFkYjgyYmNjYTM2YV8xMBIRSmVzc2ljYSBKIFNpbWFjZWtqSwo2c3VnZ2VzdElkSW1wb3J0Yzc2YmFhYzEtN2E5OC00OTIwLTg4NzYtYWRiODJiY2NhMzZhXzIxEhFKZXNzaWNhIEogU2ltYWNla2pLCjZzdWdnZXN0SWRJbXBvcnRjNzZiYWFjMS03YTk4LTQ5MjAtODg3Ni1hZGI4MmJjY2EzNmFfMzkSEUplc3NpY2EgSiBTaW1hY2VrakoKNXN1Z2dlc3RJZEltcG9ydGM3NmJhYWMxLTdhOTgtNDkyMC04ODc2LWFkYjgyYmNjYTM2YV8yEhFKZXNzaWNhIEogU2ltYWNla2pLCjZzdWdnZXN0SWRJbXBvcnRjNzZiYWFjMS03YTk4LTQ5MjAtODg3Ni1hZGI4MmJjY2EzNmFfMjgSEUplc3NpY2EgSiBTaW1hY2VrakoKNXN1Z2dlc3RJZEltcG9ydGM3NmJhYWMxLTdhOTgtNDkyMC04ODc2LWFkYjgyYmNjYTM2YV84EhFKZXNzaWNhIEogU2ltYWNla2pKCjVzdWdnZXN0SWRJbXBvcnRjNzZiYWFjMS03YTk4LTQ5MjAtODg3Ni1hZGI4MmJjY2EzNmFfMRIRSmVzc2ljYSBKIFNpbWFjZWtqSwo2c3VnZ2VzdElkSW1wb3J0Yzc2YmFhYzEtN2E5OC00OTIwLTg4NzYtYWRiODJiY2NhMzZhXzE0EhFKZXNzaWNhIEogU2ltYWNla2pKCjVzdWdnZXN0SWRJbXBvcnRjNzZiYWFjMS03YTk4LTQ5MjAtODg3Ni1hZGI4MmJjY2EzNmFfMxIRSmVzc2ljYSBKIFNpbWFjZWtyITFZckZOUnRLMzNJM0pDX3hmOEZPSTRQYld1OTFVNjd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BSHELTON</dc:creator>
  <cp:lastModifiedBy>Hannah Beavis</cp:lastModifiedBy>
  <cp:revision>3</cp:revision>
  <dcterms:created xsi:type="dcterms:W3CDTF">2024-10-31T14:44:00Z</dcterms:created>
  <dcterms:modified xsi:type="dcterms:W3CDTF">2024-10-31T14:45:00Z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