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8A6C998" w:rsidR="003D6244" w:rsidRPr="009E00A7" w:rsidRDefault="003D6244" w:rsidP="003D6244">
      <w:pPr>
        <w:rPr>
          <w:sz w:val="20"/>
          <w:szCs w:val="20"/>
        </w:rPr>
      </w:pPr>
      <w:r w:rsidRPr="009E00A7">
        <w:rPr>
          <w:b/>
          <w:sz w:val="20"/>
          <w:szCs w:val="20"/>
        </w:rPr>
        <w:t>Title</w:t>
      </w:r>
      <w:r w:rsidRPr="009E00A7">
        <w:rPr>
          <w:sz w:val="20"/>
          <w:szCs w:val="20"/>
        </w:rPr>
        <w:t xml:space="preserve">: </w:t>
      </w:r>
      <w:r w:rsidR="009276FD">
        <w:rPr>
          <w:sz w:val="20"/>
          <w:szCs w:val="20"/>
        </w:rPr>
        <w:t xml:space="preserve">Predictors of service access </w:t>
      </w:r>
      <w:r w:rsidR="000750FB">
        <w:rPr>
          <w:sz w:val="20"/>
          <w:szCs w:val="20"/>
        </w:rPr>
        <w:t xml:space="preserve">from before to after high school for </w:t>
      </w:r>
      <w:r w:rsidR="009276FD">
        <w:rPr>
          <w:sz w:val="20"/>
          <w:szCs w:val="20"/>
        </w:rPr>
        <w:t xml:space="preserve">autistic youth </w:t>
      </w:r>
    </w:p>
    <w:p w14:paraId="7AC50371" w14:textId="521EF674" w:rsidR="003D6244" w:rsidRPr="008B1E03" w:rsidRDefault="08EB382D" w:rsidP="003D6244">
      <w:pPr>
        <w:rPr>
          <w:sz w:val="20"/>
          <w:szCs w:val="20"/>
          <w:vertAlign w:val="superscript"/>
        </w:rPr>
      </w:pPr>
      <w:r w:rsidRPr="66AA9E78">
        <w:rPr>
          <w:b/>
          <w:bCs/>
          <w:sz w:val="20"/>
          <w:szCs w:val="20"/>
        </w:rPr>
        <w:t>Authors</w:t>
      </w:r>
      <w:r w:rsidRPr="66AA9E78">
        <w:rPr>
          <w:sz w:val="20"/>
          <w:szCs w:val="20"/>
        </w:rPr>
        <w:t xml:space="preserve">: </w:t>
      </w:r>
      <w:r w:rsidR="72E150FD" w:rsidRPr="66AA9E78">
        <w:rPr>
          <w:sz w:val="20"/>
          <w:szCs w:val="20"/>
        </w:rPr>
        <w:t xml:space="preserve">Sophia </w:t>
      </w:r>
      <w:r w:rsidR="1B99FC11" w:rsidRPr="66AA9E78">
        <w:rPr>
          <w:sz w:val="20"/>
          <w:szCs w:val="20"/>
        </w:rPr>
        <w:t xml:space="preserve">B. </w:t>
      </w:r>
      <w:r w:rsidR="72E150FD" w:rsidRPr="66AA9E78">
        <w:rPr>
          <w:sz w:val="20"/>
          <w:szCs w:val="20"/>
        </w:rPr>
        <w:t>Mueller</w:t>
      </w:r>
      <w:r w:rsidRPr="66AA9E78">
        <w:rPr>
          <w:sz w:val="20"/>
          <w:szCs w:val="20"/>
          <w:vertAlign w:val="superscript"/>
        </w:rPr>
        <w:t>1</w:t>
      </w:r>
      <w:r w:rsidRPr="66AA9E78">
        <w:rPr>
          <w:sz w:val="20"/>
          <w:szCs w:val="20"/>
        </w:rPr>
        <w:t xml:space="preserve">, </w:t>
      </w:r>
      <w:r w:rsidR="72E150FD" w:rsidRPr="66AA9E78">
        <w:rPr>
          <w:sz w:val="20"/>
          <w:szCs w:val="20"/>
        </w:rPr>
        <w:t>Carly Moser, PhD</w:t>
      </w:r>
      <w:r w:rsidR="72E150FD" w:rsidRPr="66AA9E78">
        <w:rPr>
          <w:sz w:val="20"/>
          <w:szCs w:val="20"/>
          <w:vertAlign w:val="superscript"/>
        </w:rPr>
        <w:t>1</w:t>
      </w:r>
      <w:r w:rsidR="72E150FD" w:rsidRPr="66AA9E78">
        <w:rPr>
          <w:sz w:val="20"/>
          <w:szCs w:val="20"/>
        </w:rPr>
        <w:t>, Leann Smith DaWalt, PhD</w:t>
      </w:r>
      <w:r w:rsidR="2EDC0AB9" w:rsidRPr="66AA9E78">
        <w:rPr>
          <w:sz w:val="20"/>
          <w:szCs w:val="20"/>
          <w:vertAlign w:val="superscript"/>
        </w:rPr>
        <w:t xml:space="preserve"> </w:t>
      </w:r>
      <w:r w:rsidRPr="66AA9E78">
        <w:rPr>
          <w:sz w:val="20"/>
          <w:szCs w:val="20"/>
          <w:vertAlign w:val="superscript"/>
        </w:rPr>
        <w:t>2</w:t>
      </w:r>
      <w:r w:rsidRPr="66AA9E78">
        <w:rPr>
          <w:sz w:val="20"/>
          <w:szCs w:val="20"/>
        </w:rPr>
        <w:t xml:space="preserve">, </w:t>
      </w:r>
      <w:r w:rsidR="72E150FD" w:rsidRPr="66AA9E78">
        <w:rPr>
          <w:sz w:val="20"/>
          <w:szCs w:val="20"/>
        </w:rPr>
        <w:t>Meghan M. Burke, PhD</w:t>
      </w:r>
      <w:r w:rsidRPr="66AA9E78">
        <w:rPr>
          <w:sz w:val="20"/>
          <w:szCs w:val="20"/>
          <w:vertAlign w:val="superscript"/>
        </w:rPr>
        <w:t>3</w:t>
      </w:r>
      <w:r w:rsidR="72E150FD" w:rsidRPr="66AA9E78">
        <w:rPr>
          <w:sz w:val="20"/>
          <w:szCs w:val="20"/>
        </w:rPr>
        <w:t>, &amp; Julie Lounds Taylor, PhD</w:t>
      </w:r>
      <w:r w:rsidR="72E150FD" w:rsidRPr="66AA9E78">
        <w:rPr>
          <w:sz w:val="20"/>
          <w:szCs w:val="20"/>
          <w:vertAlign w:val="superscript"/>
        </w:rPr>
        <w:t>1</w:t>
      </w:r>
    </w:p>
    <w:p w14:paraId="77FE6733" w14:textId="1621319F" w:rsidR="00452576" w:rsidRDefault="08EB382D" w:rsidP="66AA9E78">
      <w:pPr>
        <w:rPr>
          <w:b/>
          <w:bCs/>
          <w:color w:val="000000"/>
          <w:sz w:val="20"/>
          <w:szCs w:val="20"/>
          <w:lang w:val="en-GB"/>
        </w:rPr>
      </w:pPr>
      <w:r w:rsidRPr="66AA9E78">
        <w:rPr>
          <w:b/>
          <w:bCs/>
          <w:sz w:val="20"/>
          <w:szCs w:val="20"/>
        </w:rPr>
        <w:t>Introduction</w:t>
      </w:r>
      <w:r w:rsidRPr="66AA9E78">
        <w:rPr>
          <w:sz w:val="20"/>
          <w:szCs w:val="20"/>
        </w:rPr>
        <w:t xml:space="preserve">: </w:t>
      </w:r>
      <w:r w:rsidR="1B99FC11" w:rsidRPr="66AA9E78">
        <w:rPr>
          <w:sz w:val="20"/>
          <w:szCs w:val="20"/>
        </w:rPr>
        <w:t xml:space="preserve">As autistic youth transition to adulthood, </w:t>
      </w:r>
      <w:r w:rsidR="00AB7DCB">
        <w:rPr>
          <w:sz w:val="20"/>
          <w:szCs w:val="20"/>
        </w:rPr>
        <w:t xml:space="preserve">they often experience </w:t>
      </w:r>
      <w:r w:rsidR="00B34B01">
        <w:rPr>
          <w:sz w:val="20"/>
          <w:szCs w:val="20"/>
        </w:rPr>
        <w:t>a “service cliff”</w:t>
      </w:r>
      <w:r w:rsidR="00B34B01" w:rsidRPr="00D43AFB">
        <w:rPr>
          <w:sz w:val="20"/>
          <w:szCs w:val="20"/>
          <w:vertAlign w:val="superscript"/>
        </w:rPr>
        <w:t>1</w:t>
      </w:r>
      <w:r w:rsidR="00B34B01">
        <w:rPr>
          <w:sz w:val="20"/>
          <w:szCs w:val="20"/>
        </w:rPr>
        <w:t xml:space="preserve"> during which they lose access to many services</w:t>
      </w:r>
      <w:r w:rsidR="1B99FC11" w:rsidRPr="66AA9E78">
        <w:rPr>
          <w:sz w:val="20"/>
          <w:szCs w:val="20"/>
        </w:rPr>
        <w:t>.</w:t>
      </w:r>
      <w:r w:rsidR="3DB7FDD6" w:rsidRPr="66AA9E78">
        <w:rPr>
          <w:sz w:val="20"/>
          <w:szCs w:val="20"/>
          <w:vertAlign w:val="superscript"/>
        </w:rPr>
        <w:t>2,3</w:t>
      </w:r>
      <w:r w:rsidR="00B34B01">
        <w:rPr>
          <w:sz w:val="20"/>
          <w:szCs w:val="20"/>
          <w:vertAlign w:val="superscript"/>
        </w:rPr>
        <w:t>,4</w:t>
      </w:r>
      <w:r w:rsidR="1B99FC11" w:rsidRPr="66AA9E78">
        <w:rPr>
          <w:sz w:val="20"/>
          <w:szCs w:val="20"/>
        </w:rPr>
        <w:t xml:space="preserve"> </w:t>
      </w:r>
      <w:r w:rsidR="00B34B01" w:rsidRPr="00B34B01">
        <w:rPr>
          <w:sz w:val="20"/>
          <w:szCs w:val="20"/>
        </w:rPr>
        <w:t xml:space="preserve">Autistic youth with intellectual disability </w:t>
      </w:r>
      <w:r w:rsidR="0029479E">
        <w:rPr>
          <w:sz w:val="20"/>
          <w:szCs w:val="20"/>
        </w:rPr>
        <w:t xml:space="preserve">(ID) </w:t>
      </w:r>
      <w:r w:rsidR="00B34B01" w:rsidRPr="00B34B01">
        <w:rPr>
          <w:sz w:val="20"/>
          <w:szCs w:val="20"/>
        </w:rPr>
        <w:t>may be particularly impacted by the service cliff, as they often receiv</w:t>
      </w:r>
      <w:r w:rsidR="00F1169B">
        <w:rPr>
          <w:sz w:val="20"/>
          <w:szCs w:val="20"/>
        </w:rPr>
        <w:t>e</w:t>
      </w:r>
      <w:r w:rsidR="00B34B01" w:rsidRPr="00B34B01">
        <w:rPr>
          <w:sz w:val="20"/>
          <w:szCs w:val="20"/>
        </w:rPr>
        <w:t xml:space="preserve"> more services in high school and have a challenging time accessing comparable services after high school</w:t>
      </w:r>
      <w:r w:rsidR="3DB7FDD6" w:rsidRPr="66AA9E78">
        <w:rPr>
          <w:sz w:val="20"/>
          <w:szCs w:val="20"/>
        </w:rPr>
        <w:t>.</w:t>
      </w:r>
      <w:r w:rsidR="003D791D">
        <w:rPr>
          <w:sz w:val="20"/>
          <w:szCs w:val="20"/>
          <w:vertAlign w:val="superscript"/>
        </w:rPr>
        <w:t>3</w:t>
      </w:r>
      <w:r w:rsidR="3DB7FDD6" w:rsidRPr="66AA9E78">
        <w:rPr>
          <w:sz w:val="20"/>
          <w:szCs w:val="20"/>
        </w:rPr>
        <w:t xml:space="preserve"> While previous studies have examined whether the effect of high school exit on service access differs </w:t>
      </w:r>
      <w:r w:rsidR="2155F556" w:rsidRPr="66AA9E78">
        <w:rPr>
          <w:sz w:val="20"/>
          <w:szCs w:val="20"/>
        </w:rPr>
        <w:t>for youth with and without ID</w:t>
      </w:r>
      <w:r w:rsidR="3DB7FDD6" w:rsidRPr="66AA9E78">
        <w:rPr>
          <w:sz w:val="20"/>
          <w:szCs w:val="20"/>
        </w:rPr>
        <w:t>,</w:t>
      </w:r>
      <w:r w:rsidR="003D791D">
        <w:rPr>
          <w:sz w:val="20"/>
          <w:szCs w:val="20"/>
          <w:vertAlign w:val="superscript"/>
        </w:rPr>
        <w:t>3</w:t>
      </w:r>
      <w:r w:rsidR="3DB7FDD6" w:rsidRPr="66AA9E78">
        <w:rPr>
          <w:sz w:val="20"/>
          <w:szCs w:val="20"/>
        </w:rPr>
        <w:t xml:space="preserve"> studies have not examined whether this differs between types of service, such as government programs </w:t>
      </w:r>
      <w:r w:rsidR="00680A64">
        <w:rPr>
          <w:sz w:val="20"/>
          <w:szCs w:val="20"/>
        </w:rPr>
        <w:t xml:space="preserve">that fund services </w:t>
      </w:r>
      <w:r w:rsidR="3DB7FDD6" w:rsidRPr="66AA9E78">
        <w:rPr>
          <w:sz w:val="20"/>
          <w:szCs w:val="20"/>
        </w:rPr>
        <w:t xml:space="preserve">versus </w:t>
      </w:r>
      <w:r w:rsidR="00680A64">
        <w:rPr>
          <w:sz w:val="20"/>
          <w:szCs w:val="20"/>
        </w:rPr>
        <w:t xml:space="preserve">the </w:t>
      </w:r>
      <w:r w:rsidR="3DB7FDD6" w:rsidRPr="66AA9E78">
        <w:rPr>
          <w:sz w:val="20"/>
          <w:szCs w:val="20"/>
        </w:rPr>
        <w:t>direct services</w:t>
      </w:r>
      <w:r w:rsidR="00680A64">
        <w:rPr>
          <w:sz w:val="20"/>
          <w:szCs w:val="20"/>
        </w:rPr>
        <w:t xml:space="preserve"> themselves</w:t>
      </w:r>
      <w:r w:rsidR="3DB7FDD6" w:rsidRPr="66AA9E78">
        <w:rPr>
          <w:sz w:val="20"/>
          <w:szCs w:val="20"/>
        </w:rPr>
        <w:t xml:space="preserve">. </w:t>
      </w:r>
      <w:r w:rsidR="1B99FC11" w:rsidRPr="66AA9E78">
        <w:rPr>
          <w:color w:val="000000" w:themeColor="text1"/>
          <w:sz w:val="20"/>
          <w:szCs w:val="20"/>
        </w:rPr>
        <w:t>To address this gap, the current study examined whether the effect of high school exit on number of services and unmet service needs for government programs and direct services differed for autistic youth with and without ID.</w:t>
      </w:r>
      <w:r w:rsidR="6A3BB853" w:rsidRPr="66AA9E78">
        <w:rPr>
          <w:b/>
          <w:bCs/>
          <w:color w:val="000000" w:themeColor="text1"/>
          <w:sz w:val="20"/>
          <w:szCs w:val="20"/>
          <w:lang w:val="en-GB"/>
        </w:rPr>
        <w:t xml:space="preserve"> </w:t>
      </w:r>
    </w:p>
    <w:p w14:paraId="7AC50373" w14:textId="24913B60" w:rsidR="003D6244" w:rsidRPr="009276FD" w:rsidRDefault="08EB382D" w:rsidP="66AA9E78">
      <w:pPr>
        <w:rPr>
          <w:color w:val="000000"/>
          <w:sz w:val="20"/>
          <w:szCs w:val="20"/>
          <w:lang w:val="en-GB"/>
        </w:rPr>
      </w:pPr>
      <w:r w:rsidRPr="66AA9E78">
        <w:rPr>
          <w:b/>
          <w:bCs/>
          <w:color w:val="000000" w:themeColor="text1"/>
          <w:sz w:val="20"/>
          <w:szCs w:val="20"/>
          <w:lang w:val="en-GB"/>
        </w:rPr>
        <w:t>Metho</w:t>
      </w:r>
      <w:r w:rsidR="72E150FD" w:rsidRPr="66AA9E78">
        <w:rPr>
          <w:b/>
          <w:bCs/>
          <w:color w:val="000000" w:themeColor="text1"/>
          <w:sz w:val="20"/>
          <w:szCs w:val="20"/>
          <w:lang w:val="en-GB"/>
        </w:rPr>
        <w:t xml:space="preserve">d: </w:t>
      </w:r>
      <w:r w:rsidR="72E150FD" w:rsidRPr="66AA9E78">
        <w:rPr>
          <w:color w:val="000000" w:themeColor="text1"/>
          <w:sz w:val="20"/>
          <w:szCs w:val="20"/>
          <w:lang w:val="en-GB"/>
        </w:rPr>
        <w:t xml:space="preserve">The current study </w:t>
      </w:r>
      <w:r w:rsidR="72E150FD" w:rsidRPr="66AA9E78">
        <w:rPr>
          <w:color w:val="000000" w:themeColor="text1"/>
          <w:sz w:val="20"/>
          <w:szCs w:val="20"/>
        </w:rPr>
        <w:t>analy</w:t>
      </w:r>
      <w:r w:rsidR="3B04FA67" w:rsidRPr="66AA9E78">
        <w:rPr>
          <w:color w:val="000000" w:themeColor="text1"/>
          <w:sz w:val="20"/>
          <w:szCs w:val="20"/>
        </w:rPr>
        <w:t>z</w:t>
      </w:r>
      <w:r w:rsidR="72E150FD" w:rsidRPr="66AA9E78">
        <w:rPr>
          <w:color w:val="000000" w:themeColor="text1"/>
          <w:sz w:val="20"/>
          <w:szCs w:val="20"/>
        </w:rPr>
        <w:t>ed</w:t>
      </w:r>
      <w:r w:rsidR="72E150FD" w:rsidRPr="66AA9E78">
        <w:rPr>
          <w:color w:val="000000" w:themeColor="text1"/>
          <w:sz w:val="20"/>
          <w:szCs w:val="20"/>
          <w:lang w:val="en-GB"/>
        </w:rPr>
        <w:t xml:space="preserve"> data from five timepoints of a randomized control trial. Participants included 166 caregivers of autistic youth</w:t>
      </w:r>
      <w:r w:rsidR="2155F556" w:rsidRPr="66AA9E78">
        <w:rPr>
          <w:color w:val="000000" w:themeColor="text1"/>
          <w:sz w:val="20"/>
          <w:szCs w:val="20"/>
          <w:lang w:val="en-GB"/>
        </w:rPr>
        <w:t xml:space="preserve"> </w:t>
      </w:r>
      <w:r w:rsidR="72E150FD" w:rsidRPr="66AA9E78">
        <w:rPr>
          <w:color w:val="000000" w:themeColor="text1"/>
          <w:sz w:val="20"/>
          <w:szCs w:val="20"/>
          <w:lang w:val="en-GB"/>
        </w:rPr>
        <w:t xml:space="preserve">in three states (IL, TN, WI). For each timepoint, caregivers </w:t>
      </w:r>
      <w:r w:rsidR="000C58F8">
        <w:rPr>
          <w:color w:val="000000" w:themeColor="text1"/>
          <w:sz w:val="20"/>
          <w:szCs w:val="20"/>
          <w:lang w:val="en-GB"/>
        </w:rPr>
        <w:t>reported if their youth</w:t>
      </w:r>
      <w:r w:rsidR="72E150FD" w:rsidRPr="66AA9E78">
        <w:rPr>
          <w:color w:val="000000" w:themeColor="text1"/>
          <w:sz w:val="20"/>
          <w:szCs w:val="20"/>
          <w:lang w:val="en-GB"/>
        </w:rPr>
        <w:t xml:space="preserve"> </w:t>
      </w:r>
      <w:r w:rsidR="1B99FC11" w:rsidRPr="66AA9E78">
        <w:rPr>
          <w:color w:val="000000" w:themeColor="text1"/>
          <w:sz w:val="20"/>
          <w:szCs w:val="20"/>
          <w:lang w:val="en-GB"/>
        </w:rPr>
        <w:t>was</w:t>
      </w:r>
      <w:r w:rsidR="72E150FD" w:rsidRPr="66AA9E78">
        <w:rPr>
          <w:color w:val="000000" w:themeColor="text1"/>
          <w:sz w:val="20"/>
          <w:szCs w:val="20"/>
          <w:lang w:val="en-GB"/>
        </w:rPr>
        <w:t xml:space="preserve"> receiving 9 government programs (e.g., Medicaid</w:t>
      </w:r>
      <w:r w:rsidR="00680A64">
        <w:rPr>
          <w:color w:val="000000" w:themeColor="text1"/>
          <w:sz w:val="20"/>
          <w:szCs w:val="20"/>
          <w:lang w:val="en-GB"/>
        </w:rPr>
        <w:t>, SSI</w:t>
      </w:r>
      <w:r w:rsidR="72E150FD" w:rsidRPr="66AA9E78">
        <w:rPr>
          <w:color w:val="000000" w:themeColor="text1"/>
          <w:sz w:val="20"/>
          <w:szCs w:val="20"/>
          <w:lang w:val="en-GB"/>
        </w:rPr>
        <w:t xml:space="preserve">) and 20 direct services (e.g., psychological </w:t>
      </w:r>
      <w:r w:rsidR="66801705" w:rsidRPr="66AA9E78">
        <w:rPr>
          <w:color w:val="000000" w:themeColor="text1"/>
          <w:sz w:val="20"/>
          <w:szCs w:val="20"/>
          <w:lang w:val="en-GB"/>
        </w:rPr>
        <w:t>counselling</w:t>
      </w:r>
      <w:r w:rsidR="00680A64">
        <w:rPr>
          <w:color w:val="000000" w:themeColor="text1"/>
          <w:sz w:val="20"/>
          <w:szCs w:val="20"/>
          <w:lang w:val="en-GB"/>
        </w:rPr>
        <w:t>, transportation</w:t>
      </w:r>
      <w:r w:rsidR="72E150FD" w:rsidRPr="66AA9E78">
        <w:rPr>
          <w:color w:val="000000" w:themeColor="text1"/>
          <w:sz w:val="20"/>
          <w:szCs w:val="20"/>
          <w:lang w:val="en-GB"/>
        </w:rPr>
        <w:t xml:space="preserve">). </w:t>
      </w:r>
      <w:r w:rsidR="50672192" w:rsidRPr="66AA9E78">
        <w:rPr>
          <w:color w:val="000000" w:themeColor="text1"/>
          <w:sz w:val="20"/>
          <w:szCs w:val="20"/>
          <w:lang w:val="en-GB"/>
        </w:rPr>
        <w:t>The n</w:t>
      </w:r>
      <w:r w:rsidR="72E150FD" w:rsidRPr="66AA9E78">
        <w:rPr>
          <w:color w:val="000000" w:themeColor="text1"/>
          <w:sz w:val="20"/>
          <w:szCs w:val="20"/>
          <w:lang w:val="en-GB"/>
        </w:rPr>
        <w:t>umber of services</w:t>
      </w:r>
      <w:r w:rsidR="000C58F8">
        <w:rPr>
          <w:color w:val="000000" w:themeColor="text1"/>
          <w:sz w:val="20"/>
          <w:szCs w:val="20"/>
          <w:lang w:val="en-GB"/>
        </w:rPr>
        <w:t xml:space="preserve"> received</w:t>
      </w:r>
      <w:r w:rsidR="72E150FD" w:rsidRPr="66AA9E78">
        <w:rPr>
          <w:color w:val="000000" w:themeColor="text1"/>
          <w:sz w:val="20"/>
          <w:szCs w:val="20"/>
          <w:lang w:val="en-GB"/>
        </w:rPr>
        <w:t xml:space="preserve"> </w:t>
      </w:r>
      <w:r w:rsidR="008A425F">
        <w:rPr>
          <w:color w:val="000000" w:themeColor="text1"/>
          <w:sz w:val="20"/>
          <w:szCs w:val="20"/>
          <w:lang w:val="en-GB"/>
        </w:rPr>
        <w:t>was summed at each timepoint</w:t>
      </w:r>
      <w:r w:rsidR="000E2098">
        <w:rPr>
          <w:color w:val="000000" w:themeColor="text1"/>
          <w:sz w:val="20"/>
          <w:szCs w:val="20"/>
          <w:lang w:val="en-GB"/>
        </w:rPr>
        <w:t xml:space="preserve"> for government programs and direct services</w:t>
      </w:r>
      <w:r w:rsidR="72E150FD" w:rsidRPr="66AA9E78">
        <w:rPr>
          <w:color w:val="000000" w:themeColor="text1"/>
          <w:sz w:val="20"/>
          <w:szCs w:val="20"/>
          <w:lang w:val="en-GB"/>
        </w:rPr>
        <w:t xml:space="preserve">. </w:t>
      </w:r>
      <w:r w:rsidR="000C58F8">
        <w:rPr>
          <w:color w:val="000000" w:themeColor="text1"/>
          <w:sz w:val="20"/>
          <w:szCs w:val="20"/>
          <w:lang w:val="en-GB"/>
        </w:rPr>
        <w:t>I</w:t>
      </w:r>
      <w:r w:rsidR="72E150FD" w:rsidRPr="66AA9E78">
        <w:rPr>
          <w:color w:val="000000" w:themeColor="text1"/>
          <w:sz w:val="20"/>
          <w:szCs w:val="20"/>
          <w:lang w:val="en-GB"/>
        </w:rPr>
        <w:t>f caregivers indicat</w:t>
      </w:r>
      <w:r w:rsidR="2155F556" w:rsidRPr="66AA9E78">
        <w:rPr>
          <w:color w:val="000000" w:themeColor="text1"/>
          <w:sz w:val="20"/>
          <w:szCs w:val="20"/>
          <w:lang w:val="en-GB"/>
        </w:rPr>
        <w:t>ed</w:t>
      </w:r>
      <w:r w:rsidR="72E150FD" w:rsidRPr="66AA9E78">
        <w:rPr>
          <w:color w:val="000000" w:themeColor="text1"/>
          <w:sz w:val="20"/>
          <w:szCs w:val="20"/>
          <w:lang w:val="en-GB"/>
        </w:rPr>
        <w:t xml:space="preserve"> the youth was not receiving a service that was needed, </w:t>
      </w:r>
      <w:r w:rsidR="008A425F">
        <w:rPr>
          <w:color w:val="000000" w:themeColor="text1"/>
          <w:sz w:val="20"/>
          <w:szCs w:val="20"/>
          <w:lang w:val="en-GB"/>
        </w:rPr>
        <w:t>it</w:t>
      </w:r>
      <w:r w:rsidR="008A425F" w:rsidRPr="66AA9E78">
        <w:rPr>
          <w:color w:val="000000" w:themeColor="text1"/>
          <w:sz w:val="20"/>
          <w:szCs w:val="20"/>
          <w:lang w:val="en-GB"/>
        </w:rPr>
        <w:t xml:space="preserve"> </w:t>
      </w:r>
      <w:r w:rsidR="72E150FD" w:rsidRPr="66AA9E78">
        <w:rPr>
          <w:color w:val="000000" w:themeColor="text1"/>
          <w:sz w:val="20"/>
          <w:szCs w:val="20"/>
          <w:lang w:val="en-GB"/>
        </w:rPr>
        <w:t xml:space="preserve">was </w:t>
      </w:r>
      <w:r w:rsidR="008A425F">
        <w:rPr>
          <w:color w:val="000000" w:themeColor="text1"/>
          <w:sz w:val="20"/>
          <w:szCs w:val="20"/>
          <w:lang w:val="en-GB"/>
        </w:rPr>
        <w:t xml:space="preserve">coded as </w:t>
      </w:r>
      <w:r w:rsidR="72E150FD" w:rsidRPr="66AA9E78">
        <w:rPr>
          <w:color w:val="000000" w:themeColor="text1"/>
          <w:sz w:val="20"/>
          <w:szCs w:val="20"/>
          <w:lang w:val="en-GB"/>
        </w:rPr>
        <w:t xml:space="preserve">an unmet need. </w:t>
      </w:r>
      <w:r w:rsidR="5370A941" w:rsidRPr="66AA9E78">
        <w:rPr>
          <w:color w:val="000000" w:themeColor="text1"/>
          <w:sz w:val="20"/>
          <w:szCs w:val="20"/>
          <w:lang w:val="en-GB"/>
        </w:rPr>
        <w:t xml:space="preserve">Four multilevel models (number of services and unmet needs for government programs and direct services) were </w:t>
      </w:r>
      <w:r w:rsidR="67E0FA42" w:rsidRPr="66AA9E78">
        <w:rPr>
          <w:color w:val="000000" w:themeColor="text1"/>
          <w:sz w:val="20"/>
          <w:szCs w:val="20"/>
          <w:lang w:val="en-GB"/>
        </w:rPr>
        <w:t>analysed</w:t>
      </w:r>
      <w:r w:rsidR="5370A941" w:rsidRPr="66AA9E78">
        <w:rPr>
          <w:color w:val="000000" w:themeColor="text1"/>
          <w:sz w:val="20"/>
          <w:szCs w:val="20"/>
          <w:lang w:val="en-GB"/>
        </w:rPr>
        <w:t xml:space="preserve"> to determine whether the effect of high school exit on service access differed between youth with and without ID. Time</w:t>
      </w:r>
      <w:r w:rsidR="00680A64">
        <w:rPr>
          <w:color w:val="000000" w:themeColor="text1"/>
          <w:sz w:val="20"/>
          <w:szCs w:val="20"/>
          <w:lang w:val="en-GB"/>
        </w:rPr>
        <w:t xml:space="preserve"> since </w:t>
      </w:r>
      <w:r w:rsidR="008A425F">
        <w:rPr>
          <w:color w:val="000000" w:themeColor="text1"/>
          <w:sz w:val="20"/>
          <w:szCs w:val="20"/>
          <w:lang w:val="en-GB"/>
        </w:rPr>
        <w:t>baseline</w:t>
      </w:r>
      <w:r w:rsidR="000C58F8">
        <w:rPr>
          <w:color w:val="000000" w:themeColor="text1"/>
          <w:sz w:val="20"/>
          <w:szCs w:val="20"/>
          <w:lang w:val="en-GB"/>
        </w:rPr>
        <w:t>,</w:t>
      </w:r>
      <w:r w:rsidR="5370A941" w:rsidRPr="66AA9E78">
        <w:rPr>
          <w:color w:val="000000" w:themeColor="text1"/>
          <w:sz w:val="20"/>
          <w:szCs w:val="20"/>
          <w:lang w:val="en-GB"/>
        </w:rPr>
        <w:t xml:space="preserve"> high school exit, and </w:t>
      </w:r>
      <w:r w:rsidR="008A425F">
        <w:rPr>
          <w:color w:val="000000" w:themeColor="text1"/>
          <w:sz w:val="20"/>
          <w:szCs w:val="20"/>
          <w:lang w:val="en-GB"/>
        </w:rPr>
        <w:t>if</w:t>
      </w:r>
      <w:r w:rsidR="008A425F" w:rsidRPr="66AA9E78">
        <w:rPr>
          <w:color w:val="000000" w:themeColor="text1"/>
          <w:sz w:val="20"/>
          <w:szCs w:val="20"/>
          <w:lang w:val="en-GB"/>
        </w:rPr>
        <w:t xml:space="preserve"> </w:t>
      </w:r>
      <w:r w:rsidR="5370A941" w:rsidRPr="66AA9E78">
        <w:rPr>
          <w:color w:val="000000" w:themeColor="text1"/>
          <w:sz w:val="20"/>
          <w:szCs w:val="20"/>
          <w:lang w:val="en-GB"/>
        </w:rPr>
        <w:t>the caregiver received the intervention w</w:t>
      </w:r>
      <w:r w:rsidR="23A53B2E" w:rsidRPr="66AA9E78">
        <w:rPr>
          <w:color w:val="000000" w:themeColor="text1"/>
          <w:sz w:val="20"/>
          <w:szCs w:val="20"/>
          <w:lang w:val="en-GB"/>
        </w:rPr>
        <w:t>ere</w:t>
      </w:r>
      <w:r w:rsidR="5370A941" w:rsidRPr="66AA9E78">
        <w:rPr>
          <w:color w:val="000000" w:themeColor="text1"/>
          <w:sz w:val="20"/>
          <w:szCs w:val="20"/>
          <w:lang w:val="en-GB"/>
        </w:rPr>
        <w:t xml:space="preserve"> time-varying predictors. Person-level predictors</w:t>
      </w:r>
      <w:r w:rsidR="028933FB" w:rsidRPr="66AA9E78">
        <w:rPr>
          <w:color w:val="000000" w:themeColor="text1"/>
          <w:sz w:val="20"/>
          <w:szCs w:val="20"/>
          <w:lang w:val="en-GB"/>
        </w:rPr>
        <w:t xml:space="preserve"> of the random intercept</w:t>
      </w:r>
      <w:r w:rsidR="5370A941" w:rsidRPr="66AA9E78">
        <w:rPr>
          <w:color w:val="000000" w:themeColor="text1"/>
          <w:sz w:val="20"/>
          <w:szCs w:val="20"/>
          <w:lang w:val="en-GB"/>
        </w:rPr>
        <w:t xml:space="preserve"> were </w:t>
      </w:r>
      <w:r w:rsidR="028933FB" w:rsidRPr="66AA9E78">
        <w:rPr>
          <w:color w:val="000000" w:themeColor="text1"/>
          <w:sz w:val="20"/>
          <w:szCs w:val="20"/>
          <w:lang w:val="en-GB"/>
        </w:rPr>
        <w:t>youth</w:t>
      </w:r>
      <w:r w:rsidR="5370A941" w:rsidRPr="66AA9E78">
        <w:rPr>
          <w:color w:val="000000" w:themeColor="text1"/>
          <w:sz w:val="20"/>
          <w:szCs w:val="20"/>
          <w:lang w:val="en-GB"/>
        </w:rPr>
        <w:t xml:space="preserve"> </w:t>
      </w:r>
      <w:r w:rsidR="00B34B01">
        <w:rPr>
          <w:color w:val="000000" w:themeColor="text1"/>
          <w:sz w:val="20"/>
          <w:szCs w:val="20"/>
          <w:lang w:val="en-GB"/>
        </w:rPr>
        <w:t>race/ethnicity</w:t>
      </w:r>
      <w:r w:rsidR="5370A941" w:rsidRPr="66AA9E78">
        <w:rPr>
          <w:color w:val="000000" w:themeColor="text1"/>
          <w:sz w:val="20"/>
          <w:szCs w:val="20"/>
          <w:lang w:val="en-GB"/>
        </w:rPr>
        <w:t xml:space="preserve"> and </w:t>
      </w:r>
      <w:r w:rsidR="028933FB" w:rsidRPr="66AA9E78">
        <w:rPr>
          <w:color w:val="000000" w:themeColor="text1"/>
          <w:sz w:val="20"/>
          <w:szCs w:val="20"/>
          <w:lang w:val="en-GB"/>
        </w:rPr>
        <w:t xml:space="preserve">household income. </w:t>
      </w:r>
      <w:r w:rsidR="2155F556" w:rsidRPr="66AA9E78">
        <w:rPr>
          <w:color w:val="000000" w:themeColor="text1"/>
          <w:sz w:val="20"/>
          <w:szCs w:val="20"/>
          <w:lang w:val="en-GB"/>
        </w:rPr>
        <w:t>Whether youth had ID</w:t>
      </w:r>
      <w:r w:rsidR="028933FB" w:rsidRPr="66AA9E78">
        <w:rPr>
          <w:color w:val="000000" w:themeColor="text1"/>
          <w:sz w:val="20"/>
          <w:szCs w:val="20"/>
          <w:lang w:val="en-GB"/>
        </w:rPr>
        <w:t xml:space="preserve"> was a person-level predictor of the random intercept and high school exit</w:t>
      </w:r>
      <w:r w:rsidR="2155F556" w:rsidRPr="66AA9E78">
        <w:rPr>
          <w:color w:val="000000" w:themeColor="text1"/>
          <w:sz w:val="20"/>
          <w:szCs w:val="20"/>
          <w:lang w:val="en-GB"/>
        </w:rPr>
        <w:t xml:space="preserve"> </w:t>
      </w:r>
      <w:r w:rsidR="000E2098">
        <w:rPr>
          <w:color w:val="000000" w:themeColor="text1"/>
          <w:sz w:val="20"/>
          <w:szCs w:val="20"/>
          <w:lang w:val="en-GB"/>
        </w:rPr>
        <w:t>effect</w:t>
      </w:r>
      <w:r w:rsidR="1B99FC11" w:rsidRPr="66AA9E78">
        <w:rPr>
          <w:color w:val="000000" w:themeColor="text1"/>
          <w:sz w:val="20"/>
          <w:szCs w:val="20"/>
          <w:lang w:val="en-GB"/>
        </w:rPr>
        <w:t>.</w:t>
      </w:r>
    </w:p>
    <w:p w14:paraId="35EE9100" w14:textId="3A70BC03" w:rsidR="003D791D"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0E2098" w:rsidRPr="00B30A98">
        <w:rPr>
          <w:color w:val="000000"/>
          <w:sz w:val="20"/>
          <w:szCs w:val="20"/>
          <w:u w:val="single"/>
          <w:lang w:val="en-GB"/>
        </w:rPr>
        <w:t>Government Programs</w:t>
      </w:r>
      <w:r w:rsidR="000E2098">
        <w:rPr>
          <w:color w:val="000000"/>
          <w:sz w:val="20"/>
          <w:szCs w:val="20"/>
          <w:lang w:val="en-GB"/>
        </w:rPr>
        <w:t xml:space="preserve">. </w:t>
      </w:r>
      <w:r w:rsidR="00AB7DCB">
        <w:rPr>
          <w:color w:val="000000"/>
          <w:sz w:val="20"/>
          <w:szCs w:val="20"/>
        </w:rPr>
        <w:t xml:space="preserve">Youth with </w:t>
      </w:r>
      <w:r w:rsidR="0029479E">
        <w:rPr>
          <w:color w:val="000000"/>
          <w:sz w:val="20"/>
          <w:szCs w:val="20"/>
        </w:rPr>
        <w:t>ID</w:t>
      </w:r>
      <w:r w:rsidR="00AB7DCB">
        <w:rPr>
          <w:color w:val="000000"/>
          <w:sz w:val="20"/>
          <w:szCs w:val="20"/>
        </w:rPr>
        <w:t xml:space="preserve"> received </w:t>
      </w:r>
      <w:r w:rsidR="000E2098">
        <w:rPr>
          <w:color w:val="000000"/>
          <w:sz w:val="20"/>
          <w:szCs w:val="20"/>
        </w:rPr>
        <w:t>more</w:t>
      </w:r>
      <w:r w:rsidR="00AB7DCB">
        <w:rPr>
          <w:color w:val="000000"/>
          <w:sz w:val="20"/>
          <w:szCs w:val="20"/>
        </w:rPr>
        <w:t xml:space="preserve"> government programs </w:t>
      </w:r>
      <w:r w:rsidR="000E2098">
        <w:rPr>
          <w:color w:val="000000"/>
          <w:sz w:val="20"/>
          <w:szCs w:val="20"/>
        </w:rPr>
        <w:t xml:space="preserve">relative to those without ID </w:t>
      </w:r>
      <w:r w:rsidR="00AB7DCB">
        <w:rPr>
          <w:color w:val="000000"/>
          <w:sz w:val="20"/>
          <w:szCs w:val="20"/>
        </w:rPr>
        <w:t>(b=</w:t>
      </w:r>
      <w:r w:rsidR="00862D95">
        <w:rPr>
          <w:color w:val="000000"/>
          <w:sz w:val="20"/>
          <w:szCs w:val="20"/>
        </w:rPr>
        <w:t>0.61</w:t>
      </w:r>
      <w:r w:rsidR="00AB7DCB">
        <w:rPr>
          <w:color w:val="000000"/>
          <w:sz w:val="20"/>
          <w:szCs w:val="20"/>
        </w:rPr>
        <w:t>, SE=</w:t>
      </w:r>
      <w:r w:rsidR="00862D95">
        <w:rPr>
          <w:color w:val="000000"/>
          <w:sz w:val="20"/>
          <w:szCs w:val="20"/>
        </w:rPr>
        <w:t>0.31</w:t>
      </w:r>
      <w:r w:rsidR="00AB7DCB">
        <w:rPr>
          <w:color w:val="000000"/>
          <w:sz w:val="20"/>
          <w:szCs w:val="20"/>
        </w:rPr>
        <w:t>, p=</w:t>
      </w:r>
      <w:r w:rsidR="00862D95">
        <w:rPr>
          <w:color w:val="000000"/>
          <w:sz w:val="20"/>
          <w:szCs w:val="20"/>
        </w:rPr>
        <w:t>.049</w:t>
      </w:r>
      <w:r w:rsidR="00AB7DCB">
        <w:rPr>
          <w:color w:val="000000"/>
          <w:sz w:val="20"/>
          <w:szCs w:val="20"/>
        </w:rPr>
        <w:t xml:space="preserve">). </w:t>
      </w:r>
      <w:r w:rsidR="000E2098">
        <w:rPr>
          <w:color w:val="000000"/>
          <w:sz w:val="20"/>
          <w:szCs w:val="20"/>
        </w:rPr>
        <w:t>T</w:t>
      </w:r>
      <w:r w:rsidR="00CD608F">
        <w:rPr>
          <w:color w:val="000000"/>
          <w:sz w:val="20"/>
          <w:szCs w:val="20"/>
        </w:rPr>
        <w:t xml:space="preserve">he cross-level interaction between ID status and high school exit was significant (b=0.84, </w:t>
      </w:r>
      <w:r w:rsidR="00EB3206">
        <w:rPr>
          <w:color w:val="000000"/>
          <w:sz w:val="20"/>
          <w:szCs w:val="20"/>
        </w:rPr>
        <w:t xml:space="preserve">SE=0.25, p=.001). The simple slope </w:t>
      </w:r>
      <w:r w:rsidR="00F851D1">
        <w:rPr>
          <w:color w:val="000000"/>
          <w:sz w:val="20"/>
          <w:szCs w:val="20"/>
        </w:rPr>
        <w:t>was significant for youth with ID (b=1.02, SE=0.21, p&lt;.01), but not for youth without ID (b=0.18, SE=0.16, p=.28)</w:t>
      </w:r>
      <w:r w:rsidR="003D791D">
        <w:rPr>
          <w:color w:val="000000"/>
          <w:sz w:val="20"/>
          <w:szCs w:val="20"/>
        </w:rPr>
        <w:t xml:space="preserve">, indicating youth with ID </w:t>
      </w:r>
      <w:r w:rsidR="000E2098">
        <w:rPr>
          <w:color w:val="000000"/>
          <w:sz w:val="20"/>
          <w:szCs w:val="20"/>
        </w:rPr>
        <w:t xml:space="preserve">(but not those without ID) </w:t>
      </w:r>
      <w:r w:rsidR="003D791D">
        <w:rPr>
          <w:color w:val="000000"/>
          <w:sz w:val="20"/>
          <w:szCs w:val="20"/>
        </w:rPr>
        <w:t>had a significant increase in number of government programs after leaving high school</w:t>
      </w:r>
      <w:r w:rsidR="00B16D3A">
        <w:rPr>
          <w:color w:val="000000"/>
          <w:sz w:val="20"/>
          <w:szCs w:val="20"/>
        </w:rPr>
        <w:t>.</w:t>
      </w:r>
      <w:r w:rsidR="003D791D" w:rsidRPr="003D791D">
        <w:rPr>
          <w:color w:val="000000"/>
          <w:sz w:val="20"/>
          <w:szCs w:val="20"/>
        </w:rPr>
        <w:t xml:space="preserve"> </w:t>
      </w:r>
      <w:r w:rsidR="003D791D">
        <w:rPr>
          <w:color w:val="000000"/>
          <w:sz w:val="20"/>
          <w:szCs w:val="20"/>
        </w:rPr>
        <w:t>However,</w:t>
      </w:r>
      <w:r w:rsidR="00AB7DCB">
        <w:rPr>
          <w:color w:val="000000"/>
          <w:sz w:val="20"/>
          <w:szCs w:val="20"/>
        </w:rPr>
        <w:t xml:space="preserve"> having </w:t>
      </w:r>
      <w:r w:rsidR="0029479E">
        <w:rPr>
          <w:color w:val="000000"/>
          <w:sz w:val="20"/>
          <w:szCs w:val="20"/>
        </w:rPr>
        <w:t>ID</w:t>
      </w:r>
      <w:r w:rsidR="00AB7DCB">
        <w:rPr>
          <w:color w:val="000000"/>
          <w:sz w:val="20"/>
          <w:szCs w:val="20"/>
        </w:rPr>
        <w:t xml:space="preserve"> did not predict unmet government program needs (b=</w:t>
      </w:r>
      <w:r w:rsidR="00862D95">
        <w:rPr>
          <w:color w:val="000000"/>
          <w:sz w:val="20"/>
          <w:szCs w:val="20"/>
        </w:rPr>
        <w:t>0.10</w:t>
      </w:r>
      <w:r w:rsidR="00AB7DCB">
        <w:rPr>
          <w:color w:val="000000"/>
          <w:sz w:val="20"/>
          <w:szCs w:val="20"/>
        </w:rPr>
        <w:t>, SE=</w:t>
      </w:r>
      <w:r w:rsidR="00862D95">
        <w:rPr>
          <w:color w:val="000000"/>
          <w:sz w:val="20"/>
          <w:szCs w:val="20"/>
        </w:rPr>
        <w:t>0.23</w:t>
      </w:r>
      <w:r w:rsidR="00AB7DCB">
        <w:rPr>
          <w:color w:val="000000"/>
          <w:sz w:val="20"/>
          <w:szCs w:val="20"/>
        </w:rPr>
        <w:t>, p=</w:t>
      </w:r>
      <w:r w:rsidR="00862D95">
        <w:rPr>
          <w:color w:val="000000"/>
          <w:sz w:val="20"/>
          <w:szCs w:val="20"/>
        </w:rPr>
        <w:t>.682</w:t>
      </w:r>
      <w:r w:rsidR="00AB7DCB">
        <w:rPr>
          <w:color w:val="000000"/>
          <w:sz w:val="20"/>
          <w:szCs w:val="20"/>
        </w:rPr>
        <w:t>), and</w:t>
      </w:r>
      <w:r w:rsidR="003D791D">
        <w:rPr>
          <w:color w:val="000000"/>
          <w:sz w:val="20"/>
          <w:szCs w:val="20"/>
        </w:rPr>
        <w:t xml:space="preserve"> the effect of high school exit on unmet government program needs </w:t>
      </w:r>
      <w:r w:rsidR="00AB7DCB">
        <w:rPr>
          <w:color w:val="000000"/>
          <w:sz w:val="20"/>
          <w:szCs w:val="20"/>
        </w:rPr>
        <w:t>(b=</w:t>
      </w:r>
      <w:r w:rsidR="00862D95">
        <w:rPr>
          <w:color w:val="000000"/>
          <w:sz w:val="20"/>
          <w:szCs w:val="20"/>
        </w:rPr>
        <w:t>-0.13</w:t>
      </w:r>
      <w:r w:rsidR="00AB7DCB">
        <w:rPr>
          <w:color w:val="000000"/>
          <w:sz w:val="20"/>
          <w:szCs w:val="20"/>
        </w:rPr>
        <w:t>, SE=</w:t>
      </w:r>
      <w:r w:rsidR="00862D95">
        <w:rPr>
          <w:color w:val="000000"/>
          <w:sz w:val="20"/>
          <w:szCs w:val="20"/>
        </w:rPr>
        <w:t>0.28</w:t>
      </w:r>
      <w:r w:rsidR="00AB7DCB">
        <w:rPr>
          <w:color w:val="000000"/>
          <w:sz w:val="20"/>
          <w:szCs w:val="20"/>
        </w:rPr>
        <w:t>, p=</w:t>
      </w:r>
      <w:r w:rsidR="00862D95">
        <w:rPr>
          <w:color w:val="000000"/>
          <w:sz w:val="20"/>
          <w:szCs w:val="20"/>
        </w:rPr>
        <w:t>.649</w:t>
      </w:r>
      <w:r w:rsidR="00AB7DCB">
        <w:rPr>
          <w:color w:val="000000"/>
          <w:sz w:val="20"/>
          <w:szCs w:val="20"/>
        </w:rPr>
        <w:t>)</w:t>
      </w:r>
      <w:r w:rsidR="003D791D">
        <w:rPr>
          <w:color w:val="000000"/>
          <w:sz w:val="20"/>
          <w:szCs w:val="20"/>
        </w:rPr>
        <w:t>.</w:t>
      </w:r>
      <w:r w:rsidR="00AB7DCB">
        <w:rPr>
          <w:color w:val="000000"/>
          <w:sz w:val="20"/>
          <w:szCs w:val="20"/>
        </w:rPr>
        <w:t xml:space="preserve"> Regarding other </w:t>
      </w:r>
      <w:r w:rsidR="00F1169B">
        <w:rPr>
          <w:color w:val="000000"/>
          <w:sz w:val="20"/>
          <w:szCs w:val="20"/>
        </w:rPr>
        <w:t xml:space="preserve">person-level </w:t>
      </w:r>
      <w:r w:rsidR="00AB7DCB">
        <w:rPr>
          <w:color w:val="000000"/>
          <w:sz w:val="20"/>
          <w:szCs w:val="20"/>
        </w:rPr>
        <w:t xml:space="preserve">predictors, youth who identified as racial or ethnic minorities reported </w:t>
      </w:r>
      <w:r w:rsidR="00862D95">
        <w:rPr>
          <w:color w:val="000000"/>
          <w:sz w:val="20"/>
          <w:szCs w:val="20"/>
        </w:rPr>
        <w:t xml:space="preserve">marginally fewer government programs (b=0.20, SE=0.30, p=.085) and </w:t>
      </w:r>
      <w:r w:rsidR="00AB7DCB">
        <w:rPr>
          <w:color w:val="000000"/>
          <w:sz w:val="20"/>
          <w:szCs w:val="20"/>
        </w:rPr>
        <w:t xml:space="preserve">more unmet government program needs </w:t>
      </w:r>
      <w:r w:rsidR="00B16D3A">
        <w:rPr>
          <w:color w:val="000000"/>
          <w:sz w:val="20"/>
          <w:szCs w:val="20"/>
        </w:rPr>
        <w:t xml:space="preserve">at baseline </w:t>
      </w:r>
      <w:r w:rsidR="00AB7DCB">
        <w:rPr>
          <w:color w:val="000000"/>
          <w:sz w:val="20"/>
          <w:szCs w:val="20"/>
        </w:rPr>
        <w:t>(b=</w:t>
      </w:r>
      <w:r w:rsidR="00862D95">
        <w:rPr>
          <w:color w:val="000000"/>
          <w:sz w:val="20"/>
          <w:szCs w:val="20"/>
        </w:rPr>
        <w:t>0.58</w:t>
      </w:r>
      <w:r w:rsidR="00AB7DCB">
        <w:rPr>
          <w:color w:val="000000"/>
          <w:sz w:val="20"/>
          <w:szCs w:val="20"/>
        </w:rPr>
        <w:t>, SE=</w:t>
      </w:r>
      <w:r w:rsidR="00862D95">
        <w:rPr>
          <w:color w:val="000000"/>
          <w:sz w:val="20"/>
          <w:szCs w:val="20"/>
        </w:rPr>
        <w:t>0.18</w:t>
      </w:r>
      <w:r w:rsidR="00AB7DCB">
        <w:rPr>
          <w:color w:val="000000"/>
          <w:sz w:val="20"/>
          <w:szCs w:val="20"/>
        </w:rPr>
        <w:t>, p=</w:t>
      </w:r>
      <w:r w:rsidR="00862D95">
        <w:rPr>
          <w:color w:val="000000"/>
          <w:sz w:val="20"/>
          <w:szCs w:val="20"/>
        </w:rPr>
        <w:t>.002</w:t>
      </w:r>
      <w:r w:rsidR="00AB7DCB">
        <w:rPr>
          <w:color w:val="000000"/>
          <w:sz w:val="20"/>
          <w:szCs w:val="20"/>
        </w:rPr>
        <w:t>)</w:t>
      </w:r>
      <w:r w:rsidR="00862D95">
        <w:rPr>
          <w:color w:val="000000"/>
          <w:sz w:val="20"/>
          <w:szCs w:val="20"/>
        </w:rPr>
        <w:t>. Additionally, youth in households with below state-median income had marginally higher unmet government program needs (b=0.35, SE=0.19, p=.068).</w:t>
      </w:r>
    </w:p>
    <w:p w14:paraId="7AC50374" w14:textId="7FE32991" w:rsidR="003D6244" w:rsidRPr="00B111EB" w:rsidRDefault="000750FB" w:rsidP="003D6244">
      <w:pPr>
        <w:rPr>
          <w:rFonts w:cs="Calibri"/>
          <w:iCs/>
          <w:color w:val="000000"/>
          <w:sz w:val="20"/>
          <w:szCs w:val="20"/>
          <w:lang w:val="en-GB"/>
        </w:rPr>
      </w:pPr>
      <w:r w:rsidRPr="00B30A98">
        <w:rPr>
          <w:color w:val="000000"/>
          <w:sz w:val="20"/>
          <w:szCs w:val="20"/>
          <w:u w:val="single"/>
        </w:rPr>
        <w:t>Direct services</w:t>
      </w:r>
      <w:r>
        <w:rPr>
          <w:color w:val="000000"/>
          <w:sz w:val="20"/>
          <w:szCs w:val="20"/>
        </w:rPr>
        <w:t xml:space="preserve">. </w:t>
      </w:r>
      <w:r w:rsidR="003D791D">
        <w:rPr>
          <w:color w:val="000000"/>
          <w:sz w:val="20"/>
          <w:szCs w:val="20"/>
        </w:rPr>
        <w:t>T</w:t>
      </w:r>
      <w:r w:rsidR="00F851D1">
        <w:rPr>
          <w:color w:val="000000"/>
          <w:sz w:val="20"/>
          <w:szCs w:val="20"/>
        </w:rPr>
        <w:t xml:space="preserve">he interaction of high school exit and having ID on </w:t>
      </w:r>
      <w:r w:rsidR="00EB3206">
        <w:rPr>
          <w:color w:val="000000"/>
          <w:sz w:val="20"/>
          <w:szCs w:val="20"/>
        </w:rPr>
        <w:t>unmet direct service needs</w:t>
      </w:r>
      <w:r w:rsidR="00F851D1">
        <w:rPr>
          <w:color w:val="000000"/>
          <w:sz w:val="20"/>
          <w:szCs w:val="20"/>
        </w:rPr>
        <w:t xml:space="preserve"> was significant</w:t>
      </w:r>
      <w:r w:rsidR="00EB3206">
        <w:rPr>
          <w:color w:val="000000"/>
          <w:sz w:val="20"/>
          <w:szCs w:val="20"/>
        </w:rPr>
        <w:t xml:space="preserve"> (b=0.8</w:t>
      </w:r>
      <w:r w:rsidR="00862D95">
        <w:rPr>
          <w:color w:val="000000"/>
          <w:sz w:val="20"/>
          <w:szCs w:val="20"/>
        </w:rPr>
        <w:t>2</w:t>
      </w:r>
      <w:r w:rsidR="00EB3206">
        <w:rPr>
          <w:color w:val="000000"/>
          <w:sz w:val="20"/>
          <w:szCs w:val="20"/>
        </w:rPr>
        <w:t>, SE=0.3</w:t>
      </w:r>
      <w:r w:rsidR="00862D95">
        <w:rPr>
          <w:color w:val="000000"/>
          <w:sz w:val="20"/>
          <w:szCs w:val="20"/>
        </w:rPr>
        <w:t>9</w:t>
      </w:r>
      <w:r w:rsidR="00EB3206">
        <w:rPr>
          <w:color w:val="000000"/>
          <w:sz w:val="20"/>
          <w:szCs w:val="20"/>
        </w:rPr>
        <w:t xml:space="preserve">, p=.038). </w:t>
      </w:r>
      <w:r w:rsidR="001E5E96">
        <w:rPr>
          <w:color w:val="000000"/>
          <w:sz w:val="20"/>
          <w:szCs w:val="20"/>
        </w:rPr>
        <w:t>T</w:t>
      </w:r>
      <w:r w:rsidR="00F851D1">
        <w:rPr>
          <w:color w:val="000000"/>
          <w:sz w:val="20"/>
          <w:szCs w:val="20"/>
        </w:rPr>
        <w:t>he simple slope was significant for youth with ID (b=1.19, SE=0.34, p&lt;.01), but not for youth without ID (b=0.33, SE=0.28, p=.24)</w:t>
      </w:r>
      <w:r w:rsidR="00B16D3A">
        <w:rPr>
          <w:color w:val="000000"/>
          <w:sz w:val="20"/>
          <w:szCs w:val="20"/>
        </w:rPr>
        <w:t>;</w:t>
      </w:r>
      <w:r w:rsidR="00F851D1">
        <w:rPr>
          <w:color w:val="000000"/>
          <w:sz w:val="20"/>
          <w:szCs w:val="20"/>
        </w:rPr>
        <w:t xml:space="preserve"> </w:t>
      </w:r>
      <w:r w:rsidR="00B16D3A">
        <w:rPr>
          <w:color w:val="000000"/>
          <w:sz w:val="20"/>
          <w:szCs w:val="20"/>
        </w:rPr>
        <w:t>t</w:t>
      </w:r>
      <w:r w:rsidR="003D791D">
        <w:rPr>
          <w:color w:val="000000"/>
          <w:sz w:val="20"/>
          <w:szCs w:val="20"/>
        </w:rPr>
        <w:t xml:space="preserve">his suggests for autistic youth with ID, unmet direct service needs increase post-high school. </w:t>
      </w:r>
      <w:r w:rsidR="00F1169B">
        <w:rPr>
          <w:color w:val="000000"/>
          <w:sz w:val="20"/>
          <w:szCs w:val="20"/>
        </w:rPr>
        <w:t>Additionally, youth who identified as racial or ethnic minorities (b=</w:t>
      </w:r>
      <w:r w:rsidR="00862D95">
        <w:rPr>
          <w:color w:val="000000"/>
          <w:sz w:val="20"/>
          <w:szCs w:val="20"/>
        </w:rPr>
        <w:t>0.91</w:t>
      </w:r>
      <w:r w:rsidR="00F1169B">
        <w:rPr>
          <w:color w:val="000000"/>
          <w:sz w:val="20"/>
          <w:szCs w:val="20"/>
        </w:rPr>
        <w:t>, SE=</w:t>
      </w:r>
      <w:r w:rsidR="00862D95">
        <w:rPr>
          <w:color w:val="000000"/>
          <w:sz w:val="20"/>
          <w:szCs w:val="20"/>
        </w:rPr>
        <w:t>0.32</w:t>
      </w:r>
      <w:r w:rsidR="00F1169B">
        <w:rPr>
          <w:color w:val="000000"/>
          <w:sz w:val="20"/>
          <w:szCs w:val="20"/>
        </w:rPr>
        <w:t>, p=</w:t>
      </w:r>
      <w:r w:rsidR="00862D95">
        <w:rPr>
          <w:color w:val="000000"/>
          <w:sz w:val="20"/>
          <w:szCs w:val="20"/>
        </w:rPr>
        <w:t>.005</w:t>
      </w:r>
      <w:r w:rsidR="00F1169B">
        <w:rPr>
          <w:color w:val="000000"/>
          <w:sz w:val="20"/>
          <w:szCs w:val="20"/>
        </w:rPr>
        <w:t>) and youth from households with income below the state median experienced higher unmet direct service needs (b=</w:t>
      </w:r>
      <w:r w:rsidR="00D43AFB">
        <w:rPr>
          <w:color w:val="000000"/>
          <w:sz w:val="20"/>
          <w:szCs w:val="20"/>
        </w:rPr>
        <w:t>0.73</w:t>
      </w:r>
      <w:r w:rsidR="00F1169B">
        <w:rPr>
          <w:color w:val="000000"/>
          <w:sz w:val="20"/>
          <w:szCs w:val="20"/>
        </w:rPr>
        <w:t>, SE=</w:t>
      </w:r>
      <w:r w:rsidR="00D43AFB">
        <w:rPr>
          <w:color w:val="000000"/>
          <w:sz w:val="20"/>
          <w:szCs w:val="20"/>
        </w:rPr>
        <w:t>0.34</w:t>
      </w:r>
      <w:r w:rsidR="00F1169B">
        <w:rPr>
          <w:color w:val="000000"/>
          <w:sz w:val="20"/>
          <w:szCs w:val="20"/>
        </w:rPr>
        <w:t>, p=</w:t>
      </w:r>
      <w:r w:rsidR="00D43AFB">
        <w:rPr>
          <w:color w:val="000000"/>
          <w:sz w:val="20"/>
          <w:szCs w:val="20"/>
        </w:rPr>
        <w:t>.032</w:t>
      </w:r>
      <w:r w:rsidR="00F1169B">
        <w:rPr>
          <w:color w:val="000000"/>
          <w:sz w:val="20"/>
          <w:szCs w:val="20"/>
        </w:rPr>
        <w:t xml:space="preserve">). </w:t>
      </w:r>
      <w:r w:rsidR="00CD224D">
        <w:rPr>
          <w:color w:val="000000"/>
          <w:sz w:val="20"/>
          <w:szCs w:val="20"/>
        </w:rPr>
        <w:t>The</w:t>
      </w:r>
      <w:r w:rsidR="00EB3206">
        <w:rPr>
          <w:color w:val="000000"/>
          <w:sz w:val="20"/>
          <w:szCs w:val="20"/>
        </w:rPr>
        <w:t xml:space="preserve"> interaction was marginally significant for number of direct services</w:t>
      </w:r>
      <w:r w:rsidR="003D791D">
        <w:rPr>
          <w:color w:val="000000"/>
          <w:sz w:val="20"/>
          <w:szCs w:val="20"/>
        </w:rPr>
        <w:t>, indicating number of direct services decreased after leaving high school</w:t>
      </w:r>
      <w:r w:rsidR="006C7076">
        <w:rPr>
          <w:color w:val="000000"/>
          <w:sz w:val="20"/>
          <w:szCs w:val="20"/>
        </w:rPr>
        <w:t xml:space="preserve"> for youth with ID (but not youth without ID)</w:t>
      </w:r>
      <w:r w:rsidR="00EB3206">
        <w:rPr>
          <w:color w:val="000000"/>
          <w:sz w:val="20"/>
          <w:szCs w:val="20"/>
        </w:rPr>
        <w:t xml:space="preserve"> (b=-0.71, SE=0.40, p=.080). </w:t>
      </w:r>
    </w:p>
    <w:p w14:paraId="7AC50375" w14:textId="30CA42D2" w:rsidR="003D6244" w:rsidRPr="008A425F" w:rsidRDefault="08EB382D" w:rsidP="003D6244">
      <w:pPr>
        <w:rPr>
          <w:b/>
          <w:bCs/>
          <w:color w:val="000000" w:themeColor="text1"/>
          <w:sz w:val="20"/>
          <w:szCs w:val="20"/>
        </w:rPr>
      </w:pPr>
      <w:r w:rsidRPr="66AA9E78">
        <w:rPr>
          <w:b/>
          <w:bCs/>
          <w:color w:val="000000" w:themeColor="text1"/>
          <w:sz w:val="20"/>
          <w:szCs w:val="20"/>
          <w:lang w:val="en-GB"/>
        </w:rPr>
        <w:t>Discussion:</w:t>
      </w:r>
      <w:r w:rsidR="008A425F">
        <w:rPr>
          <w:b/>
          <w:bCs/>
          <w:color w:val="000000" w:themeColor="text1"/>
          <w:sz w:val="20"/>
          <w:szCs w:val="20"/>
          <w:lang w:val="en-GB"/>
        </w:rPr>
        <w:t xml:space="preserve"> </w:t>
      </w:r>
      <w:r w:rsidR="008A425F" w:rsidRPr="008A425F">
        <w:rPr>
          <w:color w:val="000000" w:themeColor="text1"/>
          <w:sz w:val="20"/>
          <w:szCs w:val="20"/>
        </w:rPr>
        <w:t>Results indicated that the effect of high school exit on service access differed for autistic youth with and without ID. Specifically, youth with ID received more government programs after exiting high school, whereas there was no high school exit effect on government programs for youth without ID</w:t>
      </w:r>
      <w:r w:rsidR="006C7076">
        <w:rPr>
          <w:color w:val="000000" w:themeColor="text1"/>
          <w:sz w:val="20"/>
          <w:szCs w:val="20"/>
        </w:rPr>
        <w:t>. Aligning with prior research</w:t>
      </w:r>
      <w:r w:rsidR="006C7076" w:rsidRPr="006C7076">
        <w:rPr>
          <w:color w:val="000000" w:themeColor="text1"/>
          <w:sz w:val="20"/>
          <w:szCs w:val="20"/>
          <w:vertAlign w:val="superscript"/>
        </w:rPr>
        <w:t>3</w:t>
      </w:r>
      <w:r w:rsidR="006C7076">
        <w:rPr>
          <w:color w:val="000000" w:themeColor="text1"/>
          <w:sz w:val="20"/>
          <w:szCs w:val="20"/>
        </w:rPr>
        <w:t xml:space="preserve">, </w:t>
      </w:r>
      <w:r w:rsidR="00A545A6" w:rsidRPr="00A545A6">
        <w:rPr>
          <w:color w:val="000000" w:themeColor="text1"/>
          <w:sz w:val="20"/>
          <w:szCs w:val="20"/>
        </w:rPr>
        <w:t xml:space="preserve">youth with ID (but not those without ID) had </w:t>
      </w:r>
      <w:r w:rsidR="00D37B78">
        <w:rPr>
          <w:color w:val="000000" w:themeColor="text1"/>
          <w:sz w:val="20"/>
          <w:szCs w:val="20"/>
        </w:rPr>
        <w:t xml:space="preserve">a greater </w:t>
      </w:r>
      <w:r w:rsidR="00A545A6" w:rsidRPr="00A545A6">
        <w:rPr>
          <w:color w:val="000000" w:themeColor="text1"/>
          <w:sz w:val="20"/>
          <w:szCs w:val="20"/>
        </w:rPr>
        <w:t>decrease</w:t>
      </w:r>
      <w:r w:rsidR="00D37B78">
        <w:rPr>
          <w:color w:val="000000" w:themeColor="text1"/>
          <w:sz w:val="20"/>
          <w:szCs w:val="20"/>
        </w:rPr>
        <w:t xml:space="preserve"> in</w:t>
      </w:r>
      <w:r w:rsidR="00A545A6" w:rsidRPr="00A545A6">
        <w:rPr>
          <w:color w:val="000000" w:themeColor="text1"/>
          <w:sz w:val="20"/>
          <w:szCs w:val="20"/>
        </w:rPr>
        <w:t xml:space="preserve"> access to direct services after high school exit</w:t>
      </w:r>
      <w:r w:rsidR="00A545A6">
        <w:rPr>
          <w:color w:val="000000" w:themeColor="text1"/>
          <w:sz w:val="20"/>
          <w:szCs w:val="20"/>
        </w:rPr>
        <w:t xml:space="preserve">. </w:t>
      </w:r>
      <w:r w:rsidR="0029479E">
        <w:rPr>
          <w:color w:val="000000" w:themeColor="text1"/>
          <w:sz w:val="20"/>
          <w:szCs w:val="20"/>
        </w:rPr>
        <w:t>Additionally, results suggest other subgroups of autistic adults (racial and ethnic minorities, youth from households with lower income) are at a heightened risk for unmet service</w:t>
      </w:r>
      <w:r w:rsidR="00B16D3A">
        <w:rPr>
          <w:color w:val="000000" w:themeColor="text1"/>
          <w:sz w:val="20"/>
          <w:szCs w:val="20"/>
        </w:rPr>
        <w:t xml:space="preserve"> need</w:t>
      </w:r>
      <w:r w:rsidR="0029479E">
        <w:rPr>
          <w:color w:val="000000" w:themeColor="text1"/>
          <w:sz w:val="20"/>
          <w:szCs w:val="20"/>
        </w:rPr>
        <w:t xml:space="preserve">s. </w:t>
      </w:r>
      <w:r w:rsidR="1B99FC11" w:rsidRPr="66AA9E78">
        <w:rPr>
          <w:color w:val="000000" w:themeColor="text1"/>
          <w:sz w:val="20"/>
          <w:szCs w:val="20"/>
        </w:rPr>
        <w:t>Together, these findings suggest that an increase in government programs post-high school</w:t>
      </w:r>
      <w:r w:rsidR="5C1F3532" w:rsidRPr="66AA9E78">
        <w:rPr>
          <w:color w:val="000000" w:themeColor="text1"/>
          <w:sz w:val="20"/>
          <w:szCs w:val="20"/>
        </w:rPr>
        <w:t xml:space="preserve"> may</w:t>
      </w:r>
      <w:r w:rsidR="1B99FC11" w:rsidRPr="66AA9E78">
        <w:rPr>
          <w:color w:val="000000" w:themeColor="text1"/>
          <w:sz w:val="20"/>
          <w:szCs w:val="20"/>
        </w:rPr>
        <w:t xml:space="preserve"> not translate to more direct services for autistic youth with ID</w:t>
      </w:r>
      <w:r w:rsidR="4E9BB7E4" w:rsidRPr="66AA9E78">
        <w:rPr>
          <w:color w:val="000000" w:themeColor="text1"/>
          <w:sz w:val="20"/>
          <w:szCs w:val="20"/>
        </w:rPr>
        <w:t>. A future area of research is whether person- and time-varying characteristics predict change over time for government programs and direct services.</w:t>
      </w:r>
    </w:p>
    <w:p w14:paraId="7AC50376" w14:textId="76699467" w:rsidR="003D6244" w:rsidRDefault="003D6244" w:rsidP="003D6244">
      <w:pPr>
        <w:rPr>
          <w:color w:val="000000"/>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414C8A5B" w14:textId="37F57ACE" w:rsidR="003D791D" w:rsidRPr="0029479E" w:rsidRDefault="003D791D" w:rsidP="00024F25">
      <w:pPr>
        <w:rPr>
          <w:rFonts w:ascii="Calibri" w:eastAsia="Calibri" w:hAnsi="Calibri" w:cs="Calibri"/>
          <w:sz w:val="20"/>
          <w:szCs w:val="20"/>
        </w:rPr>
      </w:pPr>
      <w:r>
        <w:rPr>
          <w:color w:val="000000" w:themeColor="text1"/>
          <w:sz w:val="20"/>
          <w:szCs w:val="20"/>
        </w:rPr>
        <w:t>1</w:t>
      </w:r>
      <w:r w:rsidRPr="66AA9E78">
        <w:rPr>
          <w:color w:val="000000" w:themeColor="text1"/>
          <w:sz w:val="20"/>
          <w:szCs w:val="20"/>
        </w:rPr>
        <w:t xml:space="preserve">. Ishler, K. J., Biegel, D. E., Wang, F., Olgac, T., Lytle, S., Miner, S., Edguer, M., &amp; Kaplan, R. (2022). Service use among transition-aged youth with Autism Spectrum Disorder. </w:t>
      </w:r>
      <w:r w:rsidRPr="66AA9E78">
        <w:rPr>
          <w:i/>
          <w:iCs/>
          <w:color w:val="000000" w:themeColor="text1"/>
          <w:sz w:val="20"/>
          <w:szCs w:val="20"/>
        </w:rPr>
        <w:t>Journal of Autism and Developmental Disorders, 52</w:t>
      </w:r>
      <w:r w:rsidRPr="66AA9E78">
        <w:rPr>
          <w:color w:val="000000" w:themeColor="text1"/>
          <w:sz w:val="20"/>
          <w:szCs w:val="20"/>
        </w:rPr>
        <w:t xml:space="preserve">, 1051-1065. </w:t>
      </w:r>
      <w:hyperlink r:id="rId10" w:history="1">
        <w:r w:rsidRPr="66AA9E78">
          <w:rPr>
            <w:rStyle w:val="Hyperlink"/>
            <w:rFonts w:eastAsiaTheme="minorEastAsia"/>
            <w:sz w:val="20"/>
            <w:szCs w:val="20"/>
          </w:rPr>
          <w:t>https://doi.org/10.1007/s10803-021-04999-6</w:t>
        </w:r>
      </w:hyperlink>
      <w:r w:rsidRPr="66AA9E78">
        <w:rPr>
          <w:rFonts w:eastAsiaTheme="minorEastAsia"/>
          <w:color w:val="222222"/>
          <w:sz w:val="20"/>
          <w:szCs w:val="20"/>
        </w:rPr>
        <w:t xml:space="preserve"> </w:t>
      </w:r>
    </w:p>
    <w:p w14:paraId="79DFE04B" w14:textId="19DE8D2B" w:rsidR="00024F25" w:rsidRPr="00024F25" w:rsidRDefault="003D791D" w:rsidP="00024F25">
      <w:pPr>
        <w:rPr>
          <w:color w:val="000000"/>
          <w:sz w:val="20"/>
          <w:szCs w:val="20"/>
        </w:rPr>
      </w:pPr>
      <w:r>
        <w:rPr>
          <w:color w:val="000000"/>
          <w:sz w:val="20"/>
          <w:szCs w:val="20"/>
        </w:rPr>
        <w:t>2</w:t>
      </w:r>
      <w:r w:rsidR="00024F25" w:rsidRPr="00024F25">
        <w:rPr>
          <w:color w:val="000000"/>
          <w:sz w:val="20"/>
          <w:szCs w:val="20"/>
        </w:rPr>
        <w:t>. Anderson, C., Lupfer, A., &amp; Shattuck, P. T. (2018). Barriers to receipt of services for young adults with autism. </w:t>
      </w:r>
      <w:r w:rsidR="00024F25" w:rsidRPr="00024F25">
        <w:rPr>
          <w:i/>
          <w:iCs/>
          <w:color w:val="000000"/>
          <w:sz w:val="20"/>
          <w:szCs w:val="20"/>
        </w:rPr>
        <w:t>Pediatrics, 141</w:t>
      </w:r>
      <w:r w:rsidR="00024F25" w:rsidRPr="00024F25">
        <w:rPr>
          <w:color w:val="000000"/>
          <w:sz w:val="20"/>
          <w:szCs w:val="20"/>
        </w:rPr>
        <w:t>(Supplement 4), S300 – S305.</w:t>
      </w:r>
      <w:hyperlink r:id="rId11" w:history="1">
        <w:r w:rsidR="00024F25" w:rsidRPr="00024F25">
          <w:rPr>
            <w:rStyle w:val="Hyperlink"/>
            <w:sz w:val="20"/>
            <w:szCs w:val="20"/>
          </w:rPr>
          <w:t> </w:t>
        </w:r>
      </w:hyperlink>
      <w:hyperlink r:id="rId12" w:history="1">
        <w:r w:rsidR="00024F25" w:rsidRPr="00024F25">
          <w:rPr>
            <w:rStyle w:val="Hyperlink"/>
            <w:sz w:val="20"/>
            <w:szCs w:val="20"/>
          </w:rPr>
          <w:t>https://doi.org/10.1542/peds.2016-4300G</w:t>
        </w:r>
      </w:hyperlink>
      <w:r w:rsidR="00024F25" w:rsidRPr="00024F25">
        <w:rPr>
          <w:color w:val="000000"/>
          <w:sz w:val="20"/>
          <w:szCs w:val="20"/>
        </w:rPr>
        <w:t> </w:t>
      </w:r>
    </w:p>
    <w:p w14:paraId="1CAC94C2" w14:textId="58672506" w:rsidR="00024F25" w:rsidRPr="00024F25" w:rsidRDefault="003D791D" w:rsidP="00024F25">
      <w:pPr>
        <w:rPr>
          <w:color w:val="000000"/>
          <w:sz w:val="20"/>
          <w:szCs w:val="20"/>
        </w:rPr>
      </w:pPr>
      <w:r>
        <w:rPr>
          <w:color w:val="000000"/>
          <w:sz w:val="20"/>
          <w:szCs w:val="20"/>
        </w:rPr>
        <w:t>3</w:t>
      </w:r>
      <w:r w:rsidR="00024F25" w:rsidRPr="00024F25">
        <w:rPr>
          <w:color w:val="000000"/>
          <w:sz w:val="20"/>
          <w:szCs w:val="20"/>
        </w:rPr>
        <w:t>. Laxman, D. J., Taylor, J. L., DaWalt, L. S., Greenberg, J. S., &amp; Mailick, M. R. (2019). Loss in services precedes high school exit for teens with autism spectrum disorder: A longitudinal study. </w:t>
      </w:r>
      <w:r w:rsidR="00024F25" w:rsidRPr="00024F25">
        <w:rPr>
          <w:i/>
          <w:iCs/>
          <w:color w:val="000000"/>
          <w:sz w:val="20"/>
          <w:szCs w:val="20"/>
        </w:rPr>
        <w:t>Autism Research, 12</w:t>
      </w:r>
      <w:r w:rsidR="00024F25" w:rsidRPr="00024F25">
        <w:rPr>
          <w:color w:val="000000"/>
          <w:sz w:val="20"/>
          <w:szCs w:val="20"/>
        </w:rPr>
        <w:t>(6), 911 – 921.</w:t>
      </w:r>
      <w:hyperlink r:id="rId13" w:history="1">
        <w:r w:rsidR="00024F25" w:rsidRPr="00024F25">
          <w:rPr>
            <w:rStyle w:val="Hyperlink"/>
            <w:sz w:val="20"/>
            <w:szCs w:val="20"/>
          </w:rPr>
          <w:t> </w:t>
        </w:r>
      </w:hyperlink>
      <w:hyperlink r:id="rId14" w:history="1">
        <w:r w:rsidR="00024F25" w:rsidRPr="00024F25">
          <w:rPr>
            <w:rStyle w:val="Hyperlink"/>
            <w:sz w:val="20"/>
            <w:szCs w:val="20"/>
          </w:rPr>
          <w:t>https://doi.org/10.1002/aur.2113</w:t>
        </w:r>
      </w:hyperlink>
      <w:r w:rsidR="00024F25" w:rsidRPr="00024F25">
        <w:rPr>
          <w:color w:val="000000"/>
          <w:sz w:val="20"/>
          <w:szCs w:val="20"/>
        </w:rPr>
        <w:t> </w:t>
      </w:r>
    </w:p>
    <w:p w14:paraId="23D3A587" w14:textId="1D830E53" w:rsidR="00024F25" w:rsidRPr="00024F25" w:rsidRDefault="003D791D" w:rsidP="00024F25">
      <w:pPr>
        <w:rPr>
          <w:color w:val="000000"/>
          <w:sz w:val="20"/>
          <w:szCs w:val="20"/>
        </w:rPr>
      </w:pPr>
      <w:r>
        <w:rPr>
          <w:color w:val="000000" w:themeColor="text1"/>
          <w:sz w:val="20"/>
          <w:szCs w:val="20"/>
        </w:rPr>
        <w:t>4</w:t>
      </w:r>
      <w:r w:rsidR="3655B279" w:rsidRPr="66AA9E78">
        <w:rPr>
          <w:color w:val="000000" w:themeColor="text1"/>
          <w:sz w:val="20"/>
          <w:szCs w:val="20"/>
        </w:rPr>
        <w:t xml:space="preserve">. Marsack-Topolewski, C. N., &amp; Weisz, A. N. (2020). Parents’ </w:t>
      </w:r>
      <w:r w:rsidR="005E1EAD">
        <w:rPr>
          <w:color w:val="000000" w:themeColor="text1"/>
          <w:sz w:val="20"/>
          <w:szCs w:val="20"/>
        </w:rPr>
        <w:t>p</w:t>
      </w:r>
      <w:r w:rsidR="3655B279" w:rsidRPr="66AA9E78">
        <w:rPr>
          <w:color w:val="000000" w:themeColor="text1"/>
          <w:sz w:val="20"/>
          <w:szCs w:val="20"/>
        </w:rPr>
        <w:t xml:space="preserve">erceptions of </w:t>
      </w:r>
      <w:r w:rsidR="005E1EAD">
        <w:rPr>
          <w:color w:val="000000" w:themeColor="text1"/>
          <w:sz w:val="20"/>
          <w:szCs w:val="20"/>
        </w:rPr>
        <w:t>a</w:t>
      </w:r>
      <w:r w:rsidR="3655B279" w:rsidRPr="66AA9E78">
        <w:rPr>
          <w:color w:val="000000" w:themeColor="text1"/>
          <w:sz w:val="20"/>
          <w:szCs w:val="20"/>
        </w:rPr>
        <w:t xml:space="preserve">ccess to </w:t>
      </w:r>
      <w:r w:rsidR="005E1EAD">
        <w:rPr>
          <w:color w:val="000000" w:themeColor="text1"/>
          <w:sz w:val="20"/>
          <w:szCs w:val="20"/>
        </w:rPr>
        <w:t>s</w:t>
      </w:r>
      <w:r w:rsidR="3655B279" w:rsidRPr="66AA9E78">
        <w:rPr>
          <w:color w:val="000000" w:themeColor="text1"/>
          <w:sz w:val="20"/>
          <w:szCs w:val="20"/>
        </w:rPr>
        <w:t xml:space="preserve">ervices for </w:t>
      </w:r>
      <w:r w:rsidR="005E1EAD">
        <w:rPr>
          <w:color w:val="000000" w:themeColor="text1"/>
          <w:sz w:val="20"/>
          <w:szCs w:val="20"/>
        </w:rPr>
        <w:t>t</w:t>
      </w:r>
      <w:r w:rsidR="3655B279" w:rsidRPr="66AA9E78">
        <w:rPr>
          <w:color w:val="000000" w:themeColor="text1"/>
          <w:sz w:val="20"/>
          <w:szCs w:val="20"/>
        </w:rPr>
        <w:t xml:space="preserve">heir </w:t>
      </w:r>
      <w:r w:rsidR="005E1EAD">
        <w:rPr>
          <w:color w:val="000000" w:themeColor="text1"/>
          <w:sz w:val="20"/>
          <w:szCs w:val="20"/>
        </w:rPr>
        <w:t>a</w:t>
      </w:r>
      <w:r w:rsidR="3655B279" w:rsidRPr="66AA9E78">
        <w:rPr>
          <w:color w:val="000000" w:themeColor="text1"/>
          <w:sz w:val="20"/>
          <w:szCs w:val="20"/>
        </w:rPr>
        <w:t xml:space="preserve">dult </w:t>
      </w:r>
      <w:r w:rsidR="005E1EAD">
        <w:rPr>
          <w:color w:val="000000" w:themeColor="text1"/>
          <w:sz w:val="20"/>
          <w:szCs w:val="20"/>
        </w:rPr>
        <w:t>c</w:t>
      </w:r>
      <w:r w:rsidR="3655B279" w:rsidRPr="66AA9E78">
        <w:rPr>
          <w:color w:val="000000" w:themeColor="text1"/>
          <w:sz w:val="20"/>
          <w:szCs w:val="20"/>
        </w:rPr>
        <w:t xml:space="preserve">hildren </w:t>
      </w:r>
      <w:r w:rsidR="005E1EAD">
        <w:rPr>
          <w:color w:val="000000" w:themeColor="text1"/>
          <w:sz w:val="20"/>
          <w:szCs w:val="20"/>
        </w:rPr>
        <w:t>d</w:t>
      </w:r>
      <w:r w:rsidR="3655B279" w:rsidRPr="66AA9E78">
        <w:rPr>
          <w:color w:val="000000" w:themeColor="text1"/>
          <w:sz w:val="20"/>
          <w:szCs w:val="20"/>
        </w:rPr>
        <w:t xml:space="preserve">iagnosed </w:t>
      </w:r>
      <w:r w:rsidR="005E1EAD">
        <w:rPr>
          <w:color w:val="000000" w:themeColor="text1"/>
          <w:sz w:val="20"/>
          <w:szCs w:val="20"/>
        </w:rPr>
        <w:t>w</w:t>
      </w:r>
      <w:r w:rsidR="3655B279" w:rsidRPr="66AA9E78">
        <w:rPr>
          <w:color w:val="000000" w:themeColor="text1"/>
          <w:sz w:val="20"/>
          <w:szCs w:val="20"/>
        </w:rPr>
        <w:t>ith Autism Spectrum Disorder. </w:t>
      </w:r>
      <w:r w:rsidR="3655B279" w:rsidRPr="66AA9E78">
        <w:rPr>
          <w:i/>
          <w:iCs/>
          <w:color w:val="000000" w:themeColor="text1"/>
          <w:sz w:val="20"/>
          <w:szCs w:val="20"/>
        </w:rPr>
        <w:t>Families in Society, 101</w:t>
      </w:r>
      <w:r w:rsidR="3655B279" w:rsidRPr="66AA9E78">
        <w:rPr>
          <w:color w:val="000000" w:themeColor="text1"/>
          <w:sz w:val="20"/>
          <w:szCs w:val="20"/>
        </w:rPr>
        <w:t>(2), 190-204.</w:t>
      </w:r>
      <w:hyperlink r:id="rId15">
        <w:r w:rsidR="3655B279" w:rsidRPr="66AA9E78">
          <w:rPr>
            <w:rStyle w:val="Hyperlink"/>
            <w:sz w:val="20"/>
            <w:szCs w:val="20"/>
          </w:rPr>
          <w:t> </w:t>
        </w:r>
      </w:hyperlink>
      <w:hyperlink r:id="rId16">
        <w:r w:rsidR="3655B279" w:rsidRPr="66AA9E78">
          <w:rPr>
            <w:rStyle w:val="Hyperlink"/>
            <w:sz w:val="20"/>
            <w:szCs w:val="20"/>
          </w:rPr>
          <w:t>https://doi.org/10.1177/1044389419881273</w:t>
        </w:r>
      </w:hyperlink>
      <w:r w:rsidR="3655B279" w:rsidRPr="66AA9E78">
        <w:rPr>
          <w:color w:val="000000" w:themeColor="text1"/>
          <w:sz w:val="20"/>
          <w:szCs w:val="20"/>
        </w:rPr>
        <w:t> </w:t>
      </w:r>
    </w:p>
    <w:p w14:paraId="1C3EB2B2" w14:textId="7B19F5D9" w:rsidR="00024F25" w:rsidRPr="00024F25" w:rsidRDefault="0004472B" w:rsidP="66AA9E78">
      <w:pPr>
        <w:rPr>
          <w:color w:val="000000"/>
          <w:sz w:val="20"/>
          <w:szCs w:val="20"/>
        </w:rPr>
      </w:pPr>
      <w:r>
        <w:rPr>
          <w:color w:val="000000" w:themeColor="text1"/>
          <w:sz w:val="20"/>
          <w:szCs w:val="20"/>
        </w:rPr>
        <w:t>5</w:t>
      </w:r>
      <w:r w:rsidR="3655B279" w:rsidRPr="66AA9E78">
        <w:rPr>
          <w:color w:val="000000" w:themeColor="text1"/>
          <w:sz w:val="20"/>
          <w:szCs w:val="20"/>
        </w:rPr>
        <w:t>. Burke, M. M., Cheung, W. C., Best, M., DaWalt, L. S., &amp; Taylor, J. L. (2024). Measuring what matters: Considerations for the measurement of services for individuals with autism.</w:t>
      </w:r>
      <w:r w:rsidR="3655B279" w:rsidRPr="66AA9E78">
        <w:rPr>
          <w:i/>
          <w:iCs/>
          <w:color w:val="000000" w:themeColor="text1"/>
          <w:sz w:val="20"/>
          <w:szCs w:val="20"/>
        </w:rPr>
        <w:t> Journal of Developmental and Physical Disabilities, 36</w:t>
      </w:r>
      <w:r w:rsidR="3655B279" w:rsidRPr="66AA9E78">
        <w:rPr>
          <w:color w:val="000000" w:themeColor="text1"/>
          <w:sz w:val="20"/>
          <w:szCs w:val="20"/>
        </w:rPr>
        <w:t>(3), 423-439. </w:t>
      </w:r>
      <w:hyperlink r:id="rId17">
        <w:r w:rsidR="3655B279" w:rsidRPr="66AA9E78">
          <w:rPr>
            <w:rStyle w:val="Hyperlink"/>
            <w:sz w:val="20"/>
            <w:szCs w:val="20"/>
          </w:rPr>
          <w:t>https://doi.org/10.1007/s10882-023-09916-6</w:t>
        </w:r>
      </w:hyperlink>
      <w:r w:rsidR="3655B279" w:rsidRPr="66AA9E78">
        <w:rPr>
          <w:color w:val="000000" w:themeColor="text1"/>
          <w:sz w:val="20"/>
          <w:szCs w:val="20"/>
        </w:rPr>
        <w:t> </w:t>
      </w:r>
    </w:p>
    <w:p w14:paraId="7AC50377" w14:textId="7EF6F719" w:rsidR="003D6244" w:rsidRPr="008B1E03" w:rsidRDefault="003D6244" w:rsidP="003D6244">
      <w:pPr>
        <w:pStyle w:val="FootnoteText"/>
        <w:rPr>
          <w:lang w:val="en-CA"/>
        </w:rPr>
      </w:pPr>
      <w:r w:rsidRPr="008B1E03">
        <w:rPr>
          <w:rStyle w:val="FootnoteReference"/>
        </w:rPr>
        <w:footnoteRef/>
      </w:r>
      <w:r w:rsidR="08EB382D" w:rsidRPr="008B1E03">
        <w:t xml:space="preserve"> </w:t>
      </w:r>
      <w:r w:rsidR="72E150FD">
        <w:rPr>
          <w:lang w:val="en-CA"/>
        </w:rPr>
        <w:t>Vanderbilt University Medical Center, Department of General Pediatrics</w:t>
      </w:r>
    </w:p>
    <w:p w14:paraId="7AC50378" w14:textId="16E02EC5" w:rsidR="003D6244" w:rsidRPr="008B1E03" w:rsidRDefault="003D6244" w:rsidP="003D6244">
      <w:pPr>
        <w:pStyle w:val="FootnoteText"/>
        <w:rPr>
          <w:lang w:val="en-CA"/>
        </w:rPr>
      </w:pPr>
      <w:r>
        <w:rPr>
          <w:rStyle w:val="FootnoteReference"/>
        </w:rPr>
        <w:t>2</w:t>
      </w:r>
      <w:r w:rsidRPr="008B1E03">
        <w:t xml:space="preserve"> </w:t>
      </w:r>
      <w:r w:rsidRPr="008B1E03">
        <w:rPr>
          <w:lang w:val="en-CA"/>
        </w:rPr>
        <w:t>University</w:t>
      </w:r>
      <w:r w:rsidR="009276FD">
        <w:rPr>
          <w:lang w:val="en-CA"/>
        </w:rPr>
        <w:t xml:space="preserve"> of Wisconsin – Madison, Waisman Center</w:t>
      </w:r>
    </w:p>
    <w:p w14:paraId="7AC50379" w14:textId="671432FC" w:rsidR="003D6244" w:rsidRPr="008B1E03" w:rsidRDefault="003D6244" w:rsidP="003D6244">
      <w:pPr>
        <w:pStyle w:val="Footer"/>
        <w:rPr>
          <w:sz w:val="20"/>
          <w:szCs w:val="20"/>
        </w:rPr>
      </w:pPr>
      <w:r>
        <w:rPr>
          <w:rStyle w:val="FootnoteReference"/>
          <w:sz w:val="20"/>
          <w:szCs w:val="20"/>
        </w:rPr>
        <w:t>3</w:t>
      </w:r>
      <w:r w:rsidRPr="008B1E03">
        <w:rPr>
          <w:sz w:val="20"/>
          <w:szCs w:val="20"/>
        </w:rPr>
        <w:t xml:space="preserve"> </w:t>
      </w:r>
      <w:r w:rsidR="009276FD">
        <w:rPr>
          <w:sz w:val="20"/>
          <w:szCs w:val="20"/>
          <w:lang w:val="en-CA"/>
        </w:rPr>
        <w:t>Vanderbilt University, Department of Special Education</w:t>
      </w:r>
    </w:p>
    <w:p w14:paraId="7AC5037A" w14:textId="77777777" w:rsidR="001C735E" w:rsidRPr="003D6244" w:rsidRDefault="001C735E" w:rsidP="003D6244"/>
    <w:sectPr w:rsidR="001C735E" w:rsidRPr="003D6244" w:rsidSect="00394E2C">
      <w:headerReference w:type="even" r:id="rId18"/>
      <w:headerReference w:type="default" r:id="rId19"/>
      <w:footerReference w:type="even" r:id="rId20"/>
      <w:footerReference w:type="default" r:id="rId21"/>
      <w:headerReference w:type="first" r:id="rId22"/>
      <w:footerReference w:type="first" r:id="rId2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3A12F" w14:textId="77777777" w:rsidR="00C57AC4" w:rsidRDefault="00C57AC4" w:rsidP="00A16498">
      <w:pPr>
        <w:spacing w:after="0" w:line="240" w:lineRule="auto"/>
      </w:pPr>
      <w:r>
        <w:separator/>
      </w:r>
    </w:p>
  </w:endnote>
  <w:endnote w:type="continuationSeparator" w:id="0">
    <w:p w14:paraId="1267B3DC" w14:textId="77777777" w:rsidR="00C57AC4" w:rsidRDefault="00C57AC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AB5D6" w14:textId="77777777" w:rsidR="00C57AC4" w:rsidRDefault="00C57AC4" w:rsidP="00A16498">
      <w:pPr>
        <w:spacing w:after="0" w:line="240" w:lineRule="auto"/>
      </w:pPr>
      <w:r>
        <w:separator/>
      </w:r>
    </w:p>
  </w:footnote>
  <w:footnote w:type="continuationSeparator" w:id="0">
    <w:p w14:paraId="1FCBDFE1" w14:textId="77777777" w:rsidR="00C57AC4" w:rsidRDefault="00C57AC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4F25"/>
    <w:rsid w:val="000349F8"/>
    <w:rsid w:val="0004472B"/>
    <w:rsid w:val="0006724C"/>
    <w:rsid w:val="000750FB"/>
    <w:rsid w:val="000C58F8"/>
    <w:rsid w:val="000D0162"/>
    <w:rsid w:val="000E2098"/>
    <w:rsid w:val="0014248D"/>
    <w:rsid w:val="00156551"/>
    <w:rsid w:val="00196FE3"/>
    <w:rsid w:val="001C735E"/>
    <w:rsid w:val="001E5E96"/>
    <w:rsid w:val="00226854"/>
    <w:rsid w:val="002268C3"/>
    <w:rsid w:val="00244C29"/>
    <w:rsid w:val="00282ED6"/>
    <w:rsid w:val="002872AA"/>
    <w:rsid w:val="0029479E"/>
    <w:rsid w:val="002D2D88"/>
    <w:rsid w:val="002E2A71"/>
    <w:rsid w:val="00300310"/>
    <w:rsid w:val="00312417"/>
    <w:rsid w:val="00316B3B"/>
    <w:rsid w:val="0032171F"/>
    <w:rsid w:val="00324E6F"/>
    <w:rsid w:val="0033415B"/>
    <w:rsid w:val="00383D0A"/>
    <w:rsid w:val="00394E2C"/>
    <w:rsid w:val="003B0285"/>
    <w:rsid w:val="003C2A0A"/>
    <w:rsid w:val="003C4D59"/>
    <w:rsid w:val="003D6244"/>
    <w:rsid w:val="003D791D"/>
    <w:rsid w:val="003F558A"/>
    <w:rsid w:val="00406787"/>
    <w:rsid w:val="00412A17"/>
    <w:rsid w:val="00416AD9"/>
    <w:rsid w:val="004473AC"/>
    <w:rsid w:val="00452576"/>
    <w:rsid w:val="0045428A"/>
    <w:rsid w:val="00457CE4"/>
    <w:rsid w:val="004E5945"/>
    <w:rsid w:val="00507118"/>
    <w:rsid w:val="0053081D"/>
    <w:rsid w:val="00550360"/>
    <w:rsid w:val="00577DC4"/>
    <w:rsid w:val="005D5DA6"/>
    <w:rsid w:val="005E1EAD"/>
    <w:rsid w:val="005F3158"/>
    <w:rsid w:val="005F718C"/>
    <w:rsid w:val="00625543"/>
    <w:rsid w:val="006535AF"/>
    <w:rsid w:val="006573DD"/>
    <w:rsid w:val="006637E7"/>
    <w:rsid w:val="00680A64"/>
    <w:rsid w:val="006C05DD"/>
    <w:rsid w:val="006C7076"/>
    <w:rsid w:val="006E513F"/>
    <w:rsid w:val="006F6DF7"/>
    <w:rsid w:val="007417FE"/>
    <w:rsid w:val="00751FEE"/>
    <w:rsid w:val="0076549A"/>
    <w:rsid w:val="007722E4"/>
    <w:rsid w:val="0077649B"/>
    <w:rsid w:val="00777D73"/>
    <w:rsid w:val="007B4CE7"/>
    <w:rsid w:val="00801D2A"/>
    <w:rsid w:val="00817FE3"/>
    <w:rsid w:val="00833845"/>
    <w:rsid w:val="00836154"/>
    <w:rsid w:val="00862D95"/>
    <w:rsid w:val="0087492A"/>
    <w:rsid w:val="008938D8"/>
    <w:rsid w:val="008A425F"/>
    <w:rsid w:val="009276FD"/>
    <w:rsid w:val="009462E3"/>
    <w:rsid w:val="009B1DAB"/>
    <w:rsid w:val="009E1B56"/>
    <w:rsid w:val="00A16498"/>
    <w:rsid w:val="00A545A6"/>
    <w:rsid w:val="00AB24EA"/>
    <w:rsid w:val="00AB7B37"/>
    <w:rsid w:val="00AB7DCB"/>
    <w:rsid w:val="00AE4ADB"/>
    <w:rsid w:val="00B158B1"/>
    <w:rsid w:val="00B16D3A"/>
    <w:rsid w:val="00B226B4"/>
    <w:rsid w:val="00B30A98"/>
    <w:rsid w:val="00B34B01"/>
    <w:rsid w:val="00B34D5E"/>
    <w:rsid w:val="00B71AFF"/>
    <w:rsid w:val="00BA2D2D"/>
    <w:rsid w:val="00BA5AE0"/>
    <w:rsid w:val="00C27B55"/>
    <w:rsid w:val="00C31EA2"/>
    <w:rsid w:val="00C57AC4"/>
    <w:rsid w:val="00C6243D"/>
    <w:rsid w:val="00C80718"/>
    <w:rsid w:val="00CA5E79"/>
    <w:rsid w:val="00CD224D"/>
    <w:rsid w:val="00CD608F"/>
    <w:rsid w:val="00CF3CDF"/>
    <w:rsid w:val="00D37B78"/>
    <w:rsid w:val="00D43AFB"/>
    <w:rsid w:val="00D46241"/>
    <w:rsid w:val="00D60D08"/>
    <w:rsid w:val="00D94FF1"/>
    <w:rsid w:val="00DA54A4"/>
    <w:rsid w:val="00DB6955"/>
    <w:rsid w:val="00DC15FA"/>
    <w:rsid w:val="00DC644A"/>
    <w:rsid w:val="00E15391"/>
    <w:rsid w:val="00E41580"/>
    <w:rsid w:val="00EB3206"/>
    <w:rsid w:val="00EC1345"/>
    <w:rsid w:val="00EE2422"/>
    <w:rsid w:val="00F023E6"/>
    <w:rsid w:val="00F1169B"/>
    <w:rsid w:val="00F2162A"/>
    <w:rsid w:val="00F43A12"/>
    <w:rsid w:val="00F851D1"/>
    <w:rsid w:val="00FC51E3"/>
    <w:rsid w:val="00FD551C"/>
    <w:rsid w:val="00FF5F04"/>
    <w:rsid w:val="028933FB"/>
    <w:rsid w:val="08EB382D"/>
    <w:rsid w:val="0A631F3B"/>
    <w:rsid w:val="0A86FE1A"/>
    <w:rsid w:val="0B4D9F8F"/>
    <w:rsid w:val="0B65E143"/>
    <w:rsid w:val="0E51B6C2"/>
    <w:rsid w:val="1291B0B6"/>
    <w:rsid w:val="1390AF05"/>
    <w:rsid w:val="18A9A160"/>
    <w:rsid w:val="1B98529D"/>
    <w:rsid w:val="1B99FC11"/>
    <w:rsid w:val="1CACA6FC"/>
    <w:rsid w:val="1F47DE5F"/>
    <w:rsid w:val="2068F7AA"/>
    <w:rsid w:val="210F9C83"/>
    <w:rsid w:val="2155F556"/>
    <w:rsid w:val="22F52D51"/>
    <w:rsid w:val="2325DB08"/>
    <w:rsid w:val="23A53B2E"/>
    <w:rsid w:val="2E76F2BC"/>
    <w:rsid w:val="2EDC0AB9"/>
    <w:rsid w:val="309515BC"/>
    <w:rsid w:val="317F1715"/>
    <w:rsid w:val="31CE90E4"/>
    <w:rsid w:val="32A27AA8"/>
    <w:rsid w:val="33CF704F"/>
    <w:rsid w:val="35024464"/>
    <w:rsid w:val="3605416B"/>
    <w:rsid w:val="3655B279"/>
    <w:rsid w:val="368BFF73"/>
    <w:rsid w:val="36C36889"/>
    <w:rsid w:val="36E31590"/>
    <w:rsid w:val="3B04FA67"/>
    <w:rsid w:val="3BD428D7"/>
    <w:rsid w:val="3C65F158"/>
    <w:rsid w:val="3DAF6A57"/>
    <w:rsid w:val="3DB7FDD6"/>
    <w:rsid w:val="3DD82D10"/>
    <w:rsid w:val="3E64789D"/>
    <w:rsid w:val="406A8523"/>
    <w:rsid w:val="43379B97"/>
    <w:rsid w:val="445E456A"/>
    <w:rsid w:val="4594B1CA"/>
    <w:rsid w:val="4655F72A"/>
    <w:rsid w:val="46820F2C"/>
    <w:rsid w:val="474787DC"/>
    <w:rsid w:val="47DC444E"/>
    <w:rsid w:val="4A390FD6"/>
    <w:rsid w:val="4AB76F9C"/>
    <w:rsid w:val="4B762AED"/>
    <w:rsid w:val="4E9BB7E4"/>
    <w:rsid w:val="50672192"/>
    <w:rsid w:val="51978F33"/>
    <w:rsid w:val="5199CA2D"/>
    <w:rsid w:val="5370A941"/>
    <w:rsid w:val="546740CC"/>
    <w:rsid w:val="5C1F3532"/>
    <w:rsid w:val="5DF78482"/>
    <w:rsid w:val="5DFC0D7A"/>
    <w:rsid w:val="60FFD153"/>
    <w:rsid w:val="631F4AC7"/>
    <w:rsid w:val="66801705"/>
    <w:rsid w:val="66AA9E78"/>
    <w:rsid w:val="6754875B"/>
    <w:rsid w:val="67E0FA42"/>
    <w:rsid w:val="6879F274"/>
    <w:rsid w:val="6A3BB853"/>
    <w:rsid w:val="6A54D76B"/>
    <w:rsid w:val="6DD0FFE2"/>
    <w:rsid w:val="6E346641"/>
    <w:rsid w:val="72E150FD"/>
    <w:rsid w:val="75F4CA7A"/>
    <w:rsid w:val="78AAEACB"/>
    <w:rsid w:val="7DAAB3D7"/>
    <w:rsid w:val="7DD8A7BB"/>
    <w:rsid w:val="7E263B8A"/>
    <w:rsid w:val="7FD7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024F25"/>
    <w:rPr>
      <w:color w:val="0000FF" w:themeColor="hyperlink"/>
      <w:u w:val="single"/>
    </w:rPr>
  </w:style>
  <w:style w:type="character" w:styleId="UnresolvedMention">
    <w:name w:val="Unresolved Mention"/>
    <w:basedOn w:val="DefaultParagraphFont"/>
    <w:uiPriority w:val="99"/>
    <w:semiHidden/>
    <w:unhideWhenUsed/>
    <w:rsid w:val="00024F25"/>
    <w:rPr>
      <w:color w:val="605E5C"/>
      <w:shd w:val="clear" w:color="auto" w:fill="E1DFDD"/>
    </w:rPr>
  </w:style>
  <w:style w:type="paragraph" w:styleId="Revision">
    <w:name w:val="Revision"/>
    <w:hidden/>
    <w:uiPriority w:val="99"/>
    <w:semiHidden/>
    <w:rsid w:val="00DB6955"/>
    <w:pPr>
      <w:spacing w:after="0" w:line="240" w:lineRule="auto"/>
    </w:pPr>
  </w:style>
  <w:style w:type="character" w:styleId="CommentReference">
    <w:name w:val="annotation reference"/>
    <w:basedOn w:val="DefaultParagraphFont"/>
    <w:uiPriority w:val="99"/>
    <w:semiHidden/>
    <w:unhideWhenUsed/>
    <w:rsid w:val="004E5945"/>
    <w:rPr>
      <w:sz w:val="16"/>
      <w:szCs w:val="16"/>
    </w:rPr>
  </w:style>
  <w:style w:type="paragraph" w:styleId="CommentText">
    <w:name w:val="annotation text"/>
    <w:basedOn w:val="Normal"/>
    <w:link w:val="CommentTextChar"/>
    <w:uiPriority w:val="99"/>
    <w:unhideWhenUsed/>
    <w:rsid w:val="004E5945"/>
    <w:pPr>
      <w:spacing w:line="240" w:lineRule="auto"/>
    </w:pPr>
    <w:rPr>
      <w:sz w:val="20"/>
      <w:szCs w:val="20"/>
    </w:rPr>
  </w:style>
  <w:style w:type="character" w:customStyle="1" w:styleId="CommentTextChar">
    <w:name w:val="Comment Text Char"/>
    <w:basedOn w:val="DefaultParagraphFont"/>
    <w:link w:val="CommentText"/>
    <w:uiPriority w:val="99"/>
    <w:rsid w:val="004E5945"/>
    <w:rPr>
      <w:sz w:val="20"/>
      <w:szCs w:val="20"/>
    </w:rPr>
  </w:style>
  <w:style w:type="paragraph" w:styleId="CommentSubject">
    <w:name w:val="annotation subject"/>
    <w:basedOn w:val="CommentText"/>
    <w:next w:val="CommentText"/>
    <w:link w:val="CommentSubjectChar"/>
    <w:uiPriority w:val="99"/>
    <w:semiHidden/>
    <w:unhideWhenUsed/>
    <w:rsid w:val="004E5945"/>
    <w:rPr>
      <w:b/>
      <w:bCs/>
    </w:rPr>
  </w:style>
  <w:style w:type="character" w:customStyle="1" w:styleId="CommentSubjectChar">
    <w:name w:val="Comment Subject Char"/>
    <w:basedOn w:val="CommentTextChar"/>
    <w:link w:val="CommentSubject"/>
    <w:uiPriority w:val="99"/>
    <w:semiHidden/>
    <w:rsid w:val="004E59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89775">
      <w:bodyDiv w:val="1"/>
      <w:marLeft w:val="0"/>
      <w:marRight w:val="0"/>
      <w:marTop w:val="0"/>
      <w:marBottom w:val="0"/>
      <w:divBdr>
        <w:top w:val="none" w:sz="0" w:space="0" w:color="auto"/>
        <w:left w:val="none" w:sz="0" w:space="0" w:color="auto"/>
        <w:bottom w:val="none" w:sz="0" w:space="0" w:color="auto"/>
        <w:right w:val="none" w:sz="0" w:space="0" w:color="auto"/>
      </w:divBdr>
    </w:div>
    <w:div w:id="361438944">
      <w:bodyDiv w:val="1"/>
      <w:marLeft w:val="0"/>
      <w:marRight w:val="0"/>
      <w:marTop w:val="0"/>
      <w:marBottom w:val="0"/>
      <w:divBdr>
        <w:top w:val="none" w:sz="0" w:space="0" w:color="auto"/>
        <w:left w:val="none" w:sz="0" w:space="0" w:color="auto"/>
        <w:bottom w:val="none" w:sz="0" w:space="0" w:color="auto"/>
        <w:right w:val="none" w:sz="0" w:space="0" w:color="auto"/>
      </w:divBdr>
    </w:div>
    <w:div w:id="1101533397">
      <w:bodyDiv w:val="1"/>
      <w:marLeft w:val="0"/>
      <w:marRight w:val="0"/>
      <w:marTop w:val="0"/>
      <w:marBottom w:val="0"/>
      <w:divBdr>
        <w:top w:val="none" w:sz="0" w:space="0" w:color="auto"/>
        <w:left w:val="none" w:sz="0" w:space="0" w:color="auto"/>
        <w:bottom w:val="none" w:sz="0" w:space="0" w:color="auto"/>
        <w:right w:val="none" w:sz="0" w:space="0" w:color="auto"/>
      </w:divBdr>
    </w:div>
    <w:div w:id="1165514415">
      <w:bodyDiv w:val="1"/>
      <w:marLeft w:val="0"/>
      <w:marRight w:val="0"/>
      <w:marTop w:val="0"/>
      <w:marBottom w:val="0"/>
      <w:divBdr>
        <w:top w:val="none" w:sz="0" w:space="0" w:color="auto"/>
        <w:left w:val="none" w:sz="0" w:space="0" w:color="auto"/>
        <w:bottom w:val="none" w:sz="0" w:space="0" w:color="auto"/>
        <w:right w:val="none" w:sz="0" w:space="0" w:color="auto"/>
      </w:divBdr>
    </w:div>
    <w:div w:id="1605843345">
      <w:bodyDiv w:val="1"/>
      <w:marLeft w:val="0"/>
      <w:marRight w:val="0"/>
      <w:marTop w:val="0"/>
      <w:marBottom w:val="0"/>
      <w:divBdr>
        <w:top w:val="none" w:sz="0" w:space="0" w:color="auto"/>
        <w:left w:val="none" w:sz="0" w:space="0" w:color="auto"/>
        <w:bottom w:val="none" w:sz="0" w:space="0" w:color="auto"/>
        <w:right w:val="none" w:sz="0" w:space="0" w:color="auto"/>
      </w:divBdr>
    </w:div>
    <w:div w:id="19487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url?q=https://www.google.com/url?q%3Dhttps://nam04.safelinks.protection.outlook.com/?url%253Dhttps%25253A%25252F%25252Fdoi.org%25252F10.1002%25252Faur.2113%2526data%253D05%25257C02%25257Csophia.b.mueller%252540Vanderbilt.Edu%25257Cdce90a34d66f4688614708dce216b3db%25257Cba5a7f39e3be4ab3b45067fa80faecad%25257C0%25257C0%25257C638633834350528582%25257CUnknown%25257CTWFpbGZsb3d8eyJWIjoiMC4wLjAwMDAiLCJQIjoiV2luMzIiLCJBTiI6Ik1haWwiLCJXVCI6Mn0%25253D%25257C0%25257C%25257C%25257C%2526sdata%253DTPIN9PfjbFI8Yaer7ETUheZYYQ4SCYFpp50Z6ZIS6Bw%25253D%2526reserved%253D0%26amp;sa%3DD%26amp;source%3Deditors%26amp;ust%3D1728271987278948%26amp;usg%3DAOvVaw3wRb9CBeSN7moqxmPmP7Cn&amp;sa=D&amp;source=docs&amp;ust=1728271987290459&amp;usg=AOvVaw2X7pk6CGLkxsKLrHxZKim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ogle.com/url?q=https://www.google.com/url?q%3Dhttps://nam04.safelinks.protection.outlook.com/?url%253Dhttps%25253A%25252F%25252Fdoi.org%25252F10.1542%25252Fpeds.2016-4300G%2526data%253D05%25257C02%25257Csophia.b.mueller%252540Vanderbilt.Edu%25257Cdce90a34d66f4688614708dce216b3db%25257Cba5a7f39e3be4ab3b45067fa80faecad%25257C0%25257C0%25257C638633834350507383%25257CUnknown%25257CTWFpbGZsb3d8eyJWIjoiMC4wLjAwMDAiLCJQIjoiV2luMzIiLCJBTiI6Ik1haWwiLCJXVCI6Mn0%25253D%25257C0%25257C%25257C%25257C%2526sdata%253D9PRy2gnngjnkvqhk8PhrzizZCsirgmKXODsy%25252FElmz2U%25253D%2526reserved%253D0%26amp;sa%3DD%26amp;source%3Deditors%26amp;ust%3D1728271987278398%26amp;usg%3DAOvVaw2oumJPDu_TuVPreAWTreWK&amp;sa=D&amp;source=docs&amp;ust=1728271987290224&amp;usg=AOvVaw1dQICkS95ovB-RKA-JIIW8" TargetMode="External"/><Relationship Id="rId17" Type="http://schemas.openxmlformats.org/officeDocument/2006/relationships/hyperlink" Target="https://www.google.com/url?q=https://www.google.com/url?q%3Dhttps://doi.org/10.1007/s10882-023-09916-6%26amp;sa%3DD%26amp;source%3Deditors%26amp;ust%3D1728271987282794%26amp;usg%3DAOvVaw0qfnUw-sbOlGmW0L2WXEPe&amp;sa=D&amp;source=docs&amp;ust=1728271987292801&amp;usg=AOvVaw2eHeLIRcu7_hkj3yT1bEX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url?q=https://www.google.com/url?q%3Dhttps://nam04.safelinks.protection.outlook.com/?url%253Dhttps%25253A%25252F%25252Fdoi.org%25252F10.1177%25252F1044389419881273%2526data%253D05%25257C02%25257Csophia.b.mueller%252540Vanderbilt.Edu%25257Cdce90a34d66f4688614708dce216b3db%25257Cba5a7f39e3be4ab3b45067fa80faecad%25257C0%25257C0%25257C638633834350544506%25257CUnknown%25257CTWFpbGZsb3d8eyJWIjoiMC4wLjAwMDAiLCJQIjoiV2luMzIiLCJBTiI6Ik1haWwiLCJXVCI6Mn0%25253D%25257C0%25257C%25257C%25257C%2526sdata%253DAtK5J%25252Bi7FKegtgyRMsodIgFAVojnXl%25252F8EGCvm9pNLc8%25253D%2526reserved%253D0%26amp;sa%3DD%26amp;source%3Deditors%26amp;ust%3D1728271987280065%26amp;usg%3DAOvVaw27G9CPy0aYj8Snh1TQaW9b&amp;sa=D&amp;source=docs&amp;ust=1728271987291175&amp;usg=AOvVaw1O8lCWJlio3g8d6jAnxcs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q=https://www.google.com/url?q%3Dhttps://nam04.safelinks.protection.outlook.com/?url%253Dhttps%25253A%25252F%25252Fdoi.org%25252F10.1542%25252Fpeds.2016-4300G%2526data%253D05%25257C02%25257Csophia.b.mueller%252540Vanderbilt.Edu%25257Cdce90a34d66f4688614708dce216b3db%25257Cba5a7f39e3be4ab3b45067fa80faecad%25257C0%25257C0%25257C638633834350507383%25257CUnknown%25257CTWFpbGZsb3d8eyJWIjoiMC4wLjAwMDAiLCJQIjoiV2luMzIiLCJBTiI6Ik1haWwiLCJXVCI6Mn0%25253D%25257C0%25257C%25257C%25257C%2526sdata%253D9PRy2gnngjnkvqhk8PhrzizZCsirgmKXODsy%25252FElmz2U%25253D%2526reserved%253D0%26amp;sa%3DD%26amp;source%3Deditors%26amp;ust%3D1728271987277605%26amp;usg%3DAOvVaw0W8AC9QOlC0nx787FCrqrK&amp;sa=D&amp;source=docs&amp;ust=1728271987289870&amp;usg=AOvVaw3y_lXAmLdng0j8P9GHwDXI"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ogle.com/url?q=https://www.google.com/url?q%3Dhttps://nam04.safelinks.protection.outlook.com/?url%253Dhttps%25253A%25252F%25252Fdoi.org%25252F10.1177%25252F1044389419881273%2526data%253D05%25257C02%25257Csophia.b.mueller%252540Vanderbilt.Edu%25257Cdce90a34d66f4688614708dce216b3db%25257Cba5a7f39e3be4ab3b45067fa80faecad%25257C0%25257C0%25257C638633834350544506%25257CUnknown%25257CTWFpbGZsb3d8eyJWIjoiMC4wLjAwMDAiLCJQIjoiV2luMzIiLCJBTiI6Ik1haWwiLCJXVCI6Mn0%25253D%25257C0%25257C%25257C%25257C%2526sdata%253DAtK5J%25252Bi7FKegtgyRMsodIgFAVojnXl%25252F8EGCvm9pNLc8%25253D%2526reserved%253D0%26amp;sa%3DD%26amp;source%3Deditors%26amp;ust%3D1728271987279718%26amp;usg%3DAOvVaw0JeWo0W9t-vxKKUdq5_a7C&amp;sa=D&amp;source=docs&amp;ust=1728271987290852&amp;usg=AOvVaw1Z7nkpImUgpNqHNkfa1WkS" TargetMode="External"/><Relationship Id="rId23" Type="http://schemas.openxmlformats.org/officeDocument/2006/relationships/footer" Target="footer3.xml"/><Relationship Id="rId10" Type="http://schemas.openxmlformats.org/officeDocument/2006/relationships/hyperlink" Target="https://doi.org/10.1007/s10803-021-04999-6"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q=https://www.google.com/url?q%3Dhttps://nam04.safelinks.protection.outlook.com/?url%253Dhttps%25253A%25252F%25252Fdoi.org%25252F10.1002%25252Faur.2113%2526data%253D05%25257C02%25257Csophia.b.mueller%252540Vanderbilt.Edu%25257Cdce90a34d66f4688614708dce216b3db%25257Cba5a7f39e3be4ab3b45067fa80faecad%25257C0%25257C0%25257C638633834350528582%25257CUnknown%25257CTWFpbGZsb3d8eyJWIjoiMC4wLjAwMDAiLCJQIjoiV2luMzIiLCJBTiI6Ik1haWwiLCJXVCI6Mn0%25253D%25257C0%25257C%25257C%25257C%2526sdata%253DTPIN9PfjbFI8Yaer7ETUheZYYQ4SCYFpp50Z6ZIS6Bw%25253D%2526reserved%253D0%26amp;sa%3DD%26amp;source%3Deditors%26amp;ust%3D1728271987279271%26amp;usg%3DAOvVaw03Xor8zv8XAlwupZxXf7th&amp;sa=D&amp;source=docs&amp;ust=1728271987290592&amp;usg=AOvVaw1pnf3mxZ-ICKl9GfpMIrt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Mueller, Sophia B</cp:lastModifiedBy>
  <cp:revision>3</cp:revision>
  <dcterms:created xsi:type="dcterms:W3CDTF">2024-10-30T19:09:00Z</dcterms:created>
  <dcterms:modified xsi:type="dcterms:W3CDTF">2024-10-30T19:13:00Z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MSIP_Label_792c8cef-6f2b-4af1-b4ac-d815ff795cd6_Enabled">
    <vt:lpwstr>true</vt:lpwstr>
  </property>
  <property fmtid="{D5CDD505-2E9C-101B-9397-08002B2CF9AE}" pid="4" name="MSIP_Label_792c8cef-6f2b-4af1-b4ac-d815ff795cd6_SetDate">
    <vt:lpwstr>2024-10-08T01:48:38Z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5ea7461d-6b37-4689-b940-b80c9a93b0c8</vt:lpwstr>
  </property>
  <property fmtid="{D5CDD505-2E9C-101B-9397-08002B2CF9AE}" pid="9" name="MSIP_Label_792c8cef-6f2b-4af1-b4ac-d815ff795cd6_ContentBits">
    <vt:lpwstr>0</vt:lpwstr>
  </property>
</Properties>
</file>