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3D6DABD3" w:rsidR="003D6244" w:rsidRPr="009E00A7" w:rsidRDefault="003D6244" w:rsidP="003D6244">
      <w:pPr>
        <w:rPr>
          <w:sz w:val="20"/>
          <w:szCs w:val="20"/>
        </w:rPr>
      </w:pPr>
      <w:r w:rsidRPr="111703C8">
        <w:rPr>
          <w:b/>
          <w:bCs/>
          <w:sz w:val="20"/>
          <w:szCs w:val="20"/>
        </w:rPr>
        <w:t>Title</w:t>
      </w:r>
      <w:r w:rsidRPr="111703C8">
        <w:rPr>
          <w:sz w:val="20"/>
          <w:szCs w:val="20"/>
        </w:rPr>
        <w:t xml:space="preserve">: </w:t>
      </w:r>
      <w:r w:rsidR="001001CA" w:rsidRPr="111703C8">
        <w:rPr>
          <w:sz w:val="20"/>
          <w:szCs w:val="20"/>
        </w:rPr>
        <w:t xml:space="preserve">Ethnic and Racial Disparities of </w:t>
      </w:r>
      <w:r w:rsidR="76C6DF89" w:rsidRPr="111703C8">
        <w:rPr>
          <w:sz w:val="20"/>
          <w:szCs w:val="20"/>
        </w:rPr>
        <w:t xml:space="preserve">Formal </w:t>
      </w:r>
      <w:r w:rsidR="001A1E3E">
        <w:rPr>
          <w:sz w:val="20"/>
          <w:szCs w:val="20"/>
        </w:rPr>
        <w:t xml:space="preserve">Disability </w:t>
      </w:r>
      <w:r w:rsidR="76C6DF89" w:rsidRPr="111703C8">
        <w:rPr>
          <w:sz w:val="20"/>
          <w:szCs w:val="20"/>
        </w:rPr>
        <w:t>Support</w:t>
      </w:r>
      <w:r w:rsidR="001001CA" w:rsidRPr="111703C8">
        <w:rPr>
          <w:sz w:val="20"/>
          <w:szCs w:val="20"/>
        </w:rPr>
        <w:t xml:space="preserve"> Utilization among </w:t>
      </w:r>
      <w:r w:rsidR="001A1E3E">
        <w:rPr>
          <w:sz w:val="20"/>
          <w:szCs w:val="20"/>
        </w:rPr>
        <w:t xml:space="preserve">Adults </w:t>
      </w:r>
      <w:r w:rsidR="001001CA" w:rsidRPr="111703C8">
        <w:rPr>
          <w:sz w:val="20"/>
          <w:szCs w:val="20"/>
        </w:rPr>
        <w:t xml:space="preserve">with </w:t>
      </w:r>
      <w:proofErr w:type="gramStart"/>
      <w:r w:rsidR="001001CA" w:rsidRPr="111703C8">
        <w:rPr>
          <w:sz w:val="20"/>
          <w:szCs w:val="20"/>
        </w:rPr>
        <w:t>an Intellectual</w:t>
      </w:r>
      <w:proofErr w:type="gramEnd"/>
      <w:r w:rsidR="001001CA" w:rsidRPr="111703C8">
        <w:rPr>
          <w:sz w:val="20"/>
          <w:szCs w:val="20"/>
        </w:rPr>
        <w:t xml:space="preserve"> and Developmental Disability (IDD) </w:t>
      </w:r>
    </w:p>
    <w:p w14:paraId="7AC50371" w14:textId="3D088910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1001CA" w:rsidRPr="001001CA">
        <w:rPr>
          <w:sz w:val="20"/>
          <w:szCs w:val="20"/>
        </w:rPr>
        <w:t>Kameron Stout, B.A.</w:t>
      </w:r>
      <w:r w:rsidR="001001CA">
        <w:rPr>
          <w:sz w:val="20"/>
          <w:szCs w:val="20"/>
          <w:vertAlign w:val="superscript"/>
        </w:rPr>
        <w:t>1</w:t>
      </w:r>
      <w:r w:rsidR="001001CA" w:rsidRPr="001001CA">
        <w:rPr>
          <w:sz w:val="20"/>
          <w:szCs w:val="20"/>
        </w:rPr>
        <w:t>, Cody Brunk</w:t>
      </w:r>
      <w:r w:rsidR="001001CA">
        <w:rPr>
          <w:sz w:val="20"/>
          <w:szCs w:val="20"/>
          <w:vertAlign w:val="superscript"/>
        </w:rPr>
        <w:t>1</w:t>
      </w:r>
      <w:r w:rsidR="001001CA" w:rsidRPr="001001CA">
        <w:rPr>
          <w:sz w:val="20"/>
          <w:szCs w:val="20"/>
        </w:rPr>
        <w:t>, Noah Simon</w:t>
      </w:r>
      <w:r w:rsidR="001001CA">
        <w:rPr>
          <w:sz w:val="20"/>
          <w:szCs w:val="20"/>
          <w:vertAlign w:val="superscript"/>
        </w:rPr>
        <w:t>1</w:t>
      </w:r>
      <w:r w:rsidR="001001CA" w:rsidRPr="001001CA">
        <w:rPr>
          <w:sz w:val="20"/>
          <w:szCs w:val="20"/>
        </w:rPr>
        <w:t>, Barbara Caplan., Ph.D.</w:t>
      </w:r>
      <w:r w:rsidR="001001CA" w:rsidRPr="001001CA">
        <w:rPr>
          <w:sz w:val="20"/>
          <w:szCs w:val="20"/>
          <w:vertAlign w:val="superscript"/>
        </w:rPr>
        <w:t xml:space="preserve"> </w:t>
      </w:r>
      <w:r w:rsidR="001001CA">
        <w:rPr>
          <w:sz w:val="20"/>
          <w:szCs w:val="20"/>
          <w:vertAlign w:val="superscript"/>
        </w:rPr>
        <w:t>1</w:t>
      </w:r>
      <w:r w:rsidR="001001CA" w:rsidRPr="001001CA">
        <w:rPr>
          <w:sz w:val="20"/>
          <w:szCs w:val="20"/>
        </w:rPr>
        <w:t>, Kelli Sanderson., Ph.D.</w:t>
      </w:r>
      <w:r w:rsidR="001001CA" w:rsidRPr="001001CA">
        <w:rPr>
          <w:sz w:val="20"/>
          <w:szCs w:val="20"/>
          <w:vertAlign w:val="superscript"/>
        </w:rPr>
        <w:t xml:space="preserve"> </w:t>
      </w:r>
      <w:r w:rsidR="001001CA">
        <w:rPr>
          <w:sz w:val="20"/>
          <w:szCs w:val="20"/>
          <w:vertAlign w:val="superscript"/>
        </w:rPr>
        <w:t>1</w:t>
      </w:r>
      <w:r w:rsidR="001001CA" w:rsidRPr="001001CA">
        <w:rPr>
          <w:sz w:val="20"/>
          <w:szCs w:val="20"/>
        </w:rPr>
        <w:t>,</w:t>
      </w:r>
    </w:p>
    <w:p w14:paraId="7C0A85D9" w14:textId="4EE2E9F3" w:rsidR="001001CA" w:rsidRDefault="003D6244" w:rsidP="6D6FB0AE">
      <w:pPr>
        <w:rPr>
          <w:color w:val="000000"/>
          <w:sz w:val="20"/>
          <w:szCs w:val="20"/>
        </w:rPr>
      </w:pPr>
      <w:r w:rsidRPr="111703C8">
        <w:rPr>
          <w:b/>
          <w:bCs/>
          <w:sz w:val="20"/>
          <w:szCs w:val="20"/>
        </w:rPr>
        <w:t>Introduction</w:t>
      </w:r>
      <w:r w:rsidRPr="111703C8">
        <w:rPr>
          <w:sz w:val="20"/>
          <w:szCs w:val="20"/>
        </w:rPr>
        <w:t>:</w:t>
      </w:r>
      <w:r w:rsidR="4C01AA28" w:rsidRPr="111703C8">
        <w:rPr>
          <w:sz w:val="20"/>
          <w:szCs w:val="20"/>
        </w:rPr>
        <w:t xml:space="preserve"> Formal </w:t>
      </w:r>
      <w:proofErr w:type="gramStart"/>
      <w:r w:rsidR="4C01AA28" w:rsidRPr="111703C8">
        <w:rPr>
          <w:sz w:val="20"/>
          <w:szCs w:val="20"/>
        </w:rPr>
        <w:t>supports are</w:t>
      </w:r>
      <w:proofErr w:type="gramEnd"/>
      <w:r w:rsidR="4C01AA28" w:rsidRPr="111703C8">
        <w:rPr>
          <w:sz w:val="20"/>
          <w:szCs w:val="20"/>
        </w:rPr>
        <w:t xml:space="preserve"> </w:t>
      </w:r>
      <w:r w:rsidR="370360C0" w:rsidRPr="111703C8">
        <w:rPr>
          <w:sz w:val="20"/>
          <w:szCs w:val="20"/>
        </w:rPr>
        <w:t xml:space="preserve">professional services provided by private or public </w:t>
      </w:r>
      <w:r w:rsidR="123214D1" w:rsidRPr="111703C8">
        <w:rPr>
          <w:sz w:val="20"/>
          <w:szCs w:val="20"/>
        </w:rPr>
        <w:t>government</w:t>
      </w:r>
      <w:r w:rsidR="370360C0" w:rsidRPr="111703C8">
        <w:rPr>
          <w:sz w:val="20"/>
          <w:szCs w:val="20"/>
        </w:rPr>
        <w:t xml:space="preserve"> and healthcare agencies aimed at supporting individuals with </w:t>
      </w:r>
      <w:r w:rsidR="5EB88278" w:rsidRPr="111703C8">
        <w:rPr>
          <w:rFonts w:ascii="Calibri" w:eastAsia="Calibri" w:hAnsi="Calibri" w:cs="Calibri"/>
          <w:color w:val="000000" w:themeColor="text1"/>
          <w:sz w:val="20"/>
          <w:szCs w:val="20"/>
        </w:rPr>
        <w:t>intellectual and/or developmental disabilities (IDD)</w:t>
      </w:r>
      <w:r w:rsidRPr="111703C8">
        <w:rPr>
          <w:sz w:val="20"/>
          <w:szCs w:val="20"/>
        </w:rPr>
        <w:t xml:space="preserve"> </w:t>
      </w:r>
      <w:r w:rsidR="001A1E3E">
        <w:rPr>
          <w:sz w:val="20"/>
          <w:szCs w:val="20"/>
        </w:rPr>
        <w:t xml:space="preserve">to </w:t>
      </w:r>
      <w:r w:rsidR="3F5E61F1" w:rsidRPr="111703C8">
        <w:rPr>
          <w:sz w:val="20"/>
          <w:szCs w:val="20"/>
        </w:rPr>
        <w:t xml:space="preserve">promote </w:t>
      </w:r>
      <w:r w:rsidR="06756AD2" w:rsidRPr="111703C8">
        <w:rPr>
          <w:sz w:val="20"/>
          <w:szCs w:val="20"/>
        </w:rPr>
        <w:t>independence</w:t>
      </w:r>
      <w:r w:rsidR="001A1E3E">
        <w:rPr>
          <w:sz w:val="20"/>
          <w:szCs w:val="20"/>
        </w:rPr>
        <w:t xml:space="preserve"> and </w:t>
      </w:r>
      <w:r w:rsidR="001A1E3E" w:rsidRPr="111703C8">
        <w:rPr>
          <w:sz w:val="20"/>
          <w:szCs w:val="20"/>
        </w:rPr>
        <w:t>enhance the</w:t>
      </w:r>
      <w:r w:rsidR="001A1E3E">
        <w:rPr>
          <w:sz w:val="20"/>
          <w:szCs w:val="20"/>
        </w:rPr>
        <w:t>ir</w:t>
      </w:r>
      <w:r w:rsidR="001A1E3E" w:rsidRPr="111703C8">
        <w:rPr>
          <w:sz w:val="20"/>
          <w:szCs w:val="20"/>
        </w:rPr>
        <w:t xml:space="preserve"> quality of life</w:t>
      </w:r>
      <w:r w:rsidR="3F5E61F1" w:rsidRPr="111703C8">
        <w:rPr>
          <w:sz w:val="20"/>
          <w:szCs w:val="20"/>
        </w:rPr>
        <w:t xml:space="preserve">. </w:t>
      </w:r>
      <w:r w:rsidR="001001CA" w:rsidRPr="111703C8">
        <w:rPr>
          <w:color w:val="000000" w:themeColor="text1"/>
          <w:sz w:val="20"/>
          <w:szCs w:val="20"/>
        </w:rPr>
        <w:t>These s</w:t>
      </w:r>
      <w:r w:rsidR="00690F70">
        <w:rPr>
          <w:color w:val="000000" w:themeColor="text1"/>
          <w:sz w:val="20"/>
          <w:szCs w:val="20"/>
        </w:rPr>
        <w:t>upport</w:t>
      </w:r>
      <w:r w:rsidR="001001CA" w:rsidRPr="111703C8">
        <w:rPr>
          <w:color w:val="000000" w:themeColor="text1"/>
          <w:sz w:val="20"/>
          <w:szCs w:val="20"/>
        </w:rPr>
        <w:t>s provide essential support such as healthcare, transportation</w:t>
      </w:r>
      <w:r w:rsidR="0623B416" w:rsidRPr="111703C8">
        <w:rPr>
          <w:color w:val="000000" w:themeColor="text1"/>
          <w:sz w:val="20"/>
          <w:szCs w:val="20"/>
        </w:rPr>
        <w:t>, vocational experiences,</w:t>
      </w:r>
      <w:r w:rsidR="001001CA" w:rsidRPr="111703C8">
        <w:rPr>
          <w:color w:val="000000" w:themeColor="text1"/>
          <w:sz w:val="20"/>
          <w:szCs w:val="20"/>
        </w:rPr>
        <w:t xml:space="preserve"> and education that teaches </w:t>
      </w:r>
      <w:r w:rsidR="001A1E3E">
        <w:rPr>
          <w:color w:val="000000" w:themeColor="text1"/>
          <w:sz w:val="20"/>
          <w:szCs w:val="20"/>
        </w:rPr>
        <w:t>adults</w:t>
      </w:r>
      <w:r w:rsidR="001A1E3E" w:rsidRPr="111703C8">
        <w:rPr>
          <w:color w:val="000000" w:themeColor="text1"/>
          <w:sz w:val="20"/>
          <w:szCs w:val="20"/>
        </w:rPr>
        <w:t xml:space="preserve"> </w:t>
      </w:r>
      <w:r w:rsidR="001001CA" w:rsidRPr="111703C8">
        <w:rPr>
          <w:color w:val="000000" w:themeColor="text1"/>
          <w:sz w:val="20"/>
          <w:szCs w:val="20"/>
        </w:rPr>
        <w:t xml:space="preserve">with IDD and their families new life skills. </w:t>
      </w:r>
      <w:r w:rsidR="00690F70">
        <w:rPr>
          <w:color w:val="000000" w:themeColor="text1"/>
          <w:sz w:val="20"/>
          <w:szCs w:val="20"/>
        </w:rPr>
        <w:t>Recent studies investigating p</w:t>
      </w:r>
      <w:r w:rsidR="001001CA" w:rsidRPr="111703C8">
        <w:rPr>
          <w:color w:val="000000" w:themeColor="text1"/>
          <w:sz w:val="20"/>
          <w:szCs w:val="20"/>
        </w:rPr>
        <w:t xml:space="preserve">atterns of service utilization have previously </w:t>
      </w:r>
      <w:r w:rsidR="62186DBC" w:rsidRPr="111703C8">
        <w:rPr>
          <w:color w:val="000000" w:themeColor="text1"/>
          <w:sz w:val="20"/>
          <w:szCs w:val="20"/>
        </w:rPr>
        <w:t>identified</w:t>
      </w:r>
      <w:r w:rsidR="001001CA" w:rsidRPr="111703C8">
        <w:rPr>
          <w:color w:val="000000" w:themeColor="text1"/>
          <w:sz w:val="20"/>
          <w:szCs w:val="20"/>
        </w:rPr>
        <w:t xml:space="preserve"> </w:t>
      </w:r>
      <w:r w:rsidR="4FA23343" w:rsidRPr="111703C8">
        <w:rPr>
          <w:color w:val="000000" w:themeColor="text1"/>
          <w:sz w:val="20"/>
          <w:szCs w:val="20"/>
        </w:rPr>
        <w:t>not</w:t>
      </w:r>
      <w:r w:rsidR="001001CA" w:rsidRPr="111703C8">
        <w:rPr>
          <w:color w:val="000000" w:themeColor="text1"/>
          <w:sz w:val="20"/>
          <w:szCs w:val="20"/>
        </w:rPr>
        <w:t>able di</w:t>
      </w:r>
      <w:r w:rsidR="4EF3B02F" w:rsidRPr="111703C8">
        <w:rPr>
          <w:color w:val="000000" w:themeColor="text1"/>
          <w:sz w:val="20"/>
          <w:szCs w:val="20"/>
        </w:rPr>
        <w:t>sparities</w:t>
      </w:r>
      <w:r w:rsidR="001001CA" w:rsidRPr="111703C8">
        <w:rPr>
          <w:color w:val="000000" w:themeColor="text1"/>
          <w:sz w:val="20"/>
          <w:szCs w:val="20"/>
        </w:rPr>
        <w:t xml:space="preserve"> in </w:t>
      </w:r>
      <w:r w:rsidR="62AF8A82" w:rsidRPr="111703C8">
        <w:rPr>
          <w:color w:val="000000" w:themeColor="text1"/>
          <w:sz w:val="20"/>
          <w:szCs w:val="20"/>
        </w:rPr>
        <w:t>expenditures</w:t>
      </w:r>
      <w:r w:rsidR="001001CA" w:rsidRPr="111703C8">
        <w:rPr>
          <w:color w:val="000000" w:themeColor="text1"/>
          <w:sz w:val="20"/>
          <w:szCs w:val="20"/>
        </w:rPr>
        <w:t xml:space="preserve"> </w:t>
      </w:r>
      <w:r w:rsidR="11C17B29" w:rsidRPr="111703C8">
        <w:rPr>
          <w:color w:val="000000" w:themeColor="text1"/>
          <w:sz w:val="20"/>
          <w:szCs w:val="20"/>
        </w:rPr>
        <w:t xml:space="preserve">across </w:t>
      </w:r>
      <w:r w:rsidR="001001CA" w:rsidRPr="111703C8">
        <w:rPr>
          <w:color w:val="000000" w:themeColor="text1"/>
          <w:sz w:val="20"/>
          <w:szCs w:val="20"/>
        </w:rPr>
        <w:t>rac</w:t>
      </w:r>
      <w:r w:rsidR="78A4473E" w:rsidRPr="111703C8">
        <w:rPr>
          <w:color w:val="000000" w:themeColor="text1"/>
          <w:sz w:val="20"/>
          <w:szCs w:val="20"/>
        </w:rPr>
        <w:t xml:space="preserve">ial and </w:t>
      </w:r>
      <w:r w:rsidR="001001CA" w:rsidRPr="111703C8">
        <w:rPr>
          <w:color w:val="000000" w:themeColor="text1"/>
          <w:sz w:val="20"/>
          <w:szCs w:val="20"/>
        </w:rPr>
        <w:t>ethnic</w:t>
      </w:r>
      <w:r w:rsidR="014EAE56" w:rsidRPr="111703C8">
        <w:rPr>
          <w:color w:val="000000" w:themeColor="text1"/>
          <w:sz w:val="20"/>
          <w:szCs w:val="20"/>
        </w:rPr>
        <w:t xml:space="preserve"> groups</w:t>
      </w:r>
      <w:r w:rsidR="001001CA" w:rsidRPr="111703C8">
        <w:rPr>
          <w:color w:val="000000" w:themeColor="text1"/>
          <w:sz w:val="20"/>
          <w:szCs w:val="20"/>
        </w:rPr>
        <w:t xml:space="preserve">, </w:t>
      </w:r>
      <w:r w:rsidR="504E68C5" w:rsidRPr="111703C8">
        <w:rPr>
          <w:color w:val="000000" w:themeColor="text1"/>
          <w:sz w:val="20"/>
          <w:szCs w:val="20"/>
        </w:rPr>
        <w:t xml:space="preserve">with </w:t>
      </w:r>
      <w:r w:rsidR="001001CA" w:rsidRPr="111703C8">
        <w:rPr>
          <w:color w:val="000000" w:themeColor="text1"/>
          <w:sz w:val="20"/>
          <w:szCs w:val="20"/>
        </w:rPr>
        <w:t>minority groups</w:t>
      </w:r>
      <w:r w:rsidR="309307CA" w:rsidRPr="111703C8">
        <w:rPr>
          <w:color w:val="000000" w:themeColor="text1"/>
          <w:sz w:val="20"/>
          <w:szCs w:val="20"/>
        </w:rPr>
        <w:t xml:space="preserve"> consistently </w:t>
      </w:r>
      <w:r w:rsidR="00384095" w:rsidRPr="111703C8">
        <w:rPr>
          <w:color w:val="000000" w:themeColor="text1"/>
          <w:sz w:val="20"/>
          <w:szCs w:val="20"/>
        </w:rPr>
        <w:t>demonstrating</w:t>
      </w:r>
      <w:r w:rsidR="001001CA" w:rsidRPr="111703C8">
        <w:rPr>
          <w:color w:val="000000" w:themeColor="text1"/>
          <w:sz w:val="20"/>
          <w:szCs w:val="20"/>
        </w:rPr>
        <w:t xml:space="preserve"> significantly lower service expenditures overall than white populations (Harrington &amp; Kang 2008; Harrington &amp; Kang 2016). However, </w:t>
      </w:r>
      <w:r w:rsidR="56BE89A5" w:rsidRPr="111703C8">
        <w:rPr>
          <w:color w:val="000000" w:themeColor="text1"/>
          <w:sz w:val="20"/>
          <w:szCs w:val="20"/>
        </w:rPr>
        <w:t xml:space="preserve">there remains </w:t>
      </w:r>
      <w:r w:rsidR="001001CA" w:rsidRPr="111703C8">
        <w:rPr>
          <w:color w:val="000000" w:themeColor="text1"/>
          <w:sz w:val="20"/>
          <w:szCs w:val="20"/>
        </w:rPr>
        <w:t>s</w:t>
      </w:r>
      <w:r w:rsidR="63E3D627" w:rsidRPr="111703C8">
        <w:rPr>
          <w:color w:val="000000" w:themeColor="text1"/>
          <w:sz w:val="20"/>
          <w:szCs w:val="20"/>
        </w:rPr>
        <w:t>ubstantial</w:t>
      </w:r>
      <w:r w:rsidR="001001CA" w:rsidRPr="111703C8">
        <w:rPr>
          <w:color w:val="000000" w:themeColor="text1"/>
          <w:sz w:val="20"/>
          <w:szCs w:val="20"/>
        </w:rPr>
        <w:t xml:space="preserve"> gaps in </w:t>
      </w:r>
      <w:r w:rsidR="3EDC6C20" w:rsidRPr="111703C8">
        <w:rPr>
          <w:color w:val="000000" w:themeColor="text1"/>
          <w:sz w:val="20"/>
          <w:szCs w:val="20"/>
        </w:rPr>
        <w:t xml:space="preserve">the </w:t>
      </w:r>
      <w:r w:rsidR="566E4AE2" w:rsidRPr="111703C8">
        <w:rPr>
          <w:color w:val="000000" w:themeColor="text1"/>
          <w:sz w:val="20"/>
          <w:szCs w:val="20"/>
        </w:rPr>
        <w:t xml:space="preserve">literature </w:t>
      </w:r>
      <w:r w:rsidR="3F586216" w:rsidRPr="111703C8">
        <w:rPr>
          <w:color w:val="000000" w:themeColor="text1"/>
          <w:sz w:val="20"/>
          <w:szCs w:val="20"/>
        </w:rPr>
        <w:t>concerning</w:t>
      </w:r>
      <w:r w:rsidR="001001CA" w:rsidRPr="111703C8">
        <w:rPr>
          <w:color w:val="000000" w:themeColor="text1"/>
          <w:sz w:val="20"/>
          <w:szCs w:val="20"/>
        </w:rPr>
        <w:t xml:space="preserve"> ethnic disparities of service utilization</w:t>
      </w:r>
      <w:r w:rsidR="1CCBDC8A" w:rsidRPr="111703C8">
        <w:rPr>
          <w:color w:val="000000" w:themeColor="text1"/>
          <w:sz w:val="20"/>
          <w:szCs w:val="20"/>
        </w:rPr>
        <w:t xml:space="preserve">, as opposed to service expenditures, </w:t>
      </w:r>
      <w:r w:rsidR="001001CA" w:rsidRPr="111703C8">
        <w:rPr>
          <w:color w:val="000000" w:themeColor="text1"/>
          <w:sz w:val="20"/>
          <w:szCs w:val="20"/>
        </w:rPr>
        <w:t xml:space="preserve">among </w:t>
      </w:r>
      <w:r w:rsidR="001A1E3E">
        <w:rPr>
          <w:color w:val="000000" w:themeColor="text1"/>
          <w:sz w:val="20"/>
          <w:szCs w:val="20"/>
        </w:rPr>
        <w:t>adults</w:t>
      </w:r>
      <w:r w:rsidR="001001CA" w:rsidRPr="111703C8">
        <w:rPr>
          <w:color w:val="000000" w:themeColor="text1"/>
          <w:sz w:val="20"/>
          <w:szCs w:val="20"/>
        </w:rPr>
        <w:t xml:space="preserve"> with IDD. The present study aims to: (1) </w:t>
      </w:r>
      <w:r w:rsidR="001A1E3E">
        <w:rPr>
          <w:color w:val="000000" w:themeColor="text1"/>
          <w:sz w:val="20"/>
          <w:szCs w:val="20"/>
        </w:rPr>
        <w:t>i</w:t>
      </w:r>
      <w:r w:rsidR="001001CA" w:rsidRPr="111703C8">
        <w:rPr>
          <w:color w:val="000000" w:themeColor="text1"/>
          <w:sz w:val="20"/>
          <w:szCs w:val="20"/>
        </w:rPr>
        <w:t xml:space="preserve">dentify potential racial/ethnic disparities </w:t>
      </w:r>
      <w:r w:rsidR="7C5F452E" w:rsidRPr="111703C8">
        <w:rPr>
          <w:color w:val="000000" w:themeColor="text1"/>
          <w:sz w:val="20"/>
          <w:szCs w:val="20"/>
        </w:rPr>
        <w:t>in</w:t>
      </w:r>
      <w:r w:rsidR="00352055">
        <w:rPr>
          <w:color w:val="000000" w:themeColor="text1"/>
          <w:sz w:val="20"/>
          <w:szCs w:val="20"/>
        </w:rPr>
        <w:t xml:space="preserve"> formal disability supports </w:t>
      </w:r>
      <w:r w:rsidR="001001CA" w:rsidRPr="111703C8">
        <w:rPr>
          <w:color w:val="000000" w:themeColor="text1"/>
          <w:sz w:val="20"/>
          <w:szCs w:val="20"/>
        </w:rPr>
        <w:t>utilization among families with a</w:t>
      </w:r>
      <w:r w:rsidR="58F1FF76" w:rsidRPr="111703C8">
        <w:rPr>
          <w:color w:val="000000" w:themeColor="text1"/>
          <w:sz w:val="20"/>
          <w:szCs w:val="20"/>
        </w:rPr>
        <w:t>n adult</w:t>
      </w:r>
      <w:r w:rsidR="001001CA" w:rsidRPr="111703C8">
        <w:rPr>
          <w:color w:val="000000" w:themeColor="text1"/>
          <w:sz w:val="20"/>
          <w:szCs w:val="20"/>
        </w:rPr>
        <w:t xml:space="preserve"> child with IDD (2) investigate </w:t>
      </w:r>
      <w:r w:rsidR="001A1E3E">
        <w:rPr>
          <w:color w:val="000000" w:themeColor="text1"/>
          <w:sz w:val="20"/>
          <w:szCs w:val="20"/>
        </w:rPr>
        <w:t>the</w:t>
      </w:r>
      <w:r w:rsidR="001001CA" w:rsidRPr="111703C8">
        <w:rPr>
          <w:color w:val="000000" w:themeColor="text1"/>
          <w:sz w:val="20"/>
          <w:szCs w:val="20"/>
        </w:rPr>
        <w:t xml:space="preserve"> relationship between the number of </w:t>
      </w:r>
      <w:r w:rsidR="00352055">
        <w:rPr>
          <w:color w:val="000000" w:themeColor="text1"/>
          <w:sz w:val="20"/>
          <w:szCs w:val="20"/>
        </w:rPr>
        <w:t xml:space="preserve">formal </w:t>
      </w:r>
      <w:proofErr w:type="gramStart"/>
      <w:r w:rsidR="00352055">
        <w:rPr>
          <w:color w:val="000000" w:themeColor="text1"/>
          <w:sz w:val="20"/>
          <w:szCs w:val="20"/>
        </w:rPr>
        <w:t>disability</w:t>
      </w:r>
      <w:proofErr w:type="gramEnd"/>
      <w:r w:rsidR="00352055">
        <w:rPr>
          <w:color w:val="000000" w:themeColor="text1"/>
          <w:sz w:val="20"/>
          <w:szCs w:val="20"/>
        </w:rPr>
        <w:t xml:space="preserve"> supports and </w:t>
      </w:r>
      <w:r w:rsidR="001001CA" w:rsidRPr="111703C8">
        <w:rPr>
          <w:color w:val="000000" w:themeColor="text1"/>
          <w:sz w:val="20"/>
          <w:szCs w:val="20"/>
        </w:rPr>
        <w:t>services received and</w:t>
      </w:r>
      <w:r w:rsidR="78506FD6" w:rsidRPr="111703C8">
        <w:rPr>
          <w:color w:val="000000" w:themeColor="text1"/>
          <w:sz w:val="20"/>
          <w:szCs w:val="20"/>
        </w:rPr>
        <w:t xml:space="preserve"> </w:t>
      </w:r>
      <w:r w:rsidR="001A1E3E">
        <w:rPr>
          <w:color w:val="000000" w:themeColor="text1"/>
          <w:sz w:val="20"/>
          <w:szCs w:val="20"/>
        </w:rPr>
        <w:t>race/</w:t>
      </w:r>
      <w:r w:rsidR="78506FD6" w:rsidRPr="111703C8">
        <w:rPr>
          <w:color w:val="000000" w:themeColor="text1"/>
          <w:sz w:val="20"/>
          <w:szCs w:val="20"/>
        </w:rPr>
        <w:t>ethnicity</w:t>
      </w:r>
      <w:r w:rsidR="001001CA" w:rsidRPr="111703C8">
        <w:rPr>
          <w:color w:val="000000" w:themeColor="text1"/>
          <w:sz w:val="20"/>
          <w:szCs w:val="20"/>
        </w:rPr>
        <w:t xml:space="preserve"> w</w:t>
      </w:r>
      <w:r w:rsidR="3AE39E54" w:rsidRPr="111703C8">
        <w:rPr>
          <w:color w:val="000000" w:themeColor="text1"/>
          <w:sz w:val="20"/>
          <w:szCs w:val="20"/>
        </w:rPr>
        <w:t>hen controlling for income.</w:t>
      </w:r>
    </w:p>
    <w:p w14:paraId="18237E12" w14:textId="76E40670" w:rsidR="78F948A6" w:rsidRDefault="78F948A6" w:rsidP="111703C8">
      <w:r w:rsidRPr="111703C8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Method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: This project utilized data from a nationwide survey investigating the experience of families of adult children with IDD (ages 18 to 60; </w:t>
      </w:r>
      <w:r w:rsidR="001A1E3E" w:rsidRPr="002728DA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M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23.51 years). 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Respondents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included 518 parents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of adults with IDD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across 41 U.S. states. Of these participants,69.9% identified as Non-Hispanic White, 13.5% Black, 11% Hispanic, and 5.6% Asian American and Pacific Islander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(AAPI)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. This study analysed family utilization of 11 formal 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disability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supports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and services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. Examples of </w:t>
      </w:r>
      <w:r w:rsidR="00690F7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formal support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 in the analysis include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</w:rPr>
        <w:t>vocational rehabilitation (VR), social security disability insurance (SSDI), Medicaid waivers, Medicare, personal aides, and respite care. Income was broken into a dichotomous variable (above/below the national poverty line).</w:t>
      </w:r>
    </w:p>
    <w:p w14:paraId="63332625" w14:textId="13B19472" w:rsidR="001001CA" w:rsidRPr="001001CA" w:rsidRDefault="003D6244" w:rsidP="111703C8">
      <w:pPr>
        <w:rPr>
          <w:rFonts w:cs="Calibri"/>
          <w:color w:val="000000" w:themeColor="text1"/>
          <w:sz w:val="20"/>
          <w:szCs w:val="20"/>
          <w:lang w:val="en-GB"/>
        </w:rPr>
      </w:pPr>
      <w:r w:rsidRPr="111703C8">
        <w:rPr>
          <w:b/>
          <w:bCs/>
          <w:color w:val="000000" w:themeColor="text1"/>
          <w:sz w:val="20"/>
          <w:szCs w:val="20"/>
          <w:lang w:val="en-GB"/>
        </w:rPr>
        <w:t>Results</w:t>
      </w:r>
      <w:r w:rsidR="068CA6E0" w:rsidRPr="111703C8">
        <w:rPr>
          <w:b/>
          <w:bCs/>
          <w:color w:val="000000" w:themeColor="text1"/>
          <w:sz w:val="20"/>
          <w:szCs w:val="20"/>
          <w:lang w:val="en-GB"/>
        </w:rPr>
        <w:t>: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 one-way ANOVA revealed a significant difference in the number of </w:t>
      </w:r>
      <w:r w:rsidR="00352055">
        <w:rPr>
          <w:color w:val="000000" w:themeColor="text1"/>
          <w:sz w:val="20"/>
          <w:szCs w:val="20"/>
        </w:rPr>
        <w:t xml:space="preserve">formal </w:t>
      </w:r>
      <w:proofErr w:type="gramStart"/>
      <w:r w:rsidR="00352055">
        <w:rPr>
          <w:color w:val="000000" w:themeColor="text1"/>
          <w:sz w:val="20"/>
          <w:szCs w:val="20"/>
        </w:rPr>
        <w:t>disability</w:t>
      </w:r>
      <w:proofErr w:type="gramEnd"/>
      <w:r w:rsidR="00352055">
        <w:rPr>
          <w:color w:val="000000" w:themeColor="text1"/>
          <w:sz w:val="20"/>
          <w:szCs w:val="20"/>
        </w:rPr>
        <w:t xml:space="preserve"> supports and </w:t>
      </w:r>
      <w:r w:rsidR="00352055" w:rsidRPr="111703C8">
        <w:rPr>
          <w:color w:val="000000" w:themeColor="text1"/>
          <w:sz w:val="20"/>
          <w:szCs w:val="20"/>
        </w:rPr>
        <w:t>services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utilized across Black, White, Hispanic, and AAPI families (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F 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(3,511) = 6.443,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&lt; .001). Post-Hoc analysis using Dunnett T3 revealed Black families (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M 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1.60,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SD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1.36) utilize significantly fewer </w:t>
      </w:r>
      <w:r w:rsidR="00630386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formal supports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than White families (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M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2.43,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SD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1.54), Hispanic families (M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2.42,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SD 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= 1.51), and AAPI families (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M =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2.75,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SD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2.22).  Specifically, Black families are utilizing the following </w:t>
      </w:r>
      <w:r w:rsidR="00630386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formal support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 at lower proportions: SSDI [χ² (4, N = 515) = 18.53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&lt; .001], Medicaid waivers [χ² (4, N = 515) = 18.54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&lt; .001, Medicare χ² (4, N = 515) =13.41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 = .01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], personal aides [χ² (4, N = 515) = 10.561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 = .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032], transportation services [χ²(4, N = 515) = 9.695,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.046], and respite care [χ² (4, N = 515) = 24.78 </w:t>
      </w:r>
      <w:r w:rsidR="068CA6E0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68CA6E0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&lt; .001].</w:t>
      </w:r>
    </w:p>
    <w:p w14:paraId="7C393EEE" w14:textId="5C11963F" w:rsidR="001001CA" w:rsidRPr="001001CA" w:rsidRDefault="068CA6E0" w:rsidP="111703C8"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 multiple linear regression was conducted to determine whether race and ethnicity significantly predicted the number of formal </w:t>
      </w:r>
      <w:proofErr w:type="gramStart"/>
      <w:r w:rsidR="00352055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disability</w:t>
      </w:r>
      <w:proofErr w:type="gramEnd"/>
      <w:r w:rsidR="00352055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supports</w:t>
      </w:r>
      <w:r w:rsidR="00352055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and services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utilized while controlling for income. The overall regression model was significant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F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(4, 476) = 9.88,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&lt; .001, explaining 7.7% of the variance in formal support utilization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R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vertAlign w:val="superscript"/>
          <w:lang w:val="en-GB"/>
        </w:rPr>
        <w:t>2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.077.  Identifying as Black (B = -.340, β = -.077,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-1.553,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.121), Hispanic (B = .076, β = .015,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=.342,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.732), or AAPI (B = .185, β = .030,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 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.030, </w:t>
      </w:r>
      <w:r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= .506)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1A1E3E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</w:t>
      </w:r>
      <w:r w:rsidR="001A1E3E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ere</w:t>
      </w:r>
      <w:r w:rsidR="001A1E3E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not a significant predictor of formal support utilization when controlling for income</w:t>
      </w:r>
      <w:r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  <w:r w:rsidR="003F16B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Income </w:t>
      </w:r>
      <w:r w:rsidR="00690F7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was a</w:t>
      </w:r>
      <w:r w:rsidR="003F16B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significant predictor of </w:t>
      </w:r>
      <w:r w:rsidR="006B12FB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number of formal </w:t>
      </w:r>
      <w:proofErr w:type="gramStart"/>
      <w:r w:rsidR="006B12FB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disability</w:t>
      </w:r>
      <w:proofErr w:type="gramEnd"/>
      <w:r w:rsidR="006B12FB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supports 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(B = </w:t>
      </w:r>
      <w:r w:rsidR="006B12FB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.922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, β = </w:t>
      </w:r>
      <w:r w:rsidR="00EE2CE1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.231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, </w:t>
      </w:r>
      <w:r w:rsidR="006B12FB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 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= </w:t>
      </w:r>
      <w:r w:rsidR="00EE2CE1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4.728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, </w:t>
      </w:r>
      <w:r w:rsidR="006B12FB" w:rsidRPr="111703C8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EE2CE1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&lt; .001</w:t>
      </w:r>
      <w:r w:rsidR="006B12FB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)</w:t>
      </w:r>
      <w:r w:rsidR="00EE2CE1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</w:p>
    <w:p w14:paraId="3F01E8D2" w14:textId="482B7A6D" w:rsidR="001001CA" w:rsidRPr="001001CA" w:rsidRDefault="003D6244" w:rsidP="111703C8">
      <w:pPr>
        <w:rPr>
          <w:color w:val="000000"/>
          <w:sz w:val="20"/>
          <w:szCs w:val="20"/>
        </w:rPr>
      </w:pPr>
      <w:r w:rsidRPr="111703C8">
        <w:rPr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001001CA" w:rsidRPr="111703C8">
        <w:rPr>
          <w:color w:val="000000" w:themeColor="text1"/>
          <w:sz w:val="20"/>
          <w:szCs w:val="20"/>
          <w:lang w:val="en-GB"/>
        </w:rPr>
        <w:t xml:space="preserve">Results of the current study establish both income and racial/ethnic identity as contributing factors in formal support service utilization. Findings highlight the disparities in access, particularly for </w:t>
      </w:r>
      <w:r w:rsidR="00352055">
        <w:rPr>
          <w:color w:val="000000" w:themeColor="text1"/>
          <w:sz w:val="20"/>
          <w:szCs w:val="20"/>
          <w:lang w:val="en-GB"/>
        </w:rPr>
        <w:t>B</w:t>
      </w:r>
      <w:r w:rsidR="001001CA" w:rsidRPr="111703C8">
        <w:rPr>
          <w:color w:val="000000" w:themeColor="text1"/>
          <w:sz w:val="20"/>
          <w:szCs w:val="20"/>
          <w:lang w:val="en-GB"/>
        </w:rPr>
        <w:t xml:space="preserve">lack families. </w:t>
      </w:r>
      <w:r w:rsidR="6E4E918E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However, </w:t>
      </w:r>
      <w:r w:rsidR="00352055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</w:t>
      </w:r>
      <w:r w:rsidR="6E4E918E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indings were not consistent across s</w:t>
      </w:r>
      <w:r w:rsidR="00690F70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upport</w:t>
      </w:r>
      <w:r w:rsidR="6E4E918E" w:rsidRPr="111703C8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 such as Medicaid Waivers SSDI and Section 8 housing</w:t>
      </w:r>
      <w:r w:rsidR="6E4E918E" w:rsidRPr="111703C8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. </w:t>
      </w:r>
      <w:r w:rsidR="00352055">
        <w:rPr>
          <w:color w:val="000000" w:themeColor="text1"/>
          <w:sz w:val="20"/>
          <w:szCs w:val="20"/>
          <w:lang w:val="en-GB"/>
        </w:rPr>
        <w:t>This</w:t>
      </w:r>
      <w:r w:rsidR="001001CA" w:rsidRPr="111703C8">
        <w:rPr>
          <w:color w:val="000000" w:themeColor="text1"/>
          <w:sz w:val="20"/>
          <w:szCs w:val="20"/>
          <w:lang w:val="en-GB"/>
        </w:rPr>
        <w:t xml:space="preserve"> inconsistency </w:t>
      </w:r>
      <w:r w:rsidR="00352055">
        <w:rPr>
          <w:color w:val="000000" w:themeColor="text1"/>
          <w:sz w:val="20"/>
          <w:szCs w:val="20"/>
          <w:lang w:val="en-GB"/>
        </w:rPr>
        <w:t xml:space="preserve">is </w:t>
      </w:r>
      <w:r w:rsidR="001001CA" w:rsidRPr="111703C8">
        <w:rPr>
          <w:color w:val="000000" w:themeColor="text1"/>
          <w:sz w:val="20"/>
          <w:szCs w:val="20"/>
          <w:lang w:val="en-GB"/>
        </w:rPr>
        <w:t xml:space="preserve">potentially explained by the varying complexity and bureaucratic oversight of certain </w:t>
      </w:r>
      <w:r w:rsidR="00690F70">
        <w:rPr>
          <w:color w:val="000000" w:themeColor="text1"/>
          <w:sz w:val="20"/>
          <w:szCs w:val="20"/>
          <w:lang w:val="en-GB"/>
        </w:rPr>
        <w:t xml:space="preserve">formal </w:t>
      </w:r>
      <w:r w:rsidR="001001CA" w:rsidRPr="111703C8">
        <w:rPr>
          <w:color w:val="000000" w:themeColor="text1"/>
          <w:sz w:val="20"/>
          <w:szCs w:val="20"/>
          <w:lang w:val="en-GB"/>
        </w:rPr>
        <w:t>s</w:t>
      </w:r>
      <w:r w:rsidR="00690F70">
        <w:rPr>
          <w:color w:val="000000" w:themeColor="text1"/>
          <w:sz w:val="20"/>
          <w:szCs w:val="20"/>
          <w:lang w:val="en-GB"/>
        </w:rPr>
        <w:t>upport</w:t>
      </w:r>
      <w:r w:rsidR="001001CA" w:rsidRPr="111703C8">
        <w:rPr>
          <w:color w:val="000000" w:themeColor="text1"/>
          <w:sz w:val="20"/>
          <w:szCs w:val="20"/>
          <w:lang w:val="en-GB"/>
        </w:rPr>
        <w:t>s, which disproportionately affect</w:t>
      </w:r>
      <w:r w:rsidR="00352055">
        <w:rPr>
          <w:color w:val="000000" w:themeColor="text1"/>
          <w:sz w:val="20"/>
          <w:szCs w:val="20"/>
          <w:lang w:val="en-GB"/>
        </w:rPr>
        <w:t>s</w:t>
      </w:r>
      <w:r w:rsidR="001001CA" w:rsidRPr="111703C8">
        <w:rPr>
          <w:color w:val="000000" w:themeColor="text1"/>
          <w:sz w:val="20"/>
          <w:szCs w:val="20"/>
          <w:lang w:val="en-GB"/>
        </w:rPr>
        <w:t xml:space="preserve"> minority groups (Santerre, 2002). Through utilization of quantitative data this research helps increase visibility and emphasize need for targeted intervention among underserved communities</w:t>
      </w:r>
      <w:r w:rsidR="00352055">
        <w:rPr>
          <w:color w:val="000000" w:themeColor="text1"/>
          <w:sz w:val="20"/>
          <w:szCs w:val="20"/>
          <w:lang w:val="en-GB"/>
        </w:rPr>
        <w:t>, c</w:t>
      </w:r>
      <w:r w:rsidR="001001CA" w:rsidRPr="111703C8">
        <w:rPr>
          <w:color w:val="000000" w:themeColor="text1"/>
          <w:sz w:val="20"/>
          <w:szCs w:val="20"/>
          <w:lang w:val="en-GB"/>
        </w:rPr>
        <w:t>ontributing to ongoing discussions on improving service equity</w:t>
      </w:r>
      <w:r w:rsidR="00352055">
        <w:rPr>
          <w:color w:val="000000" w:themeColor="text1"/>
          <w:sz w:val="20"/>
          <w:szCs w:val="20"/>
          <w:lang w:val="en-GB"/>
        </w:rPr>
        <w:t xml:space="preserve"> for adults with IDD from underserved backgrounds</w:t>
      </w:r>
      <w:r w:rsidR="001001CA" w:rsidRPr="111703C8">
        <w:rPr>
          <w:color w:val="000000" w:themeColor="text1"/>
          <w:sz w:val="20"/>
          <w:szCs w:val="20"/>
          <w:lang w:val="en-GB"/>
        </w:rPr>
        <w:t>.</w:t>
      </w:r>
      <w:r w:rsidR="001001CA" w:rsidRPr="111703C8">
        <w:rPr>
          <w:color w:val="000000" w:themeColor="text1"/>
          <w:sz w:val="20"/>
          <w:szCs w:val="20"/>
        </w:rPr>
        <w:t> </w:t>
      </w:r>
    </w:p>
    <w:p w14:paraId="7AC50375" w14:textId="1F68236A" w:rsidR="003D6244" w:rsidRDefault="003D6244" w:rsidP="003D6244">
      <w:pPr>
        <w:rPr>
          <w:iCs/>
          <w:color w:val="000000"/>
          <w:sz w:val="20"/>
          <w:szCs w:val="20"/>
        </w:rPr>
      </w:pPr>
    </w:p>
    <w:p w14:paraId="5E708C98" w14:textId="77777777" w:rsidR="002728DA" w:rsidRPr="001001CA" w:rsidRDefault="002728DA" w:rsidP="003D6244">
      <w:pPr>
        <w:rPr>
          <w:iCs/>
          <w:color w:val="000000"/>
          <w:sz w:val="20"/>
          <w:szCs w:val="20"/>
        </w:rPr>
      </w:pPr>
    </w:p>
    <w:p w14:paraId="5BE706FD" w14:textId="19AFBD54" w:rsidR="001001CA" w:rsidRDefault="003D6244" w:rsidP="111703C8">
      <w:pPr>
        <w:rPr>
          <w:b/>
          <w:bCs/>
          <w:color w:val="000000"/>
          <w:sz w:val="20"/>
          <w:szCs w:val="20"/>
          <w:lang w:val="en-GB"/>
        </w:rPr>
      </w:pPr>
      <w:r w:rsidRPr="111703C8">
        <w:rPr>
          <w:b/>
          <w:bCs/>
          <w:color w:val="000000" w:themeColor="text1"/>
          <w:sz w:val="20"/>
          <w:szCs w:val="20"/>
          <w:lang w:val="en-GB"/>
        </w:rPr>
        <w:t xml:space="preserve">References: </w:t>
      </w:r>
    </w:p>
    <w:p w14:paraId="5DD8B782" w14:textId="18D26E88" w:rsidR="001001CA" w:rsidRPr="001001CA" w:rsidRDefault="001001CA" w:rsidP="111703C8">
      <w:pPr>
        <w:ind w:left="720" w:hanging="720"/>
        <w:rPr>
          <w:color w:val="000000"/>
          <w:sz w:val="20"/>
          <w:szCs w:val="20"/>
        </w:rPr>
      </w:pPr>
      <w:r w:rsidRPr="111703C8">
        <w:rPr>
          <w:color w:val="000000" w:themeColor="text1"/>
          <w:sz w:val="20"/>
          <w:szCs w:val="20"/>
        </w:rPr>
        <w:t xml:space="preserve">Harrington, Charlene, and </w:t>
      </w:r>
      <w:proofErr w:type="spellStart"/>
      <w:r w:rsidRPr="111703C8">
        <w:rPr>
          <w:color w:val="000000" w:themeColor="text1"/>
          <w:sz w:val="20"/>
          <w:szCs w:val="20"/>
        </w:rPr>
        <w:t>Taewoon</w:t>
      </w:r>
      <w:proofErr w:type="spellEnd"/>
      <w:r w:rsidRPr="111703C8">
        <w:rPr>
          <w:color w:val="000000" w:themeColor="text1"/>
          <w:sz w:val="20"/>
          <w:szCs w:val="20"/>
        </w:rPr>
        <w:t xml:space="preserve"> Kang. </w:t>
      </w:r>
      <w:proofErr w:type="gramStart"/>
      <w:r w:rsidRPr="111703C8">
        <w:rPr>
          <w:color w:val="000000" w:themeColor="text1"/>
          <w:sz w:val="20"/>
          <w:szCs w:val="20"/>
        </w:rPr>
        <w:t>(2018) Disparities</w:t>
      </w:r>
      <w:proofErr w:type="gramEnd"/>
      <w:r w:rsidRPr="111703C8">
        <w:rPr>
          <w:color w:val="000000" w:themeColor="text1"/>
          <w:sz w:val="20"/>
          <w:szCs w:val="20"/>
        </w:rPr>
        <w:t xml:space="preserve"> in service use and expenditures for people with intellectual and developmental disabilities in California in 2005 and 2013. </w:t>
      </w:r>
      <w:r w:rsidRPr="111703C8">
        <w:rPr>
          <w:i/>
          <w:iCs/>
          <w:color w:val="000000" w:themeColor="text1"/>
          <w:sz w:val="20"/>
          <w:szCs w:val="20"/>
        </w:rPr>
        <w:t>Intellectual and Developmental Disabilities</w:t>
      </w:r>
      <w:r w:rsidRPr="111703C8">
        <w:rPr>
          <w:color w:val="000000" w:themeColor="text1"/>
          <w:sz w:val="20"/>
          <w:szCs w:val="20"/>
        </w:rPr>
        <w:t xml:space="preserve">, vol. 54, no. 1,  </w:t>
      </w:r>
      <w:hyperlink r:id="rId10">
        <w:r w:rsidRPr="111703C8">
          <w:rPr>
            <w:rStyle w:val="Hyperlink"/>
            <w:sz w:val="20"/>
            <w:szCs w:val="20"/>
          </w:rPr>
          <w:t>https://doi.org/10.1352/1934-9556-54.1.1</w:t>
        </w:r>
      </w:hyperlink>
      <w:r w:rsidRPr="111703C8">
        <w:rPr>
          <w:color w:val="000000" w:themeColor="text1"/>
          <w:sz w:val="20"/>
          <w:szCs w:val="20"/>
        </w:rPr>
        <w:t>. </w:t>
      </w:r>
    </w:p>
    <w:p w14:paraId="5E04D349" w14:textId="77777777" w:rsidR="001001CA" w:rsidRPr="001001CA" w:rsidRDefault="001001CA" w:rsidP="111703C8">
      <w:pPr>
        <w:ind w:left="720" w:hanging="720"/>
        <w:rPr>
          <w:color w:val="000000"/>
          <w:sz w:val="20"/>
          <w:szCs w:val="20"/>
        </w:rPr>
      </w:pPr>
      <w:r w:rsidRPr="111703C8">
        <w:rPr>
          <w:color w:val="000000" w:themeColor="text1"/>
          <w:sz w:val="20"/>
          <w:szCs w:val="20"/>
        </w:rPr>
        <w:t xml:space="preserve">Harrington, Charlene, and </w:t>
      </w:r>
      <w:proofErr w:type="spellStart"/>
      <w:r w:rsidRPr="111703C8">
        <w:rPr>
          <w:color w:val="000000" w:themeColor="text1"/>
          <w:sz w:val="20"/>
          <w:szCs w:val="20"/>
        </w:rPr>
        <w:t>Taewoon</w:t>
      </w:r>
      <w:proofErr w:type="spellEnd"/>
      <w:r w:rsidRPr="111703C8">
        <w:rPr>
          <w:color w:val="000000" w:themeColor="text1"/>
          <w:sz w:val="20"/>
          <w:szCs w:val="20"/>
        </w:rPr>
        <w:t xml:space="preserve"> Kang. (2008) Disparities in service utilization and expenditures for individuals with developmental disabilities. </w:t>
      </w:r>
      <w:r w:rsidRPr="111703C8">
        <w:rPr>
          <w:i/>
          <w:iCs/>
          <w:color w:val="000000" w:themeColor="text1"/>
          <w:sz w:val="20"/>
          <w:szCs w:val="20"/>
        </w:rPr>
        <w:t>Disability and Health Journal</w:t>
      </w:r>
      <w:r w:rsidRPr="111703C8">
        <w:rPr>
          <w:color w:val="000000" w:themeColor="text1"/>
          <w:sz w:val="20"/>
          <w:szCs w:val="20"/>
        </w:rPr>
        <w:t xml:space="preserve">, vol. 1, pp. 184–195, </w:t>
      </w:r>
      <w:hyperlink r:id="rId11">
        <w:r w:rsidRPr="111703C8">
          <w:rPr>
            <w:rStyle w:val="Hyperlink"/>
            <w:sz w:val="20"/>
            <w:szCs w:val="20"/>
          </w:rPr>
          <w:t>https://doi.org/10.1016/j.dhjo.2008.05.004</w:t>
        </w:r>
      </w:hyperlink>
      <w:r w:rsidRPr="111703C8">
        <w:rPr>
          <w:color w:val="000000" w:themeColor="text1"/>
          <w:sz w:val="20"/>
          <w:szCs w:val="20"/>
        </w:rPr>
        <w:t>. </w:t>
      </w:r>
    </w:p>
    <w:p w14:paraId="7A2A8849" w14:textId="77777777" w:rsidR="001001CA" w:rsidRPr="001001CA" w:rsidRDefault="001001CA" w:rsidP="111703C8">
      <w:pPr>
        <w:ind w:left="720" w:hanging="720"/>
        <w:rPr>
          <w:color w:val="000000"/>
          <w:sz w:val="20"/>
          <w:szCs w:val="20"/>
        </w:rPr>
      </w:pPr>
      <w:r w:rsidRPr="111703C8">
        <w:rPr>
          <w:color w:val="000000" w:themeColor="text1"/>
          <w:sz w:val="20"/>
          <w:szCs w:val="20"/>
          <w:lang w:val="en-GB"/>
        </w:rPr>
        <w:t xml:space="preserve">Sanderson, K. A., Burke, M. M., &amp; Hodapp, R. M. (2024). Understanding Natural Supports in Diverse Adults </w:t>
      </w:r>
      <w:proofErr w:type="gramStart"/>
      <w:r w:rsidRPr="111703C8">
        <w:rPr>
          <w:color w:val="000000" w:themeColor="text1"/>
          <w:sz w:val="20"/>
          <w:szCs w:val="20"/>
          <w:lang w:val="en-GB"/>
        </w:rPr>
        <w:t>With</w:t>
      </w:r>
      <w:proofErr w:type="gramEnd"/>
      <w:r w:rsidRPr="111703C8">
        <w:rPr>
          <w:color w:val="000000" w:themeColor="text1"/>
          <w:sz w:val="20"/>
          <w:szCs w:val="20"/>
          <w:lang w:val="en-GB"/>
        </w:rPr>
        <w:t xml:space="preserve"> Intellectual and Developmental Disabilities Across Life Domains. </w:t>
      </w:r>
      <w:r w:rsidRPr="111703C8">
        <w:rPr>
          <w:i/>
          <w:iCs/>
          <w:color w:val="000000" w:themeColor="text1"/>
          <w:sz w:val="20"/>
          <w:szCs w:val="20"/>
          <w:lang w:val="en-GB"/>
        </w:rPr>
        <w:t>American journal on intellectual and developmental disabilities</w:t>
      </w:r>
      <w:r w:rsidRPr="111703C8">
        <w:rPr>
          <w:color w:val="000000" w:themeColor="text1"/>
          <w:sz w:val="20"/>
          <w:szCs w:val="20"/>
          <w:lang w:val="en-GB"/>
        </w:rPr>
        <w:t xml:space="preserve">, </w:t>
      </w:r>
      <w:r w:rsidRPr="111703C8">
        <w:rPr>
          <w:i/>
          <w:iCs/>
          <w:color w:val="000000" w:themeColor="text1"/>
          <w:sz w:val="20"/>
          <w:szCs w:val="20"/>
          <w:lang w:val="en-GB"/>
        </w:rPr>
        <w:t>129</w:t>
      </w:r>
      <w:r w:rsidRPr="111703C8">
        <w:rPr>
          <w:color w:val="000000" w:themeColor="text1"/>
          <w:sz w:val="20"/>
          <w:szCs w:val="20"/>
          <w:lang w:val="en-GB"/>
        </w:rPr>
        <w:t xml:space="preserve">(4), 247–262. </w:t>
      </w:r>
      <w:hyperlink r:id="rId12">
        <w:r w:rsidRPr="111703C8">
          <w:rPr>
            <w:rStyle w:val="Hyperlink"/>
            <w:sz w:val="20"/>
            <w:szCs w:val="20"/>
            <w:lang w:val="en-GB"/>
          </w:rPr>
          <w:t>https://doi.org/10.1352/1944-7558-129.4.247</w:t>
        </w:r>
      </w:hyperlink>
      <w:r w:rsidRPr="111703C8">
        <w:rPr>
          <w:color w:val="000000" w:themeColor="text1"/>
          <w:sz w:val="20"/>
          <w:szCs w:val="20"/>
        </w:rPr>
        <w:t> </w:t>
      </w:r>
    </w:p>
    <w:p w14:paraId="4CBB4085" w14:textId="77777777" w:rsidR="001001CA" w:rsidRPr="001001CA" w:rsidRDefault="001001CA" w:rsidP="111703C8">
      <w:pPr>
        <w:ind w:left="720" w:hanging="720"/>
        <w:rPr>
          <w:color w:val="000000"/>
          <w:sz w:val="20"/>
          <w:szCs w:val="20"/>
        </w:rPr>
      </w:pPr>
      <w:r w:rsidRPr="111703C8">
        <w:rPr>
          <w:color w:val="000000" w:themeColor="text1"/>
          <w:sz w:val="20"/>
          <w:szCs w:val="20"/>
        </w:rPr>
        <w:t>Santerre RE. The inequity of Medicaid reimbursement in the United States.</w:t>
      </w:r>
      <w:r w:rsidRPr="111703C8">
        <w:rPr>
          <w:i/>
          <w:iCs/>
          <w:color w:val="000000" w:themeColor="text1"/>
          <w:sz w:val="20"/>
          <w:szCs w:val="20"/>
        </w:rPr>
        <w:t xml:space="preserve"> Appl Health Econ Health Policy.</w:t>
      </w:r>
      <w:r w:rsidRPr="111703C8">
        <w:rPr>
          <w:color w:val="000000" w:themeColor="text1"/>
          <w:sz w:val="20"/>
          <w:szCs w:val="20"/>
        </w:rPr>
        <w:t xml:space="preserve"> 2002;1(1):25-32. PMID: 14618745. </w:t>
      </w:r>
    </w:p>
    <w:p w14:paraId="7AC5037A" w14:textId="46A70CA7" w:rsidR="001C735E" w:rsidRPr="003D6244" w:rsidRDefault="003D6244" w:rsidP="001001CA">
      <w:r w:rsidRPr="008B1E03">
        <w:rPr>
          <w:rStyle w:val="FootnoteReference"/>
        </w:rPr>
        <w:footnoteRef/>
      </w:r>
      <w:r w:rsidRPr="008B1E03">
        <w:t xml:space="preserve"> </w:t>
      </w:r>
      <w:r w:rsidR="001001CA">
        <w:rPr>
          <w:lang w:val="en-CA"/>
        </w:rPr>
        <w:t>California State University Long Beach</w:t>
      </w:r>
    </w:p>
    <w:sectPr w:rsidR="001C735E" w:rsidRPr="003D6244" w:rsidSect="00394E2C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96F6" w14:textId="77777777" w:rsidR="00AB2B51" w:rsidRDefault="00AB2B51" w:rsidP="00A16498">
      <w:pPr>
        <w:spacing w:after="0" w:line="240" w:lineRule="auto"/>
      </w:pPr>
      <w:r>
        <w:separator/>
      </w:r>
    </w:p>
  </w:endnote>
  <w:endnote w:type="continuationSeparator" w:id="0">
    <w:p w14:paraId="5AD573C6" w14:textId="77777777" w:rsidR="00AB2B51" w:rsidRDefault="00AB2B51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AE67" w14:textId="77777777" w:rsidR="00AB2B51" w:rsidRDefault="00AB2B51" w:rsidP="00A16498">
      <w:pPr>
        <w:spacing w:after="0" w:line="240" w:lineRule="auto"/>
      </w:pPr>
      <w:r>
        <w:separator/>
      </w:r>
    </w:p>
  </w:footnote>
  <w:footnote w:type="continuationSeparator" w:id="0">
    <w:p w14:paraId="57483E19" w14:textId="77777777" w:rsidR="00AB2B51" w:rsidRDefault="00AB2B51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01A1CF5B" w:rsidR="00A16498" w:rsidRDefault="001001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C88DC" wp14:editId="1C88B87E">
              <wp:simplePos x="0" y="0"/>
              <wp:positionH relativeFrom="column">
                <wp:posOffset>-21590</wp:posOffset>
              </wp:positionH>
              <wp:positionV relativeFrom="paragraph">
                <wp:posOffset>-225425</wp:posOffset>
              </wp:positionV>
              <wp:extent cx="5371689" cy="457200"/>
              <wp:effectExtent l="0" t="0" r="19685" b="19050"/>
              <wp:wrapNone/>
              <wp:docPr id="12426175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C88DC" id="Rectangle 197" o:spid="_x0000_s1026" style="position:absolute;margin-left:-1.7pt;margin-top:-17.7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51B136E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001CA"/>
    <w:rsid w:val="001A1E3E"/>
    <w:rsid w:val="001C735E"/>
    <w:rsid w:val="00226854"/>
    <w:rsid w:val="00244C29"/>
    <w:rsid w:val="002728DA"/>
    <w:rsid w:val="002872AA"/>
    <w:rsid w:val="00300310"/>
    <w:rsid w:val="00312417"/>
    <w:rsid w:val="00316B3B"/>
    <w:rsid w:val="0032171F"/>
    <w:rsid w:val="00324E6F"/>
    <w:rsid w:val="0033415B"/>
    <w:rsid w:val="00352055"/>
    <w:rsid w:val="00384095"/>
    <w:rsid w:val="00394E2C"/>
    <w:rsid w:val="003B0285"/>
    <w:rsid w:val="003C2A0A"/>
    <w:rsid w:val="003C4D59"/>
    <w:rsid w:val="003D1FEB"/>
    <w:rsid w:val="003D6244"/>
    <w:rsid w:val="003F16B0"/>
    <w:rsid w:val="003F558A"/>
    <w:rsid w:val="00412A17"/>
    <w:rsid w:val="004473AC"/>
    <w:rsid w:val="00452576"/>
    <w:rsid w:val="0045428A"/>
    <w:rsid w:val="00477965"/>
    <w:rsid w:val="00532468"/>
    <w:rsid w:val="00550360"/>
    <w:rsid w:val="00577DC4"/>
    <w:rsid w:val="005F2B06"/>
    <w:rsid w:val="005F3158"/>
    <w:rsid w:val="00625543"/>
    <w:rsid w:val="00630386"/>
    <w:rsid w:val="006535AF"/>
    <w:rsid w:val="006637E7"/>
    <w:rsid w:val="00690F70"/>
    <w:rsid w:val="006B12FB"/>
    <w:rsid w:val="006C05DD"/>
    <w:rsid w:val="00751FEE"/>
    <w:rsid w:val="007722E4"/>
    <w:rsid w:val="0077649B"/>
    <w:rsid w:val="00777D73"/>
    <w:rsid w:val="007B4CE7"/>
    <w:rsid w:val="007F182D"/>
    <w:rsid w:val="00801D2A"/>
    <w:rsid w:val="00817FE3"/>
    <w:rsid w:val="00852C5D"/>
    <w:rsid w:val="0087492A"/>
    <w:rsid w:val="008762B5"/>
    <w:rsid w:val="008938D8"/>
    <w:rsid w:val="009112DD"/>
    <w:rsid w:val="00912D8B"/>
    <w:rsid w:val="009462E3"/>
    <w:rsid w:val="009B1DAB"/>
    <w:rsid w:val="009E1B56"/>
    <w:rsid w:val="00A16498"/>
    <w:rsid w:val="00A31BF7"/>
    <w:rsid w:val="00A867CD"/>
    <w:rsid w:val="00AB2B51"/>
    <w:rsid w:val="00AB7B37"/>
    <w:rsid w:val="00AE4ADB"/>
    <w:rsid w:val="00B226B4"/>
    <w:rsid w:val="00B71AFF"/>
    <w:rsid w:val="00BA2D2D"/>
    <w:rsid w:val="00BB4BDE"/>
    <w:rsid w:val="00C17428"/>
    <w:rsid w:val="00C363BA"/>
    <w:rsid w:val="00C6243D"/>
    <w:rsid w:val="00C80718"/>
    <w:rsid w:val="00CF3CDF"/>
    <w:rsid w:val="00D46241"/>
    <w:rsid w:val="00D60D08"/>
    <w:rsid w:val="00DA3004"/>
    <w:rsid w:val="00DC15FA"/>
    <w:rsid w:val="00E115B9"/>
    <w:rsid w:val="00E15391"/>
    <w:rsid w:val="00E4147C"/>
    <w:rsid w:val="00E555E8"/>
    <w:rsid w:val="00EC1345"/>
    <w:rsid w:val="00EE2CE1"/>
    <w:rsid w:val="00F023E6"/>
    <w:rsid w:val="00F2162A"/>
    <w:rsid w:val="00FF5F04"/>
    <w:rsid w:val="014EAE56"/>
    <w:rsid w:val="034607C9"/>
    <w:rsid w:val="0623B416"/>
    <w:rsid w:val="06502C20"/>
    <w:rsid w:val="06756AD2"/>
    <w:rsid w:val="068CA6E0"/>
    <w:rsid w:val="07CB5A4F"/>
    <w:rsid w:val="08A46466"/>
    <w:rsid w:val="0CBE2894"/>
    <w:rsid w:val="111703C8"/>
    <w:rsid w:val="11C17B29"/>
    <w:rsid w:val="123214D1"/>
    <w:rsid w:val="134E0FB6"/>
    <w:rsid w:val="19EA314A"/>
    <w:rsid w:val="1CCBDC8A"/>
    <w:rsid w:val="205AA8AC"/>
    <w:rsid w:val="252D7E58"/>
    <w:rsid w:val="292BE4B9"/>
    <w:rsid w:val="2C5450F4"/>
    <w:rsid w:val="309307CA"/>
    <w:rsid w:val="311DC1C3"/>
    <w:rsid w:val="33A82E31"/>
    <w:rsid w:val="370360C0"/>
    <w:rsid w:val="3AE39E54"/>
    <w:rsid w:val="3C1F6683"/>
    <w:rsid w:val="3CFEC8C3"/>
    <w:rsid w:val="3EDC6C20"/>
    <w:rsid w:val="3F214127"/>
    <w:rsid w:val="3F586216"/>
    <w:rsid w:val="3F5E61F1"/>
    <w:rsid w:val="402E0FD2"/>
    <w:rsid w:val="42B71328"/>
    <w:rsid w:val="454B04C1"/>
    <w:rsid w:val="4C01AA28"/>
    <w:rsid w:val="4C17E9FA"/>
    <w:rsid w:val="4EF3B02F"/>
    <w:rsid w:val="4FA23343"/>
    <w:rsid w:val="504E68C5"/>
    <w:rsid w:val="5222244F"/>
    <w:rsid w:val="566E4AE2"/>
    <w:rsid w:val="56BE89A5"/>
    <w:rsid w:val="571B4627"/>
    <w:rsid w:val="58F1FF76"/>
    <w:rsid w:val="59E8AA73"/>
    <w:rsid w:val="5EB88278"/>
    <w:rsid w:val="600594A3"/>
    <w:rsid w:val="62186DBC"/>
    <w:rsid w:val="6263665C"/>
    <w:rsid w:val="62AF8A82"/>
    <w:rsid w:val="63E3D627"/>
    <w:rsid w:val="65E39FE1"/>
    <w:rsid w:val="668A7EAF"/>
    <w:rsid w:val="6C463A1E"/>
    <w:rsid w:val="6C6ED3DF"/>
    <w:rsid w:val="6CEBD538"/>
    <w:rsid w:val="6D6FB0AE"/>
    <w:rsid w:val="6E4E918E"/>
    <w:rsid w:val="7145DD96"/>
    <w:rsid w:val="742B8FFA"/>
    <w:rsid w:val="757C7C3D"/>
    <w:rsid w:val="75A03235"/>
    <w:rsid w:val="767B423B"/>
    <w:rsid w:val="76C6DF89"/>
    <w:rsid w:val="77F9BE63"/>
    <w:rsid w:val="78506FD6"/>
    <w:rsid w:val="78A4473E"/>
    <w:rsid w:val="78F948A6"/>
    <w:rsid w:val="7C5F452E"/>
    <w:rsid w:val="7D5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0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1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1E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352/1944-7558-129.4.247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dhjo.2008.05.00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352/1934-9556-54.1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A1132411B0C478547D39E58E41176" ma:contentTypeVersion="15" ma:contentTypeDescription="Create a new document." ma:contentTypeScope="" ma:versionID="69993f355d65273ee3e287b8274b6774">
  <xsd:schema xmlns:xsd="http://www.w3.org/2001/XMLSchema" xmlns:xs="http://www.w3.org/2001/XMLSchema" xmlns:p="http://schemas.microsoft.com/office/2006/metadata/properties" xmlns:ns2="3e52bad2-e924-4ce8-85f4-4072c35f52f7" xmlns:ns3="5eb5e48b-ee32-4858-9319-c8c5ba75e7b3" targetNamespace="http://schemas.microsoft.com/office/2006/metadata/properties" ma:root="true" ma:fieldsID="c32efc6de2ffcf98bb2ba8c42482b107" ns2:_="" ns3:_="">
    <xsd:import namespace="3e52bad2-e924-4ce8-85f4-4072c35f52f7"/>
    <xsd:import namespace="5eb5e48b-ee32-4858-9319-c8c5ba75e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llis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bad2-e924-4ce8-85f4-4072c35f5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llison" ma:index="20" nillable="true" ma:displayName="Allison" ma:format="Dropdown" ma:internalName="Allison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e48b-ee32-4858-9319-c8c5ba75e7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bdb259-fa28-43fa-aa3e-612e32c20c56}" ma:internalName="TaxCatchAll" ma:showField="CatchAllData" ma:web="5eb5e48b-ee32-4858-9319-c8c5ba75e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2bad2-e924-4ce8-85f4-4072c35f52f7">
      <Terms xmlns="http://schemas.microsoft.com/office/infopath/2007/PartnerControls"/>
    </lcf76f155ced4ddcb4097134ff3c332f>
    <Allison xmlns="3e52bad2-e924-4ce8-85f4-4072c35f52f7" xsi:nil="true"/>
    <TaxCatchAll xmlns="5eb5e48b-ee32-4858-9319-c8c5ba75e7b3" xsi:nil="true"/>
  </documentManagement>
</p:properties>
</file>

<file path=customXml/itemProps1.xml><?xml version="1.0" encoding="utf-8"?>
<ds:datastoreItem xmlns:ds="http://schemas.openxmlformats.org/officeDocument/2006/customXml" ds:itemID="{A69585AC-3BF9-4BF7-BD00-99B00B2F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2bad2-e924-4ce8-85f4-4072c35f52f7"/>
    <ds:schemaRef ds:uri="5eb5e48b-ee32-4858-9319-c8c5ba75e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3e52bad2-e924-4ce8-85f4-4072c35f52f7"/>
    <ds:schemaRef ds:uri="5eb5e48b-ee32-4858-9319-c8c5ba75e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Kameron Stout</cp:lastModifiedBy>
  <cp:revision>13</cp:revision>
  <dcterms:created xsi:type="dcterms:W3CDTF">2024-10-22T15:40:00Z</dcterms:created>
  <dcterms:modified xsi:type="dcterms:W3CDTF">2024-10-22T17:22:00Z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0x010100E5CA1132411B0C478547D39E58E41176</vt:lpwstr>
  </property>
  <property fmtid="{D5CDD505-2E9C-101B-9397-08002B2CF9AE}" pid="3" name="MediaServiceImageTags">
    <vt:lpwstr/>
  </property>
</Properties>
</file>