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F0EFF" w14:textId="77777777" w:rsidR="008225F3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Title</w:t>
      </w:r>
      <w:r>
        <w:rPr>
          <w:rFonts w:ascii="Calibri" w:eastAsia="Calibri" w:hAnsi="Calibri" w:cs="Calibri"/>
          <w:sz w:val="20"/>
          <w:szCs w:val="20"/>
        </w:rPr>
        <w:t>: Questions Matter: Investigating the Role of Caregiver Interactions in Children with Down Syndrome</w:t>
      </w:r>
    </w:p>
    <w:p w14:paraId="427F1611" w14:textId="77777777" w:rsidR="008225F3" w:rsidRDefault="008225F3">
      <w:pPr>
        <w:rPr>
          <w:rFonts w:ascii="Calibri" w:eastAsia="Calibri" w:hAnsi="Calibri" w:cs="Calibri"/>
          <w:sz w:val="20"/>
          <w:szCs w:val="20"/>
        </w:rPr>
      </w:pPr>
    </w:p>
    <w:p w14:paraId="207E6451" w14:textId="54ED989B" w:rsidR="008225F3" w:rsidRDefault="00000000">
      <w:pPr>
        <w:rPr>
          <w:rFonts w:ascii="Calibri" w:eastAsia="Calibri" w:hAnsi="Calibri" w:cs="Calibri"/>
          <w:sz w:val="20"/>
          <w:szCs w:val="20"/>
          <w:vertAlign w:val="superscript"/>
        </w:rPr>
      </w:pPr>
      <w:r>
        <w:rPr>
          <w:rFonts w:ascii="Calibri" w:eastAsia="Calibri" w:hAnsi="Calibri" w:cs="Calibri"/>
          <w:b/>
          <w:sz w:val="20"/>
          <w:szCs w:val="20"/>
        </w:rPr>
        <w:t>Authors</w:t>
      </w:r>
      <w:r>
        <w:rPr>
          <w:rFonts w:ascii="Calibri" w:eastAsia="Calibri" w:hAnsi="Calibri" w:cs="Calibri"/>
          <w:sz w:val="20"/>
          <w:szCs w:val="20"/>
        </w:rPr>
        <w:t>: Tiffany</w:t>
      </w:r>
      <w:r w:rsidR="00564492">
        <w:rPr>
          <w:rFonts w:ascii="Calibri" w:eastAsia="Calibri" w:hAnsi="Calibri" w:cs="Calibri"/>
          <w:sz w:val="20"/>
          <w:szCs w:val="20"/>
        </w:rPr>
        <w:t xml:space="preserve"> Chavers</w:t>
      </w:r>
      <w:r>
        <w:rPr>
          <w:rFonts w:ascii="Calibri" w:eastAsia="Calibri" w:hAnsi="Calibri" w:cs="Calibri"/>
          <w:sz w:val="20"/>
          <w:szCs w:val="20"/>
        </w:rPr>
        <w:t xml:space="preserve"> Edgar</w:t>
      </w:r>
      <w:r>
        <w:rPr>
          <w:rFonts w:ascii="Calibri" w:eastAsia="Calibri" w:hAnsi="Calibri" w:cs="Calibri"/>
          <w:sz w:val="20"/>
          <w:szCs w:val="20"/>
          <w:vertAlign w:val="superscript"/>
        </w:rPr>
        <w:t>1</w:t>
      </w:r>
      <w:r>
        <w:rPr>
          <w:rFonts w:ascii="Calibri" w:eastAsia="Calibri" w:hAnsi="Calibri" w:cs="Calibri"/>
          <w:sz w:val="20"/>
          <w:szCs w:val="20"/>
        </w:rPr>
        <w:t>, Emily Schworer</w:t>
      </w:r>
      <w:r>
        <w:rPr>
          <w:rFonts w:ascii="Calibri" w:eastAsia="Calibri" w:hAnsi="Calibri" w:cs="Calibri"/>
          <w:sz w:val="20"/>
          <w:szCs w:val="20"/>
          <w:vertAlign w:val="superscript"/>
        </w:rPr>
        <w:t>1</w:t>
      </w:r>
      <w:r>
        <w:rPr>
          <w:rFonts w:ascii="Calibri" w:eastAsia="Calibri" w:hAnsi="Calibri" w:cs="Calibri"/>
          <w:sz w:val="20"/>
          <w:szCs w:val="20"/>
        </w:rPr>
        <w:t>, Catherine Rogers Gaspar</w:t>
      </w:r>
      <w:r>
        <w:rPr>
          <w:rFonts w:ascii="Calibri" w:eastAsia="Calibri" w:hAnsi="Calibri" w:cs="Calibri"/>
          <w:sz w:val="20"/>
          <w:szCs w:val="20"/>
          <w:vertAlign w:val="superscript"/>
        </w:rPr>
        <w:t>1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  <w:vertAlign w:val="superscript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 Audra Sterling</w:t>
      </w:r>
      <w:r>
        <w:rPr>
          <w:rFonts w:ascii="Calibri" w:eastAsia="Calibri" w:hAnsi="Calibri" w:cs="Calibri"/>
          <w:sz w:val="20"/>
          <w:szCs w:val="20"/>
          <w:vertAlign w:val="superscript"/>
        </w:rPr>
        <w:t>1,2</w:t>
      </w:r>
    </w:p>
    <w:p w14:paraId="2BDB3E9C" w14:textId="77777777" w:rsidR="008225F3" w:rsidRDefault="008225F3">
      <w:pPr>
        <w:rPr>
          <w:rFonts w:ascii="Calibri" w:eastAsia="Calibri" w:hAnsi="Calibri" w:cs="Calibri"/>
          <w:sz w:val="20"/>
          <w:szCs w:val="20"/>
        </w:rPr>
      </w:pPr>
    </w:p>
    <w:p w14:paraId="14FDAF94" w14:textId="24B6266C" w:rsidR="008225F3" w:rsidRDefault="00000000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Introduction</w:t>
      </w:r>
      <w:r>
        <w:rPr>
          <w:rFonts w:ascii="Calibri" w:eastAsia="Calibri" w:hAnsi="Calibri" w:cs="Calibri"/>
          <w:sz w:val="20"/>
          <w:szCs w:val="20"/>
        </w:rPr>
        <w:t xml:space="preserve">: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Parents and caregivers </w:t>
      </w:r>
      <w:r>
        <w:rPr>
          <w:rFonts w:ascii="Calibri" w:eastAsia="Calibri" w:hAnsi="Calibri" w:cs="Calibri"/>
          <w:sz w:val="20"/>
          <w:szCs w:val="20"/>
        </w:rPr>
        <w:t>influence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their child’s language development as nearly all children learn communication and language through caregiver-child interactions (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Heidlage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et al., 2020). One key component of these interactions is the questions </w:t>
      </w:r>
      <w:r>
        <w:rPr>
          <w:rFonts w:ascii="Calibri" w:eastAsia="Calibri" w:hAnsi="Calibri" w:cs="Calibri"/>
          <w:sz w:val="20"/>
          <w:szCs w:val="20"/>
        </w:rPr>
        <w:t>asked by caregivers</w:t>
      </w:r>
      <w:r>
        <w:rPr>
          <w:rFonts w:ascii="Calibri" w:eastAsia="Calibri" w:hAnsi="Calibri" w:cs="Calibri"/>
          <w:color w:val="000000"/>
          <w:sz w:val="20"/>
          <w:szCs w:val="20"/>
        </w:rPr>
        <w:t>, which create opportunities for children to interact with their caregiver and demonstrate their communication and language skills. Therefore, caregiver-child interactions are often studied to gain a deeper understanding of children's language learning environments, particularly in children with Down syndrome (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DS;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e.g.,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Elmquist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et al., 2024;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Lorang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et al., 2018</w:t>
      </w:r>
      <w:r>
        <w:rPr>
          <w:rFonts w:ascii="Calibri" w:eastAsia="Calibri" w:hAnsi="Calibri" w:cs="Calibri"/>
          <w:sz w:val="20"/>
          <w:szCs w:val="20"/>
        </w:rPr>
        <w:t xml:space="preserve">).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Prior research on caregiver-child interactions </w:t>
      </w:r>
      <w:r>
        <w:rPr>
          <w:rFonts w:ascii="Calibri" w:eastAsia="Calibri" w:hAnsi="Calibri" w:cs="Calibri"/>
          <w:sz w:val="20"/>
          <w:szCs w:val="20"/>
        </w:rPr>
        <w:t xml:space="preserve">for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children with DS has primarily focused on dyadic interactions (i.e., interactions between a child and one communication partner), with mothers serving as the communication partner (e.g., Hilvert et al., 2021;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Lorang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et al., 2018; Schneider et al., 2023)</w:t>
      </w:r>
      <w:r>
        <w:rPr>
          <w:rFonts w:ascii="Calibri" w:eastAsia="Calibri" w:hAnsi="Calibri" w:cs="Calibri"/>
          <w:sz w:val="20"/>
          <w:szCs w:val="20"/>
        </w:rPr>
        <w:t xml:space="preserve">, despite fathers also frequently interacting with their child.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Generalizing findings on mother-child interactions to father-child interactions may be problematic, as research </w:t>
      </w:r>
      <w:r>
        <w:rPr>
          <w:rFonts w:ascii="Calibri" w:eastAsia="Calibri" w:hAnsi="Calibri" w:cs="Calibri"/>
          <w:sz w:val="20"/>
          <w:szCs w:val="20"/>
        </w:rPr>
        <w:t>on children with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typical development (e.g., Nandy et al., 2021) and in children with DS (de Falco et al., 2011;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Elmquist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et al., 2024) </w:t>
      </w:r>
      <w:proofErr w:type="gramStart"/>
      <w:r w:rsidR="00564492">
        <w:rPr>
          <w:rFonts w:ascii="Calibri" w:eastAsia="Calibri" w:hAnsi="Calibri" w:cs="Calibri"/>
          <w:sz w:val="20"/>
          <w:szCs w:val="20"/>
        </w:rPr>
        <w:t>evidences</w:t>
      </w:r>
      <w:proofErr w:type="gramEnd"/>
      <w:r w:rsidR="00564492">
        <w:rPr>
          <w:rFonts w:ascii="Calibri" w:eastAsia="Calibri" w:hAnsi="Calibri" w:cs="Calibri"/>
          <w:sz w:val="20"/>
          <w:szCs w:val="20"/>
        </w:rPr>
        <w:t xml:space="preserve"> </w:t>
      </w:r>
      <w:r w:rsidR="00564492">
        <w:rPr>
          <w:rFonts w:ascii="Calibri" w:eastAsia="Calibri" w:hAnsi="Calibri" w:cs="Calibri"/>
          <w:color w:val="000000"/>
          <w:sz w:val="20"/>
          <w:szCs w:val="20"/>
        </w:rPr>
        <w:t>communication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differences based on parent sex.</w:t>
      </w:r>
      <w:r>
        <w:rPr>
          <w:rFonts w:ascii="Calibri" w:eastAsia="Calibri" w:hAnsi="Calibri" w:cs="Calibri"/>
          <w:sz w:val="20"/>
          <w:szCs w:val="20"/>
        </w:rPr>
        <w:t xml:space="preserve"> T</w:t>
      </w:r>
      <w:r>
        <w:rPr>
          <w:rFonts w:ascii="Calibri" w:eastAsia="Calibri" w:hAnsi="Calibri" w:cs="Calibri"/>
          <w:color w:val="000000"/>
          <w:sz w:val="20"/>
          <w:szCs w:val="20"/>
        </w:rPr>
        <w:t>he present study addressed the following questions: 1) Are there differences in the rate and type of questions children are exposed to when comparing mother-child interactions to father–child interactions?, 2) Do the rate and type of questions children are exposed to</w:t>
      </w:r>
      <w:r>
        <w:rPr>
          <w:rFonts w:ascii="Calibri" w:eastAsia="Calibri" w:hAnsi="Calibri" w:cs="Calibri"/>
          <w:sz w:val="20"/>
          <w:szCs w:val="20"/>
        </w:rPr>
        <w:t xml:space="preserve"> differ between mother-child and father-child interactions within each family unit?,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and 3) </w:t>
      </w:r>
      <w:r>
        <w:rPr>
          <w:rFonts w:ascii="Calibri" w:eastAsia="Calibri" w:hAnsi="Calibri" w:cs="Calibri"/>
          <w:sz w:val="20"/>
          <w:szCs w:val="20"/>
        </w:rPr>
        <w:t xml:space="preserve">Are the type of questions mothers and fathers ask their children with DS associated with children’s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non-verbal IQ,  language ability,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chronological age? </w:t>
      </w:r>
    </w:p>
    <w:p w14:paraId="6345907D" w14:textId="77777777" w:rsidR="008225F3" w:rsidRDefault="008225F3">
      <w:pPr>
        <w:rPr>
          <w:color w:val="000000"/>
          <w:sz w:val="20"/>
          <w:szCs w:val="20"/>
        </w:rPr>
      </w:pPr>
    </w:p>
    <w:p w14:paraId="7EC4EF70" w14:textId="77777777" w:rsidR="008225F3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Method</w:t>
      </w:r>
      <w:r>
        <w:rPr>
          <w:rFonts w:ascii="Calibri" w:eastAsia="Calibri" w:hAnsi="Calibri" w:cs="Calibri"/>
          <w:color w:val="000000"/>
          <w:sz w:val="20"/>
          <w:szCs w:val="20"/>
        </w:rPr>
        <w:t>: Participants included 15 children with DS (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M =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39.67,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SD =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12.11) and both of their biological parents. Each participant was administered the Mullen Scales of Early Learning (Mullen, 1995), a play-based developmental assessment. Ten-minute dyadic interactions for mother-child and father-child interactions were video-recorded during free play in the participants’ home. Dyadic interactions were behaviorally coded using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Noldus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Observer XT software. First, we measured the</w:t>
      </w:r>
      <w:r>
        <w:rPr>
          <w:rFonts w:ascii="Calibri" w:eastAsia="Calibri" w:hAnsi="Calibri" w:cs="Calibri"/>
          <w:sz w:val="20"/>
          <w:szCs w:val="20"/>
        </w:rPr>
        <w:t xml:space="preserve"> rate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of questions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Questions were further coded by type (i.e., open-ended, closed-ended, rhetorical). Additional</w:t>
      </w:r>
      <w:r>
        <w:rPr>
          <w:rFonts w:ascii="Calibri" w:eastAsia="Calibri" w:hAnsi="Calibri" w:cs="Calibri"/>
          <w:sz w:val="20"/>
          <w:szCs w:val="20"/>
        </w:rPr>
        <w:t>ly, closed-ended questions were coded as yes/no questions, forced choice questions, or test questions.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To ensure consistency in data interpretation, consensus coding was used to resolve discrepancies between raters. Hedge’s g effect sizes and 95% confidence intervals (CIs) were calculated to examine differences between question type across caregiver-interactions and within family units. Effect sizes were interpreted as small (g = 0.20), medium (g = 0.50), and large (g = 0.80; Cohen, 1988). </w:t>
      </w:r>
      <w:r>
        <w:rPr>
          <w:rFonts w:ascii="Calibri" w:eastAsia="Calibri" w:hAnsi="Calibri" w:cs="Calibri"/>
          <w:sz w:val="20"/>
          <w:szCs w:val="20"/>
        </w:rPr>
        <w:t>Pearson’s</w:t>
      </w:r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correlation coefficient was calculated to determine the association between the non-verbal IQ, language ability, and chronological age and the type of questions asked by mothers and fathers. </w:t>
      </w:r>
    </w:p>
    <w:p w14:paraId="64228855" w14:textId="77777777" w:rsidR="008225F3" w:rsidRDefault="008225F3">
      <w:pPr>
        <w:rPr>
          <w:rFonts w:ascii="Calibri" w:eastAsia="Calibri" w:hAnsi="Calibri" w:cs="Calibri"/>
          <w:sz w:val="20"/>
          <w:szCs w:val="20"/>
          <w:highlight w:val="yellow"/>
        </w:rPr>
      </w:pPr>
    </w:p>
    <w:p w14:paraId="1BD50D68" w14:textId="682C864B" w:rsidR="008225F3" w:rsidRDefault="00000000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Results</w:t>
      </w:r>
      <w:r>
        <w:rPr>
          <w:rFonts w:ascii="Calibri" w:eastAsia="Calibri" w:hAnsi="Calibri" w:cs="Calibri"/>
          <w:color w:val="000000"/>
          <w:sz w:val="20"/>
          <w:szCs w:val="20"/>
        </w:rPr>
        <w:t>: When comparing mother-dyadic to father-dyadic interactions, mothers produced more total questions than fathers</w:t>
      </w:r>
      <w:r>
        <w:rPr>
          <w:rFonts w:ascii="Calibri" w:eastAsia="Calibri" w:hAnsi="Calibri" w:cs="Calibri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sz w:val="20"/>
          <w:szCs w:val="20"/>
        </w:rPr>
        <w:t>M</w:t>
      </w:r>
      <w:r w:rsidRPr="00564492">
        <w:rPr>
          <w:rFonts w:ascii="Calibri" w:eastAsia="Calibri" w:hAnsi="Calibri" w:cs="Calibri"/>
          <w:sz w:val="20"/>
          <w:szCs w:val="20"/>
          <w:vertAlign w:val="superscript"/>
        </w:rPr>
        <w:t>mother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= 81, SD = 20.24 </w:t>
      </w:r>
      <w:proofErr w:type="spellStart"/>
      <w:r>
        <w:rPr>
          <w:rFonts w:ascii="Calibri" w:eastAsia="Calibri" w:hAnsi="Calibri" w:cs="Calibri"/>
          <w:sz w:val="20"/>
          <w:szCs w:val="20"/>
        </w:rPr>
        <w:t>M</w:t>
      </w:r>
      <w:r w:rsidRPr="00564492">
        <w:rPr>
          <w:rFonts w:ascii="Calibri" w:eastAsia="Calibri" w:hAnsi="Calibri" w:cs="Calibri"/>
          <w:sz w:val="20"/>
          <w:szCs w:val="20"/>
          <w:vertAlign w:val="superscript"/>
        </w:rPr>
        <w:t>father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= 62, SD = 28.41; g = .76, CI [.03, 1.48])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. Specifically, </w:t>
      </w:r>
      <w:r>
        <w:rPr>
          <w:rFonts w:ascii="Calibri" w:eastAsia="Calibri" w:hAnsi="Calibri" w:cs="Calibri"/>
          <w:sz w:val="20"/>
          <w:szCs w:val="20"/>
        </w:rPr>
        <w:t xml:space="preserve">mothers produced more open-ended questions (g = .55, CI [-.17, 1.25]) and closed-ended questions (g = .80, CI [.07, 1.52] than fathers. Mothers asked slightly more rhetorical questions than fathers (g = .17, CI [-53, .87]). 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Furthermore, </w:t>
      </w:r>
      <w:r>
        <w:rPr>
          <w:rFonts w:ascii="Calibri" w:eastAsia="Calibri" w:hAnsi="Calibri" w:cs="Calibri"/>
          <w:sz w:val="20"/>
          <w:szCs w:val="20"/>
        </w:rPr>
        <w:t>mothers asked more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yes/no questions (g = .61, CI [-.11, 1.32]), more forced choice questions (g = .46, CI [-.24, 1.1</w:t>
      </w:r>
      <w:r>
        <w:rPr>
          <w:rFonts w:ascii="Calibri" w:eastAsia="Calibri" w:hAnsi="Calibri" w:cs="Calibri"/>
          <w:sz w:val="20"/>
          <w:szCs w:val="20"/>
        </w:rPr>
        <w:t>7</w:t>
      </w:r>
      <w:r>
        <w:rPr>
          <w:rFonts w:ascii="Calibri" w:eastAsia="Calibri" w:hAnsi="Calibri" w:cs="Calibri"/>
          <w:color w:val="000000"/>
          <w:sz w:val="20"/>
          <w:szCs w:val="20"/>
        </w:rPr>
        <w:t>]), and more test questions (g = .47, CI [-.2</w:t>
      </w:r>
      <w:r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color w:val="000000"/>
          <w:sz w:val="20"/>
          <w:szCs w:val="20"/>
        </w:rPr>
        <w:t>, 1.1</w:t>
      </w:r>
      <w:r>
        <w:rPr>
          <w:rFonts w:ascii="Calibri" w:eastAsia="Calibri" w:hAnsi="Calibri" w:cs="Calibri"/>
          <w:sz w:val="20"/>
          <w:szCs w:val="20"/>
        </w:rPr>
        <w:t>8</w:t>
      </w:r>
      <w:r>
        <w:rPr>
          <w:rFonts w:ascii="Calibri" w:eastAsia="Calibri" w:hAnsi="Calibri" w:cs="Calibri"/>
          <w:color w:val="000000"/>
          <w:sz w:val="20"/>
          <w:szCs w:val="20"/>
        </w:rPr>
        <w:t>])</w:t>
      </w:r>
      <w:r>
        <w:rPr>
          <w:rFonts w:ascii="Calibri" w:eastAsia="Calibri" w:hAnsi="Calibri" w:cs="Calibri"/>
          <w:sz w:val="20"/>
          <w:szCs w:val="20"/>
        </w:rPr>
        <w:t xml:space="preserve"> than fathers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. Within </w:t>
      </w:r>
      <w:r>
        <w:rPr>
          <w:rFonts w:ascii="Calibri" w:eastAsia="Calibri" w:hAnsi="Calibri" w:cs="Calibri"/>
          <w:sz w:val="20"/>
          <w:szCs w:val="20"/>
        </w:rPr>
        <w:t>each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family unit, 10 of the 15 mothers had a higher </w:t>
      </w:r>
      <w:r>
        <w:rPr>
          <w:rFonts w:ascii="Calibri" w:eastAsia="Calibri" w:hAnsi="Calibri" w:cs="Calibri"/>
          <w:sz w:val="20"/>
          <w:szCs w:val="20"/>
        </w:rPr>
        <w:t>rate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of questions than the fathe</w:t>
      </w:r>
      <w:r>
        <w:rPr>
          <w:rFonts w:ascii="Calibri" w:eastAsia="Calibri" w:hAnsi="Calibri" w:cs="Calibri"/>
          <w:sz w:val="20"/>
          <w:szCs w:val="20"/>
        </w:rPr>
        <w:t>rs. Rate of mothers’ and fathers’ open-ended and closed-ended questions were not significantly correlated with child non-verbal IQ, language ability, or chronological age. However, mother and father combined rate of closed-ended questions was significantly associated with child chronological age (</w:t>
      </w:r>
      <w:r>
        <w:rPr>
          <w:rFonts w:ascii="Calibri" w:eastAsia="Calibri" w:hAnsi="Calibri" w:cs="Calibri"/>
          <w:i/>
          <w:sz w:val="20"/>
          <w:szCs w:val="20"/>
        </w:rPr>
        <w:t xml:space="preserve">r </w:t>
      </w:r>
      <w:r>
        <w:rPr>
          <w:rFonts w:ascii="Calibri" w:eastAsia="Calibri" w:hAnsi="Calibri" w:cs="Calibri"/>
          <w:sz w:val="20"/>
          <w:szCs w:val="20"/>
        </w:rPr>
        <w:t xml:space="preserve">= -.53, </w:t>
      </w:r>
      <w:r>
        <w:rPr>
          <w:rFonts w:ascii="Calibri" w:eastAsia="Calibri" w:hAnsi="Calibri" w:cs="Calibri"/>
          <w:i/>
          <w:sz w:val="20"/>
          <w:szCs w:val="20"/>
        </w:rPr>
        <w:t xml:space="preserve">p </w:t>
      </w:r>
      <w:r>
        <w:rPr>
          <w:rFonts w:ascii="Calibri" w:eastAsia="Calibri" w:hAnsi="Calibri" w:cs="Calibri"/>
          <w:sz w:val="20"/>
          <w:szCs w:val="20"/>
        </w:rPr>
        <w:t>= .04). Additionally, mothers’ rhetorical questions were significantly correlated with child non-verbal IQ (</w:t>
      </w:r>
      <w:r>
        <w:rPr>
          <w:rFonts w:ascii="Calibri" w:eastAsia="Calibri" w:hAnsi="Calibri" w:cs="Calibri"/>
          <w:i/>
          <w:sz w:val="20"/>
          <w:szCs w:val="20"/>
        </w:rPr>
        <w:t xml:space="preserve">r </w:t>
      </w:r>
      <w:r>
        <w:rPr>
          <w:rFonts w:ascii="Calibri" w:eastAsia="Calibri" w:hAnsi="Calibri" w:cs="Calibri"/>
          <w:sz w:val="20"/>
          <w:szCs w:val="20"/>
        </w:rPr>
        <w:t xml:space="preserve">= .53, </w:t>
      </w:r>
      <w:r>
        <w:rPr>
          <w:rFonts w:ascii="Calibri" w:eastAsia="Calibri" w:hAnsi="Calibri" w:cs="Calibri"/>
          <w:i/>
          <w:sz w:val="20"/>
          <w:szCs w:val="20"/>
        </w:rPr>
        <w:t xml:space="preserve">p </w:t>
      </w:r>
      <w:r>
        <w:rPr>
          <w:rFonts w:ascii="Calibri" w:eastAsia="Calibri" w:hAnsi="Calibri" w:cs="Calibri"/>
          <w:sz w:val="20"/>
          <w:szCs w:val="20"/>
        </w:rPr>
        <w:t xml:space="preserve">= .04).   </w:t>
      </w:r>
    </w:p>
    <w:p w14:paraId="5770112B" w14:textId="77777777" w:rsidR="008225F3" w:rsidRDefault="00000000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4545162" w14:textId="72AA42CF" w:rsidR="00564492" w:rsidRPr="00564492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Discussion: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AA7425">
        <w:rPr>
          <w:rFonts w:ascii="Calibri" w:eastAsia="Calibri" w:hAnsi="Calibri" w:cs="Calibri"/>
          <w:sz w:val="20"/>
          <w:szCs w:val="20"/>
        </w:rPr>
        <w:t>Findings</w:t>
      </w:r>
      <w:r>
        <w:rPr>
          <w:rFonts w:ascii="Calibri" w:eastAsia="Calibri" w:hAnsi="Calibri" w:cs="Calibri"/>
          <w:sz w:val="20"/>
          <w:szCs w:val="20"/>
        </w:rPr>
        <w:t xml:space="preserve"> indicate that mothers asked significantly more questions than fathers, including more open-ended and closed-ended questions, as well as specific subtypes of closed-ended questions (i.e., yes/no, forced choice, test questions). This underscores the need to consider both maternal and paternal contributions to the language-learning environment of children with DS. Question type showed no significant correlations with children’s language ability, non-verbal IQ, or chronological age, with two exceptions:</w:t>
      </w:r>
      <w:r w:rsidR="00AA7425">
        <w:rPr>
          <w:rFonts w:ascii="Calibri" w:eastAsia="Calibri" w:hAnsi="Calibri" w:cs="Calibri"/>
          <w:sz w:val="20"/>
          <w:szCs w:val="20"/>
        </w:rPr>
        <w:t xml:space="preserve"> the rate of</w:t>
      </w:r>
      <w:r>
        <w:rPr>
          <w:rFonts w:ascii="Calibri" w:eastAsia="Calibri" w:hAnsi="Calibri" w:cs="Calibri"/>
          <w:sz w:val="20"/>
          <w:szCs w:val="20"/>
        </w:rPr>
        <w:t xml:space="preserve"> mothers’ rhetorical questions w</w:t>
      </w:r>
      <w:r w:rsidR="00AA7425">
        <w:rPr>
          <w:rFonts w:ascii="Calibri" w:eastAsia="Calibri" w:hAnsi="Calibri" w:cs="Calibri"/>
          <w:sz w:val="20"/>
          <w:szCs w:val="20"/>
        </w:rPr>
        <w:t xml:space="preserve">as </w:t>
      </w:r>
      <w:r>
        <w:rPr>
          <w:rFonts w:ascii="Calibri" w:eastAsia="Calibri" w:hAnsi="Calibri" w:cs="Calibri"/>
          <w:sz w:val="20"/>
          <w:szCs w:val="20"/>
        </w:rPr>
        <w:t xml:space="preserve">associated with child non-verbal IQ and the combined rate of mother and father closed-ended questions was associated with child chronological age. This suggests that caregivers’ questions may be more reflective of individualistic </w:t>
      </w:r>
      <w:r w:rsidR="00AA7425">
        <w:rPr>
          <w:rFonts w:ascii="Calibri" w:eastAsia="Calibri" w:hAnsi="Calibri" w:cs="Calibri"/>
          <w:sz w:val="20"/>
          <w:szCs w:val="20"/>
        </w:rPr>
        <w:t xml:space="preserve">and cultural interaction styles </w:t>
      </w:r>
      <w:r>
        <w:rPr>
          <w:rFonts w:ascii="Calibri" w:eastAsia="Calibri" w:hAnsi="Calibri" w:cs="Calibri"/>
          <w:sz w:val="20"/>
          <w:szCs w:val="20"/>
        </w:rPr>
        <w:t xml:space="preserve">and less responsive to the child’s clinical characteristics. Future research should focus on how mothers’ and fathers’ question-asking behaviors support language development across the lifespan for children with DS. This would provide valuable insight into how parental question types evolve throughout children’s language and cognitive development. </w:t>
      </w:r>
    </w:p>
    <w:p w14:paraId="53F62A79" w14:textId="77777777" w:rsidR="008225F3" w:rsidRDefault="00000000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 xml:space="preserve">References: </w:t>
      </w:r>
    </w:p>
    <w:p w14:paraId="25C852B4" w14:textId="77777777" w:rsidR="008225F3" w:rsidRDefault="008225F3">
      <w:pPr>
        <w:rPr>
          <w:b/>
          <w:color w:val="000000"/>
          <w:sz w:val="20"/>
          <w:szCs w:val="20"/>
        </w:rPr>
      </w:pPr>
    </w:p>
    <w:p w14:paraId="111988B4" w14:textId="77777777" w:rsidR="008225F3" w:rsidRDefault="00000000">
      <w:pPr>
        <w:ind w:left="720" w:hanging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Cohen, J. (1988). Set correlation and contingency tables.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Applied Psychological Measurement, 12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(4), 425–434. </w:t>
      </w:r>
      <w:hyperlink r:id="rId7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https://doi.org/10. 1177/014662168801200410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1B9E158B" w14:textId="77777777" w:rsidR="008225F3" w:rsidRDefault="00000000">
      <w:pPr>
        <w:ind w:left="720" w:hanging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de Falco, S., Venuti, P., Esposito, G., &amp; Bornstein, M. H. (2011). Maternal and paternal pragmatic speech directed to young children with Down syndrome and typical development.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Infant Behavior and Development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34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(1), 161–169. </w:t>
      </w:r>
      <w:hyperlink r:id="rId8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https://doi.org/10.1016/j.infbeh.2010.12.002</w:t>
        </w:r>
      </w:hyperlink>
    </w:p>
    <w:p w14:paraId="1AAD3929" w14:textId="77777777" w:rsidR="008225F3" w:rsidRDefault="00000000">
      <w:pPr>
        <w:ind w:left="720" w:hanging="720"/>
        <w:rPr>
          <w:rFonts w:ascii="Calibri" w:eastAsia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Elmquist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, M., Ford, A. L. B.,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Lorang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, E., &amp; Sterling, A. (2024). Opportunities to respond during dyadic caregiver–child and naturalistic family interactions among children with Down syndrome: A preliminary investigation.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American Journal of Speech-Language Pathology, 33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(4), 2041-2050. </w:t>
      </w:r>
      <w:hyperlink r:id="rId9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https://doi.org/10.1044/2024_AJSLP-23-00179</w:t>
        </w:r>
      </w:hyperlink>
    </w:p>
    <w:p w14:paraId="02768E33" w14:textId="77777777" w:rsidR="008225F3" w:rsidRDefault="00000000">
      <w:pPr>
        <w:ind w:left="720" w:hanging="720"/>
        <w:rPr>
          <w:rFonts w:ascii="Calibri" w:eastAsia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Heidlage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, J. K., Cunningham, J. E., Kaiser, A. P., Trivette, C. M., Barton, E. E., Frey, J. R., &amp; Roberts, M. Y. (2020). The effects of parent-implemented language interventions on child linguistic outcomes: A meta-analysis.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Early Childhood Research Quarterly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50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, 6–23. </w:t>
      </w:r>
      <w:hyperlink r:id="rId10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https://doi.org/10.1016/j.ecresq.2018.12.006</w:t>
        </w:r>
      </w:hyperlink>
    </w:p>
    <w:p w14:paraId="1939E5C3" w14:textId="77777777" w:rsidR="008225F3" w:rsidRDefault="00000000">
      <w:pPr>
        <w:ind w:left="720" w:hanging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Hilvert, E.,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Lorang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, E., &amp; Sterling, A. (2021). Maternal use of decontextualized and contextualized talk: An in-depth investigation of early parent–child interactions in Down syndrome.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American Journal of Speech-Language Pathology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30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(4), 1767–1780. </w:t>
      </w:r>
      <w:hyperlink r:id="rId11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https://doi.org/10.1044/2021_AJSLP-20-00190</w:t>
        </w:r>
      </w:hyperlink>
    </w:p>
    <w:p w14:paraId="5D303C43" w14:textId="77777777" w:rsidR="008225F3" w:rsidRDefault="00000000">
      <w:pPr>
        <w:ind w:left="720" w:hanging="720"/>
        <w:rPr>
          <w:rFonts w:ascii="Calibri" w:eastAsia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Lorang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, E., Sterling, A., &amp; Schroeder, B. (2018). Maternal responsiveness to gestures in children with Down syndrome.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American Journal of Speech-Language Pathology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27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(3), 1018–1029. </w:t>
      </w:r>
      <w:hyperlink r:id="rId12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https://doi.org/10.1044/2018_AJSLP-17-0138</w:t>
        </w:r>
      </w:hyperlink>
    </w:p>
    <w:p w14:paraId="1E84BFB1" w14:textId="77777777" w:rsidR="008225F3" w:rsidRDefault="00000000">
      <w:pPr>
        <w:ind w:left="720" w:hanging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Mullen, E. M. (1995). Mullen Scales for Early Learning. AGS.</w:t>
      </w:r>
    </w:p>
    <w:p w14:paraId="65BAAB9C" w14:textId="77777777" w:rsidR="008225F3" w:rsidRDefault="00000000">
      <w:pPr>
        <w:ind w:left="720" w:hanging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Nandy, A., Nixon, E., &amp; Quigley, J. (2021). Communicative functions of parents’ child-directed speech across dyadic and triadic contexts.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Journal of Child Language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48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(6), 1281–1294. </w:t>
      </w:r>
      <w:hyperlink r:id="rId13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https://doi.org/10.1017/S030500092000080X</w:t>
        </w:r>
      </w:hyperlink>
    </w:p>
    <w:p w14:paraId="4556765C" w14:textId="77777777" w:rsidR="008225F3" w:rsidRDefault="00000000">
      <w:pPr>
        <w:ind w:left="720" w:hanging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Schneider, J. L., Roemer, E. J., Northrup, J. B., &amp; Iverson, J. M. (2023). Dynamics of the dyad: How mothers and infants co‐construct interaction spaces during object play.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Developmental Science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26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(2), e13281. </w:t>
      </w:r>
      <w:hyperlink r:id="rId14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https://doi.org/10.1111/desc.13281</w:t>
        </w:r>
      </w:hyperlink>
    </w:p>
    <w:p w14:paraId="21077679" w14:textId="77777777" w:rsidR="008225F3" w:rsidRDefault="008225F3">
      <w:pPr>
        <w:rPr>
          <w:b/>
          <w:color w:val="000000"/>
          <w:sz w:val="20"/>
          <w:szCs w:val="20"/>
        </w:rPr>
      </w:pPr>
    </w:p>
    <w:p w14:paraId="3658CBA3" w14:textId="77777777" w:rsidR="008225F3" w:rsidRDefault="008225F3">
      <w:pPr>
        <w:rPr>
          <w:b/>
          <w:color w:val="000000"/>
          <w:sz w:val="20"/>
          <w:szCs w:val="20"/>
        </w:rPr>
      </w:pPr>
    </w:p>
    <w:p w14:paraId="0788F13A" w14:textId="77777777" w:rsidR="008225F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vertAlign w:val="superscript"/>
        </w:rPr>
        <w:t>1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Waisman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Center, University of Wisconsin-Madison</w:t>
      </w:r>
    </w:p>
    <w:p w14:paraId="2B9AFCB6" w14:textId="77777777" w:rsidR="008225F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Department of Communication Sciences and Disorders, University of Wisconsin-Madison </w:t>
      </w:r>
    </w:p>
    <w:p w14:paraId="73DDA642" w14:textId="77777777" w:rsidR="008225F3" w:rsidRDefault="008225F3"/>
    <w:sectPr w:rsidR="008225F3">
      <w:headerReference w:type="default" r:id="rId15"/>
      <w:footerReference w:type="default" r:id="rId16"/>
      <w:pgSz w:w="12240" w:h="15840"/>
      <w:pgMar w:top="1440" w:right="864" w:bottom="1440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6471B" w14:textId="77777777" w:rsidR="00114E57" w:rsidRDefault="00114E57">
      <w:r>
        <w:separator/>
      </w:r>
    </w:p>
  </w:endnote>
  <w:endnote w:type="continuationSeparator" w:id="0">
    <w:p w14:paraId="38A65ECE" w14:textId="77777777" w:rsidR="00114E57" w:rsidRDefault="0011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efa">
    <w:panose1 w:val="02000506000000020004"/>
    <w:charset w:val="4D"/>
    <w:family w:val="auto"/>
    <w:pitch w:val="variable"/>
    <w:sig w:usb0="800000AF" w:usb1="4000204B" w:usb2="000008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BB62F" w14:textId="77777777" w:rsidR="008225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b/>
        <w:color w:val="000000"/>
        <w:sz w:val="20"/>
        <w:szCs w:val="20"/>
      </w:rPr>
    </w:pPr>
    <w:r>
      <w:rPr>
        <w:rFonts w:ascii="Calibri" w:eastAsia="Calibri" w:hAnsi="Calibri" w:cs="Calibri"/>
        <w:b/>
        <w:color w:val="000000"/>
        <w:sz w:val="20"/>
        <w:szCs w:val="20"/>
      </w:rPr>
      <w:t xml:space="preserve">Page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BB45C9">
      <w:rPr>
        <w:rFonts w:ascii="Calibri" w:eastAsia="Calibri" w:hAnsi="Calibri" w:cs="Calibri"/>
        <w:b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b/>
        <w:color w:val="000000"/>
        <w:sz w:val="20"/>
        <w:szCs w:val="20"/>
      </w:rPr>
      <w:t xml:space="preserve"> of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NUMPAGES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BB45C9">
      <w:rPr>
        <w:rFonts w:ascii="Calibri" w:eastAsia="Calibri" w:hAnsi="Calibri" w:cs="Calibri"/>
        <w:b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</w:p>
  <w:p w14:paraId="35E8ECF6" w14:textId="77777777" w:rsidR="008225F3" w:rsidRDefault="008225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68534" w14:textId="77777777" w:rsidR="00114E57" w:rsidRDefault="00114E57">
      <w:r>
        <w:separator/>
      </w:r>
    </w:p>
  </w:footnote>
  <w:footnote w:type="continuationSeparator" w:id="0">
    <w:p w14:paraId="37DB68A5" w14:textId="77777777" w:rsidR="00114E57" w:rsidRDefault="00114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BC075" w14:textId="77777777" w:rsidR="008225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6874EC4" wp14:editId="0FE556A0">
              <wp:simplePos x="0" y="0"/>
              <wp:positionH relativeFrom="column">
                <wp:posOffset>-25399</wp:posOffset>
              </wp:positionH>
              <wp:positionV relativeFrom="paragraph">
                <wp:posOffset>-241299</wp:posOffset>
              </wp:positionV>
              <wp:extent cx="5397089" cy="482600"/>
              <wp:effectExtent l="0" t="0" r="0" b="0"/>
              <wp:wrapNone/>
              <wp:docPr id="1024221689" name="Rectangle 10242216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60156" y="3551400"/>
                        <a:ext cx="5371689" cy="457200"/>
                      </a:xfrm>
                      <a:prstGeom prst="rect">
                        <a:avLst/>
                      </a:prstGeom>
                      <a:noFill/>
                      <a:ln w="25400" cap="flat" cmpd="sng">
                        <a:solidFill>
                          <a:srgbClr val="444C6A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C38EC0C" w14:textId="77777777" w:rsidR="008225F3" w:rsidRDefault="00000000">
                          <w:pPr>
                            <w:textDirection w:val="btLr"/>
                          </w:pPr>
                          <w:r>
                            <w:rPr>
                              <w:rFonts w:ascii="Kefa" w:eastAsia="Kefa" w:hAnsi="Kefa" w:cs="Kefa"/>
                              <w:b/>
                              <w:color w:val="444C6A"/>
                              <w:sz w:val="36"/>
                            </w:rPr>
                            <w:t>2024 Gatlinburg Conference Poster Submission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-241299</wp:posOffset>
              </wp:positionV>
              <wp:extent cx="5397089" cy="482600"/>
              <wp:effectExtent b="0" l="0" r="0" t="0"/>
              <wp:wrapNone/>
              <wp:docPr id="102422168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7089" cy="482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BD3189A" w14:textId="77777777" w:rsidR="008225F3" w:rsidRDefault="008225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F3"/>
    <w:rsid w:val="00114E57"/>
    <w:rsid w:val="00564492"/>
    <w:rsid w:val="006157ED"/>
    <w:rsid w:val="008225F3"/>
    <w:rsid w:val="00AA7425"/>
    <w:rsid w:val="00BB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9CA9A4"/>
  <w15:docId w15:val="{A62CAB18-17D0-F640-B956-AA98362F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6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244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30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3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39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5115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D07B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B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3786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infbeh.2010.12.002" TargetMode="External"/><Relationship Id="rId13" Type="http://schemas.openxmlformats.org/officeDocument/2006/relationships/hyperlink" Target="https://doi.org/10.1017/S030500092000080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%201177/014662168801200410" TargetMode="External"/><Relationship Id="rId12" Type="http://schemas.openxmlformats.org/officeDocument/2006/relationships/hyperlink" Target="https://doi.org/10.1044/2018_AJSLP-17-013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044/2021_AJSLP-20-0019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i.org/10.1016/j.ecresq.2018.12.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44/2024_AJSLP-23-00179" TargetMode="External"/><Relationship Id="rId14" Type="http://schemas.openxmlformats.org/officeDocument/2006/relationships/hyperlink" Target="https://doi.org/10.1111/desc.1328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0zfZ6k8IRkCG8k9otk/JsNbCZQ==">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1260</Words>
  <Characters>7188</Characters>
  <Application>Microsoft Office Word</Application>
  <DocSecurity>0</DocSecurity>
  <Lines>59</Lines>
  <Paragraphs>16</Paragraphs>
  <ScaleCrop>false</ScaleCrop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BSHELTON</dc:creator>
  <cp:lastModifiedBy>Tiffany Chavers</cp:lastModifiedBy>
  <cp:revision>6</cp:revision>
  <dcterms:created xsi:type="dcterms:W3CDTF">2024-10-28T14:45:00Z</dcterms:created>
  <dcterms:modified xsi:type="dcterms:W3CDTF">2024-10-28T14:49:00Z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</Properties>
</file>