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50370" w14:textId="761BB73F" w:rsidR="003D6244" w:rsidRPr="008A7117" w:rsidRDefault="003D6244" w:rsidP="008A7117">
      <w:pPr>
        <w:pStyle w:val="NormalWeb"/>
        <w:spacing w:before="240" w:beforeAutospacing="0" w:after="240" w:afterAutospacing="0" w:line="276" w:lineRule="auto"/>
        <w:rPr>
          <w:sz w:val="20"/>
          <w:szCs w:val="20"/>
        </w:rPr>
      </w:pPr>
      <w:r w:rsidRPr="008A7117">
        <w:rPr>
          <w:b/>
          <w:sz w:val="20"/>
          <w:szCs w:val="20"/>
        </w:rPr>
        <w:t>Title</w:t>
      </w:r>
      <w:r w:rsidRPr="008A7117">
        <w:rPr>
          <w:sz w:val="20"/>
          <w:szCs w:val="20"/>
        </w:rPr>
        <w:t xml:space="preserve">: </w:t>
      </w:r>
      <w:r w:rsidR="003F29AC" w:rsidRPr="008A7117">
        <w:rPr>
          <w:color w:val="000000"/>
          <w:sz w:val="20"/>
          <w:szCs w:val="20"/>
        </w:rPr>
        <w:t>Network Mechanisms Underlying Core Behavioral Features in Fragile X Syndrome</w:t>
      </w:r>
    </w:p>
    <w:p w14:paraId="1F16F3C8" w14:textId="4F6391AF" w:rsidR="003F29AC" w:rsidRPr="008A7117" w:rsidRDefault="003D6244" w:rsidP="008A7117">
      <w:pPr>
        <w:pStyle w:val="NormalWeb"/>
        <w:spacing w:before="240" w:beforeAutospacing="0" w:after="240" w:afterAutospacing="0" w:line="276" w:lineRule="auto"/>
        <w:rPr>
          <w:sz w:val="20"/>
          <w:szCs w:val="20"/>
          <w:vertAlign w:val="superscript"/>
        </w:rPr>
      </w:pPr>
      <w:r w:rsidRPr="008A7117">
        <w:rPr>
          <w:b/>
          <w:sz w:val="20"/>
          <w:szCs w:val="20"/>
        </w:rPr>
        <w:t>Authors</w:t>
      </w:r>
      <w:r w:rsidRPr="008A7117">
        <w:rPr>
          <w:sz w:val="20"/>
          <w:szCs w:val="20"/>
        </w:rPr>
        <w:t xml:space="preserve">: </w:t>
      </w:r>
      <w:r w:rsidR="003F29AC" w:rsidRPr="008A7117">
        <w:rPr>
          <w:color w:val="000000"/>
          <w:sz w:val="20"/>
          <w:szCs w:val="20"/>
        </w:rPr>
        <w:t>Jordan E. Norris</w:t>
      </w:r>
      <w:r w:rsidR="003F29AC" w:rsidRPr="008A7117">
        <w:rPr>
          <w:color w:val="000000"/>
          <w:sz w:val="20"/>
          <w:szCs w:val="20"/>
          <w:vertAlign w:val="superscript"/>
        </w:rPr>
        <w:t>1</w:t>
      </w:r>
      <w:r w:rsidR="003F29AC" w:rsidRPr="008A7117">
        <w:rPr>
          <w:color w:val="000000"/>
          <w:sz w:val="20"/>
          <w:szCs w:val="20"/>
        </w:rPr>
        <w:t>, Lauren M. Schmitt</w:t>
      </w:r>
      <w:r w:rsidR="003F29AC" w:rsidRPr="008A7117">
        <w:rPr>
          <w:color w:val="000000"/>
          <w:sz w:val="20"/>
          <w:szCs w:val="20"/>
          <w:vertAlign w:val="superscript"/>
        </w:rPr>
        <w:t>2,3</w:t>
      </w:r>
      <w:r w:rsidR="003F29AC" w:rsidRPr="008A7117">
        <w:rPr>
          <w:color w:val="000000"/>
          <w:sz w:val="20"/>
          <w:szCs w:val="20"/>
        </w:rPr>
        <w:t>, Lisa A. De Stefano</w:t>
      </w:r>
      <w:r w:rsidR="003F29AC" w:rsidRPr="008A7117">
        <w:rPr>
          <w:color w:val="000000"/>
          <w:sz w:val="20"/>
          <w:szCs w:val="20"/>
          <w:vertAlign w:val="superscript"/>
        </w:rPr>
        <w:t>4</w:t>
      </w:r>
      <w:r w:rsidR="003F29AC" w:rsidRPr="008A7117">
        <w:rPr>
          <w:color w:val="000000"/>
          <w:sz w:val="20"/>
          <w:szCs w:val="20"/>
        </w:rPr>
        <w:t>, Ernest V. Pedapati</w:t>
      </w:r>
      <w:r w:rsidR="003F29AC" w:rsidRPr="008A7117">
        <w:rPr>
          <w:color w:val="000000"/>
          <w:sz w:val="20"/>
          <w:szCs w:val="20"/>
          <w:vertAlign w:val="superscript"/>
        </w:rPr>
        <w:t>4,5,6</w:t>
      </w:r>
      <w:r w:rsidR="003F29AC" w:rsidRPr="008A7117">
        <w:rPr>
          <w:color w:val="000000"/>
          <w:sz w:val="20"/>
          <w:szCs w:val="20"/>
        </w:rPr>
        <w:t>, Craig A. Erickson</w:t>
      </w:r>
      <w:r w:rsidR="003F29AC" w:rsidRPr="008A7117">
        <w:rPr>
          <w:color w:val="000000"/>
          <w:sz w:val="20"/>
          <w:szCs w:val="20"/>
          <w:vertAlign w:val="superscript"/>
        </w:rPr>
        <w:t>4,6</w:t>
      </w:r>
      <w:r w:rsidR="003F29AC" w:rsidRPr="008A7117">
        <w:rPr>
          <w:color w:val="000000"/>
          <w:sz w:val="20"/>
          <w:szCs w:val="20"/>
        </w:rPr>
        <w:t>, Lauren E. Ethridge</w:t>
      </w:r>
      <w:r w:rsidR="003F29AC" w:rsidRPr="008A7117">
        <w:rPr>
          <w:color w:val="000000"/>
          <w:sz w:val="20"/>
          <w:szCs w:val="20"/>
          <w:vertAlign w:val="superscript"/>
        </w:rPr>
        <w:t>1,7</w:t>
      </w:r>
    </w:p>
    <w:p w14:paraId="77FE6733" w14:textId="57196CF7" w:rsidR="00452576" w:rsidRPr="008A7117" w:rsidRDefault="003D6244" w:rsidP="008A7117">
      <w:pPr>
        <w:pStyle w:val="NormalWeb"/>
        <w:spacing w:before="240" w:beforeAutospacing="0" w:after="240" w:afterAutospacing="0" w:line="276" w:lineRule="auto"/>
        <w:ind w:firstLine="20"/>
        <w:rPr>
          <w:sz w:val="20"/>
          <w:szCs w:val="20"/>
        </w:rPr>
      </w:pPr>
      <w:r w:rsidRPr="008A7117">
        <w:rPr>
          <w:b/>
          <w:sz w:val="20"/>
          <w:szCs w:val="20"/>
        </w:rPr>
        <w:t>Introduction</w:t>
      </w:r>
      <w:r w:rsidRPr="008A7117">
        <w:rPr>
          <w:sz w:val="20"/>
          <w:szCs w:val="20"/>
        </w:rPr>
        <w:t xml:space="preserve">: </w:t>
      </w:r>
      <w:r w:rsidR="003F29AC" w:rsidRPr="008A7117">
        <w:rPr>
          <w:color w:val="000000"/>
          <w:sz w:val="20"/>
          <w:szCs w:val="20"/>
        </w:rPr>
        <w:t>Fragile X Syndrome (FXS) is characterized by intellectual disability, sensory hypersensitivities, executive dysfunction, and autistic characteristics</w:t>
      </w:r>
      <w:r w:rsidR="008A7117" w:rsidRPr="008A7117">
        <w:rPr>
          <w:color w:val="000000"/>
          <w:sz w:val="20"/>
          <w:szCs w:val="20"/>
        </w:rPr>
        <w:t xml:space="preserve"> [1,2]</w:t>
      </w:r>
      <w:r w:rsidR="003F29AC" w:rsidRPr="008A7117">
        <w:rPr>
          <w:color w:val="000000"/>
          <w:sz w:val="20"/>
          <w:szCs w:val="20"/>
        </w:rPr>
        <w:t xml:space="preserve">. Current treatments only target specific psychiatric features (e.g., anxiety and irritability) and </w:t>
      </w:r>
      <w:proofErr w:type="gramStart"/>
      <w:r w:rsidR="003F29AC" w:rsidRPr="008A7117">
        <w:rPr>
          <w:color w:val="000000"/>
          <w:sz w:val="20"/>
          <w:szCs w:val="20"/>
        </w:rPr>
        <w:t>not cognitive</w:t>
      </w:r>
      <w:proofErr w:type="gramEnd"/>
      <w:r w:rsidR="003F29AC" w:rsidRPr="008A7117">
        <w:rPr>
          <w:color w:val="000000"/>
          <w:sz w:val="20"/>
          <w:szCs w:val="20"/>
        </w:rPr>
        <w:t xml:space="preserve"> features, which are more pressing for patients and families, due in part to poor insight into underlying neural mechanisms. Recent work from our group using resting state electroencephalography (EEG) has linked abnormal functional connectivity (FC) and specific microstates (i.e., transient, quasi-stable spatial patterns of brain activity across the scalp) to cognitive disruptions and lower IQ making FC an ideal target for investigation</w:t>
      </w:r>
      <w:r w:rsidR="008A7117" w:rsidRPr="008A7117">
        <w:rPr>
          <w:color w:val="000000"/>
          <w:sz w:val="20"/>
          <w:szCs w:val="20"/>
        </w:rPr>
        <w:t xml:space="preserve"> [3,4]</w:t>
      </w:r>
      <w:r w:rsidR="003F29AC" w:rsidRPr="008A7117">
        <w:rPr>
          <w:color w:val="000000"/>
          <w:sz w:val="20"/>
          <w:szCs w:val="20"/>
        </w:rPr>
        <w:t xml:space="preserve">. The current study aims to evaluate the underlying functional network disruptions using EEG to examine FC in source space during resting state and during </w:t>
      </w:r>
      <w:proofErr w:type="gramStart"/>
      <w:r w:rsidR="003F29AC" w:rsidRPr="008A7117">
        <w:rPr>
          <w:color w:val="000000"/>
          <w:sz w:val="20"/>
          <w:szCs w:val="20"/>
        </w:rPr>
        <w:t>a cognitive</w:t>
      </w:r>
      <w:proofErr w:type="gramEnd"/>
      <w:r w:rsidR="003F29AC" w:rsidRPr="008A7117">
        <w:rPr>
          <w:color w:val="000000"/>
          <w:sz w:val="20"/>
          <w:szCs w:val="20"/>
        </w:rPr>
        <w:t xml:space="preserve"> flexibility task. </w:t>
      </w:r>
      <w:r w:rsidR="003F29AC" w:rsidRPr="008A7117">
        <w:rPr>
          <w:sz w:val="20"/>
          <w:szCs w:val="20"/>
          <w:shd w:val="clear" w:color="auto" w:fill="FFFFFF"/>
        </w:rPr>
        <w:t>We aim to identify mechanisms contributing to functional disruptions in frontoparietal and temporal networks, with the goal of generating more specific, targetable biomarkers of the neurophysiology supporting cognition.</w:t>
      </w:r>
    </w:p>
    <w:p w14:paraId="7AC50373" w14:textId="6CCE3447" w:rsidR="003D6244" w:rsidRPr="008A7117" w:rsidRDefault="003D6244" w:rsidP="008A7117">
      <w:pPr>
        <w:pStyle w:val="NormalWeb"/>
        <w:spacing w:before="240" w:beforeAutospacing="0" w:after="240" w:afterAutospacing="0" w:line="276" w:lineRule="auto"/>
        <w:ind w:firstLine="20"/>
        <w:rPr>
          <w:sz w:val="20"/>
          <w:szCs w:val="20"/>
        </w:rPr>
      </w:pPr>
      <w:r w:rsidRPr="008A7117">
        <w:rPr>
          <w:b/>
          <w:color w:val="000000"/>
          <w:sz w:val="20"/>
          <w:szCs w:val="20"/>
          <w:lang w:val="en-GB"/>
        </w:rPr>
        <w:t>Method</w:t>
      </w:r>
      <w:r w:rsidRPr="008A7117">
        <w:rPr>
          <w:color w:val="000000"/>
          <w:sz w:val="20"/>
          <w:szCs w:val="20"/>
          <w:lang w:val="en-GB"/>
        </w:rPr>
        <w:t xml:space="preserve">: </w:t>
      </w:r>
      <w:r w:rsidR="003F29AC" w:rsidRPr="008A7117">
        <w:rPr>
          <w:color w:val="000000"/>
          <w:sz w:val="20"/>
          <w:szCs w:val="20"/>
        </w:rPr>
        <w:t xml:space="preserve">A preliminary microstate analysis was conducted on resting state EEG data from 70 adult individuals (N=36 FXS and 34 typically developed controls (TDC)) ages 16-45, using the +Microstate Toolbox (K-means clustering to define microstates. Both a 4-cluster solution (i.e., replicates canonical microstates) and a 6-cluster solution were generated to replicate </w:t>
      </w:r>
      <w:proofErr w:type="spellStart"/>
      <w:r w:rsidR="003F29AC" w:rsidRPr="008A7117">
        <w:rPr>
          <w:color w:val="000000"/>
          <w:sz w:val="20"/>
          <w:szCs w:val="20"/>
        </w:rPr>
        <w:t>Takarae</w:t>
      </w:r>
      <w:proofErr w:type="spellEnd"/>
      <w:r w:rsidR="003F29AC" w:rsidRPr="008A7117">
        <w:rPr>
          <w:color w:val="000000"/>
          <w:sz w:val="20"/>
          <w:szCs w:val="20"/>
        </w:rPr>
        <w:t xml:space="preserve"> et al., 2023. Peak alpha frequency was also calculated as a proxy for cognition. The </w:t>
      </w:r>
      <w:proofErr w:type="gramStart"/>
      <w:r w:rsidR="003F29AC" w:rsidRPr="008A7117">
        <w:rPr>
          <w:color w:val="000000"/>
          <w:sz w:val="20"/>
          <w:szCs w:val="20"/>
        </w:rPr>
        <w:t>final results</w:t>
      </w:r>
      <w:proofErr w:type="gramEnd"/>
      <w:r w:rsidR="003F29AC" w:rsidRPr="008A7117">
        <w:rPr>
          <w:color w:val="000000"/>
          <w:sz w:val="20"/>
          <w:szCs w:val="20"/>
        </w:rPr>
        <w:t xml:space="preserve"> will include microstate outcomes from 80 adults (N = 40 FXS, 40 TDC) ages 18-36 to avoid both aging and developmental effects on cognition. Relationships between microstates and clinical measures indexing cognition will be evaluated using FC summary scores that represent whole functional networks as mediators within our statistical models. This approach aims to elucidate how specific underlying network disruptions correspond to distinct clinical features of FXS. </w:t>
      </w:r>
    </w:p>
    <w:p w14:paraId="7AC50374" w14:textId="133BF123" w:rsidR="003D6244" w:rsidRPr="008A7117" w:rsidRDefault="003D6244" w:rsidP="008A7117">
      <w:pPr>
        <w:pStyle w:val="NormalWeb"/>
        <w:spacing w:before="240" w:beforeAutospacing="0" w:after="240" w:afterAutospacing="0" w:line="276" w:lineRule="auto"/>
        <w:ind w:firstLine="20"/>
        <w:rPr>
          <w:sz w:val="20"/>
          <w:szCs w:val="20"/>
        </w:rPr>
      </w:pPr>
      <w:r w:rsidRPr="008A7117">
        <w:rPr>
          <w:b/>
          <w:color w:val="000000"/>
          <w:sz w:val="20"/>
          <w:szCs w:val="20"/>
          <w:lang w:val="en-GB"/>
        </w:rPr>
        <w:t>Results</w:t>
      </w:r>
      <w:r w:rsidRPr="008A7117">
        <w:rPr>
          <w:color w:val="000000"/>
          <w:sz w:val="20"/>
          <w:szCs w:val="20"/>
          <w:lang w:val="en-GB"/>
        </w:rPr>
        <w:t xml:space="preserve">: </w:t>
      </w:r>
      <w:r w:rsidR="003F29AC" w:rsidRPr="008A7117">
        <w:rPr>
          <w:color w:val="000000"/>
          <w:sz w:val="20"/>
          <w:szCs w:val="20"/>
        </w:rPr>
        <w:t>Preliminary results show elevated global variance explained (GEV), i.e., the amount of original EEG data explained by the microstate solution, across microstates differed significantly between groups for both the 4-microstate solution (</w:t>
      </w:r>
      <w:proofErr w:type="gramStart"/>
      <w:r w:rsidR="003F29AC" w:rsidRPr="008A7117">
        <w:rPr>
          <w:color w:val="000000"/>
          <w:sz w:val="20"/>
          <w:szCs w:val="20"/>
        </w:rPr>
        <w:t>F(</w:t>
      </w:r>
      <w:proofErr w:type="gramEnd"/>
      <w:r w:rsidR="003F29AC" w:rsidRPr="008A7117">
        <w:rPr>
          <w:color w:val="000000"/>
          <w:sz w:val="20"/>
          <w:szCs w:val="20"/>
        </w:rPr>
        <w:t>2, 67)=12.76, p&lt;.001, ES=.16) and the 6-microstate solution (F(1, 68)=7.46, p=.008, ES=.1). Individuals with FXS exhibited greater GEV (</w:t>
      </w:r>
      <w:r w:rsidR="003F29AC" w:rsidRPr="008A7117">
        <w:rPr>
          <w:b/>
          <w:bCs/>
          <w:color w:val="000000"/>
          <w:sz w:val="20"/>
          <w:szCs w:val="20"/>
        </w:rPr>
        <w:t xml:space="preserve">4: </w:t>
      </w:r>
      <w:r w:rsidR="003F29AC" w:rsidRPr="008A7117">
        <w:rPr>
          <w:color w:val="000000"/>
          <w:sz w:val="20"/>
          <w:szCs w:val="20"/>
        </w:rPr>
        <w:t xml:space="preserve">M = 61.2%, SD = 7.8%; </w:t>
      </w:r>
      <w:r w:rsidR="003F29AC" w:rsidRPr="008A7117">
        <w:rPr>
          <w:b/>
          <w:bCs/>
          <w:color w:val="000000"/>
          <w:sz w:val="20"/>
          <w:szCs w:val="20"/>
        </w:rPr>
        <w:t xml:space="preserve">6: </w:t>
      </w:r>
      <w:r w:rsidR="003F29AC" w:rsidRPr="008A7117">
        <w:rPr>
          <w:color w:val="000000"/>
          <w:sz w:val="20"/>
          <w:szCs w:val="20"/>
        </w:rPr>
        <w:t>M=64.4%, SD=7.1%) compared to TDC (</w:t>
      </w:r>
      <w:r w:rsidR="003F29AC" w:rsidRPr="008A7117">
        <w:rPr>
          <w:b/>
          <w:bCs/>
          <w:color w:val="000000"/>
          <w:sz w:val="20"/>
          <w:szCs w:val="20"/>
        </w:rPr>
        <w:t xml:space="preserve">4: </w:t>
      </w:r>
      <w:r w:rsidR="003F29AC" w:rsidRPr="008A7117">
        <w:rPr>
          <w:color w:val="000000"/>
          <w:sz w:val="20"/>
          <w:szCs w:val="20"/>
        </w:rPr>
        <w:t xml:space="preserve">M=56.1%, SD=8.4%; </w:t>
      </w:r>
      <w:r w:rsidR="003F29AC" w:rsidRPr="008A7117">
        <w:rPr>
          <w:b/>
          <w:bCs/>
          <w:color w:val="000000"/>
          <w:sz w:val="20"/>
          <w:szCs w:val="20"/>
        </w:rPr>
        <w:t xml:space="preserve">6: </w:t>
      </w:r>
      <w:r w:rsidR="003F29AC" w:rsidRPr="008A7117">
        <w:rPr>
          <w:color w:val="000000"/>
          <w:sz w:val="20"/>
          <w:szCs w:val="20"/>
        </w:rPr>
        <w:t>M=59.3%, SD=8.4%). Further, GEV was inversely correlated with frontal peak alpha frequency (r = -.28, p = .019), with higher GEV associated with lower PAF. Next steps will include the FC analysis and assessment of a cognitive task where we hypothesize that there will be disruptions in the salience network, a network related to stimulus detection and attention, which will predict network stasis and difficulties with cognitive flexibility. Further, we will address whether microstates can be used as a less computationally intensive way to capture FC dynamics in FXS.</w:t>
      </w:r>
    </w:p>
    <w:p w14:paraId="032EAC51" w14:textId="77777777" w:rsidR="003F29AC" w:rsidRPr="008A7117" w:rsidRDefault="003D6244" w:rsidP="008A7117">
      <w:pPr>
        <w:pStyle w:val="NormalWeb"/>
        <w:spacing w:before="240" w:beforeAutospacing="0" w:after="240" w:afterAutospacing="0" w:line="276" w:lineRule="auto"/>
        <w:ind w:firstLine="20"/>
        <w:rPr>
          <w:sz w:val="20"/>
          <w:szCs w:val="20"/>
        </w:rPr>
      </w:pPr>
      <w:r w:rsidRPr="008A7117">
        <w:rPr>
          <w:b/>
          <w:iCs/>
          <w:color w:val="000000"/>
          <w:sz w:val="20"/>
          <w:szCs w:val="20"/>
          <w:lang w:val="en-GB"/>
        </w:rPr>
        <w:t xml:space="preserve">Discussion: </w:t>
      </w:r>
      <w:r w:rsidR="003F29AC" w:rsidRPr="008A7117">
        <w:rPr>
          <w:color w:val="000000"/>
          <w:sz w:val="20"/>
          <w:szCs w:val="20"/>
        </w:rPr>
        <w:t xml:space="preserve">The GEV findings are in alignment with prior findings in FXS where GEV elevation suggests network stasis and may reflect disruptions to underlying functional networks which may be associated with distinct cognitive and behavioral features of FXS, as suggested by the correlation with PAF.  </w:t>
      </w:r>
    </w:p>
    <w:p w14:paraId="7AC50376" w14:textId="182630AF" w:rsidR="003D6244" w:rsidRDefault="003D6244" w:rsidP="008A7117">
      <w:pPr>
        <w:rPr>
          <w:rFonts w:ascii="Times New Roman" w:hAnsi="Times New Roman" w:cs="Times New Roman"/>
          <w:sz w:val="20"/>
          <w:szCs w:val="20"/>
        </w:rPr>
      </w:pPr>
      <w:r w:rsidRPr="008A7117">
        <w:rPr>
          <w:rFonts w:ascii="Times New Roman" w:hAnsi="Times New Roman" w:cs="Times New Roman"/>
          <w:b/>
          <w:color w:val="000000"/>
          <w:sz w:val="20"/>
          <w:szCs w:val="20"/>
          <w:lang w:val="en-GB"/>
        </w:rPr>
        <w:t>References:</w:t>
      </w:r>
      <w:r w:rsidR="008A7117" w:rsidRPr="008A7117">
        <w:rPr>
          <w:rFonts w:ascii="Times New Roman" w:hAnsi="Times New Roman" w:cs="Times New Roman"/>
          <w:color w:val="000000"/>
          <w:sz w:val="20"/>
          <w:szCs w:val="20"/>
        </w:rPr>
        <w:t xml:space="preserve"> </w:t>
      </w:r>
      <w:r w:rsidR="008A7117" w:rsidRPr="008A7117">
        <w:rPr>
          <w:rFonts w:ascii="Times New Roman" w:hAnsi="Times New Roman" w:cs="Times New Roman"/>
          <w:b/>
          <w:bCs/>
          <w:color w:val="000000"/>
          <w:sz w:val="20"/>
          <w:szCs w:val="20"/>
        </w:rPr>
        <w:t xml:space="preserve">[1] </w:t>
      </w:r>
      <w:r w:rsidR="008A7117" w:rsidRPr="008A7117">
        <w:rPr>
          <w:rFonts w:ascii="Times New Roman" w:hAnsi="Times New Roman" w:cs="Times New Roman"/>
          <w:sz w:val="20"/>
          <w:szCs w:val="20"/>
        </w:rPr>
        <w:t>Salcedo-Arellano, M. J., Dufour, B., McLennan, Y., Martinez-</w:t>
      </w:r>
      <w:proofErr w:type="spellStart"/>
      <w:r w:rsidR="008A7117" w:rsidRPr="008A7117">
        <w:rPr>
          <w:rFonts w:ascii="Times New Roman" w:hAnsi="Times New Roman" w:cs="Times New Roman"/>
          <w:sz w:val="20"/>
          <w:szCs w:val="20"/>
        </w:rPr>
        <w:t>Cerdeno</w:t>
      </w:r>
      <w:proofErr w:type="spellEnd"/>
      <w:r w:rsidR="008A7117" w:rsidRPr="008A7117">
        <w:rPr>
          <w:rFonts w:ascii="Times New Roman" w:hAnsi="Times New Roman" w:cs="Times New Roman"/>
          <w:sz w:val="20"/>
          <w:szCs w:val="20"/>
        </w:rPr>
        <w:t xml:space="preserve">, V., &amp; Hagerman, R. (2020). Fragile X syndrome and associated disorders: Clinical aspects and pathology. </w:t>
      </w:r>
      <w:proofErr w:type="spellStart"/>
      <w:r w:rsidR="008A7117" w:rsidRPr="008A7117">
        <w:rPr>
          <w:rFonts w:ascii="Times New Roman" w:hAnsi="Times New Roman" w:cs="Times New Roman"/>
          <w:sz w:val="20"/>
          <w:szCs w:val="20"/>
        </w:rPr>
        <w:t>Neurobiol</w:t>
      </w:r>
      <w:proofErr w:type="spellEnd"/>
      <w:r w:rsidR="008A7117" w:rsidRPr="008A7117">
        <w:rPr>
          <w:rFonts w:ascii="Times New Roman" w:hAnsi="Times New Roman" w:cs="Times New Roman"/>
          <w:sz w:val="20"/>
          <w:szCs w:val="20"/>
        </w:rPr>
        <w:t xml:space="preserve"> Dis, 136, 104740.</w:t>
      </w:r>
      <w:r w:rsidR="008A7117">
        <w:rPr>
          <w:rFonts w:ascii="Times New Roman" w:hAnsi="Times New Roman" w:cs="Times New Roman"/>
          <w:sz w:val="20"/>
          <w:szCs w:val="20"/>
        </w:rPr>
        <w:t xml:space="preserve"> </w:t>
      </w:r>
      <w:hyperlink r:id="rId10" w:history="1">
        <w:r w:rsidR="008A7117" w:rsidRPr="00315297">
          <w:rPr>
            <w:rStyle w:val="Hyperlink"/>
            <w:rFonts w:ascii="Times New Roman" w:hAnsi="Times New Roman" w:cs="Times New Roman"/>
            <w:sz w:val="20"/>
            <w:szCs w:val="20"/>
          </w:rPr>
          <w:t>https://doi.org/10.1016/j.nbd.2020.104740</w:t>
        </w:r>
      </w:hyperlink>
      <w:r w:rsidR="008A7117" w:rsidRPr="008A7117">
        <w:rPr>
          <w:rFonts w:ascii="Times New Roman" w:hAnsi="Times New Roman" w:cs="Times New Roman"/>
          <w:sz w:val="20"/>
          <w:szCs w:val="20"/>
        </w:rPr>
        <w:t xml:space="preserve">; </w:t>
      </w:r>
      <w:r w:rsidR="008A7117" w:rsidRPr="008A7117">
        <w:rPr>
          <w:rFonts w:ascii="Times New Roman" w:hAnsi="Times New Roman" w:cs="Times New Roman"/>
          <w:b/>
          <w:bCs/>
          <w:sz w:val="20"/>
          <w:szCs w:val="20"/>
        </w:rPr>
        <w:t xml:space="preserve">[2] </w:t>
      </w:r>
      <w:r w:rsidR="008A7117" w:rsidRPr="008A7117">
        <w:rPr>
          <w:rFonts w:ascii="Times New Roman" w:hAnsi="Times New Roman" w:cs="Times New Roman"/>
          <w:sz w:val="20"/>
          <w:szCs w:val="20"/>
        </w:rPr>
        <w:t xml:space="preserve">Hagerman, P. J., &amp; Hagerman, R. (2021). Fragile X syndrome. </w:t>
      </w:r>
      <w:r w:rsidR="008A7117" w:rsidRPr="008A7117">
        <w:rPr>
          <w:rFonts w:ascii="Times New Roman" w:hAnsi="Times New Roman" w:cs="Times New Roman"/>
          <w:i/>
          <w:sz w:val="20"/>
          <w:szCs w:val="20"/>
        </w:rPr>
        <w:t>Curr Biol</w:t>
      </w:r>
      <w:r w:rsidR="008A7117" w:rsidRPr="008A7117">
        <w:rPr>
          <w:rFonts w:ascii="Times New Roman" w:hAnsi="Times New Roman" w:cs="Times New Roman"/>
          <w:sz w:val="20"/>
          <w:szCs w:val="20"/>
        </w:rPr>
        <w:t>,</w:t>
      </w:r>
      <w:r w:rsidR="008A7117" w:rsidRPr="008A7117">
        <w:rPr>
          <w:rFonts w:ascii="Times New Roman" w:hAnsi="Times New Roman" w:cs="Times New Roman"/>
          <w:i/>
          <w:sz w:val="20"/>
          <w:szCs w:val="20"/>
        </w:rPr>
        <w:t xml:space="preserve"> 31</w:t>
      </w:r>
      <w:r w:rsidR="008A7117" w:rsidRPr="008A7117">
        <w:rPr>
          <w:rFonts w:ascii="Times New Roman" w:hAnsi="Times New Roman" w:cs="Times New Roman"/>
          <w:sz w:val="20"/>
          <w:szCs w:val="20"/>
        </w:rPr>
        <w:t xml:space="preserve">(6), R273-R275. </w:t>
      </w:r>
      <w:hyperlink r:id="rId11" w:history="1">
        <w:r w:rsidR="008A7117" w:rsidRPr="008A7117">
          <w:rPr>
            <w:rStyle w:val="Hyperlink"/>
            <w:rFonts w:ascii="Times New Roman" w:hAnsi="Times New Roman" w:cs="Times New Roman"/>
            <w:sz w:val="20"/>
            <w:szCs w:val="20"/>
          </w:rPr>
          <w:t>https://doi.org/10.1016/j.cub.2021.01.043</w:t>
        </w:r>
      </w:hyperlink>
      <w:r w:rsidR="008A7117" w:rsidRPr="008A7117">
        <w:rPr>
          <w:rFonts w:ascii="Times New Roman" w:hAnsi="Times New Roman" w:cs="Times New Roman"/>
          <w:sz w:val="20"/>
          <w:szCs w:val="20"/>
        </w:rPr>
        <w:t xml:space="preserve">; </w:t>
      </w:r>
      <w:r w:rsidR="008A7117" w:rsidRPr="008A7117">
        <w:rPr>
          <w:rFonts w:ascii="Times New Roman" w:hAnsi="Times New Roman" w:cs="Times New Roman"/>
          <w:b/>
          <w:bCs/>
          <w:sz w:val="20"/>
          <w:szCs w:val="20"/>
        </w:rPr>
        <w:t xml:space="preserve">[3] </w:t>
      </w:r>
      <w:r w:rsidR="008A7117" w:rsidRPr="008A7117">
        <w:rPr>
          <w:rFonts w:ascii="Times New Roman" w:hAnsi="Times New Roman" w:cs="Times New Roman"/>
          <w:sz w:val="20"/>
          <w:szCs w:val="20"/>
        </w:rPr>
        <w:t xml:space="preserve">Hall, S. S., Jiang, H., Reiss, A. L., &amp; </w:t>
      </w:r>
      <w:proofErr w:type="spellStart"/>
      <w:r w:rsidR="008A7117" w:rsidRPr="008A7117">
        <w:rPr>
          <w:rFonts w:ascii="Times New Roman" w:hAnsi="Times New Roman" w:cs="Times New Roman"/>
          <w:sz w:val="20"/>
          <w:szCs w:val="20"/>
        </w:rPr>
        <w:t>Greicius</w:t>
      </w:r>
      <w:proofErr w:type="spellEnd"/>
      <w:r w:rsidR="008A7117" w:rsidRPr="008A7117">
        <w:rPr>
          <w:rFonts w:ascii="Times New Roman" w:hAnsi="Times New Roman" w:cs="Times New Roman"/>
          <w:sz w:val="20"/>
          <w:szCs w:val="20"/>
        </w:rPr>
        <w:t xml:space="preserve">, M. D. (2013). Identifying large-scale brain networks in fragile X syndrome. </w:t>
      </w:r>
      <w:r w:rsidR="008A7117" w:rsidRPr="008A7117">
        <w:rPr>
          <w:rFonts w:ascii="Times New Roman" w:hAnsi="Times New Roman" w:cs="Times New Roman"/>
          <w:i/>
          <w:sz w:val="20"/>
          <w:szCs w:val="20"/>
        </w:rPr>
        <w:t>JAMA Psychiatry</w:t>
      </w:r>
      <w:r w:rsidR="008A7117" w:rsidRPr="008A7117">
        <w:rPr>
          <w:rFonts w:ascii="Times New Roman" w:hAnsi="Times New Roman" w:cs="Times New Roman"/>
          <w:sz w:val="20"/>
          <w:szCs w:val="20"/>
        </w:rPr>
        <w:t>,</w:t>
      </w:r>
      <w:r w:rsidR="008A7117" w:rsidRPr="008A7117">
        <w:rPr>
          <w:rFonts w:ascii="Times New Roman" w:hAnsi="Times New Roman" w:cs="Times New Roman"/>
          <w:i/>
          <w:sz w:val="20"/>
          <w:szCs w:val="20"/>
        </w:rPr>
        <w:t xml:space="preserve"> 70</w:t>
      </w:r>
      <w:r w:rsidR="008A7117" w:rsidRPr="008A7117">
        <w:rPr>
          <w:rFonts w:ascii="Times New Roman" w:hAnsi="Times New Roman" w:cs="Times New Roman"/>
          <w:sz w:val="20"/>
          <w:szCs w:val="20"/>
        </w:rPr>
        <w:t xml:space="preserve">(11), 1215-1223. </w:t>
      </w:r>
      <w:hyperlink r:id="rId12" w:history="1">
        <w:r w:rsidR="008A7117" w:rsidRPr="008A7117">
          <w:rPr>
            <w:rStyle w:val="Hyperlink"/>
            <w:rFonts w:ascii="Times New Roman" w:hAnsi="Times New Roman" w:cs="Times New Roman"/>
            <w:sz w:val="20"/>
            <w:szCs w:val="20"/>
          </w:rPr>
          <w:t>https://doi.org/10.1001/jamapsychiatry.2013.247</w:t>
        </w:r>
      </w:hyperlink>
      <w:r w:rsidR="008A7117" w:rsidRPr="008A7117">
        <w:rPr>
          <w:rFonts w:ascii="Times New Roman" w:hAnsi="Times New Roman" w:cs="Times New Roman"/>
          <w:sz w:val="20"/>
          <w:szCs w:val="20"/>
        </w:rPr>
        <w:t xml:space="preserve">; </w:t>
      </w:r>
      <w:r w:rsidR="008A7117" w:rsidRPr="008A7117">
        <w:rPr>
          <w:rFonts w:ascii="Times New Roman" w:hAnsi="Times New Roman" w:cs="Times New Roman"/>
          <w:b/>
          <w:bCs/>
          <w:sz w:val="20"/>
          <w:szCs w:val="20"/>
        </w:rPr>
        <w:t>[4]</w:t>
      </w:r>
      <w:r w:rsidR="008A7117" w:rsidRPr="008A7117">
        <w:rPr>
          <w:rFonts w:ascii="Times New Roman" w:hAnsi="Times New Roman" w:cs="Times New Roman"/>
          <w:sz w:val="20"/>
          <w:szCs w:val="20"/>
        </w:rPr>
        <w:t xml:space="preserve"> </w:t>
      </w:r>
      <w:proofErr w:type="spellStart"/>
      <w:r w:rsidR="008A7117" w:rsidRPr="008A7117">
        <w:rPr>
          <w:rFonts w:ascii="Times New Roman" w:hAnsi="Times New Roman" w:cs="Times New Roman"/>
          <w:sz w:val="20"/>
          <w:szCs w:val="20"/>
        </w:rPr>
        <w:t>Takarae</w:t>
      </w:r>
      <w:proofErr w:type="spellEnd"/>
      <w:r w:rsidR="008A7117" w:rsidRPr="008A7117">
        <w:rPr>
          <w:rFonts w:ascii="Times New Roman" w:hAnsi="Times New Roman" w:cs="Times New Roman"/>
          <w:sz w:val="20"/>
          <w:szCs w:val="20"/>
        </w:rPr>
        <w:t>, Y., Zanesco, A., Erickson, C. A., &amp; Pedapati, E. V. (2024). EEG Microstates as Markers for Cognitive Impairments in Fragile X Syndrome. </w:t>
      </w:r>
      <w:r w:rsidR="008A7117" w:rsidRPr="008A7117">
        <w:rPr>
          <w:rFonts w:ascii="Times New Roman" w:hAnsi="Times New Roman" w:cs="Times New Roman"/>
          <w:i/>
          <w:iCs/>
          <w:sz w:val="20"/>
          <w:szCs w:val="20"/>
        </w:rPr>
        <w:t>Brain topography</w:t>
      </w:r>
      <w:r w:rsidR="008A7117" w:rsidRPr="008A7117">
        <w:rPr>
          <w:rFonts w:ascii="Times New Roman" w:hAnsi="Times New Roman" w:cs="Times New Roman"/>
          <w:sz w:val="20"/>
          <w:szCs w:val="20"/>
        </w:rPr>
        <w:t>, </w:t>
      </w:r>
      <w:r w:rsidR="008A7117" w:rsidRPr="008A7117">
        <w:rPr>
          <w:rFonts w:ascii="Times New Roman" w:hAnsi="Times New Roman" w:cs="Times New Roman"/>
          <w:i/>
          <w:iCs/>
          <w:sz w:val="20"/>
          <w:szCs w:val="20"/>
        </w:rPr>
        <w:t>37</w:t>
      </w:r>
      <w:r w:rsidR="008A7117" w:rsidRPr="008A7117">
        <w:rPr>
          <w:rFonts w:ascii="Times New Roman" w:hAnsi="Times New Roman" w:cs="Times New Roman"/>
          <w:sz w:val="20"/>
          <w:szCs w:val="20"/>
        </w:rPr>
        <w:t xml:space="preserve">(3), 432–446. </w:t>
      </w:r>
      <w:hyperlink r:id="rId13" w:history="1">
        <w:r w:rsidR="008A7117" w:rsidRPr="008A7117">
          <w:rPr>
            <w:rStyle w:val="Hyperlink"/>
            <w:rFonts w:ascii="Times New Roman" w:hAnsi="Times New Roman" w:cs="Times New Roman"/>
            <w:sz w:val="20"/>
            <w:szCs w:val="20"/>
          </w:rPr>
          <w:t>https://doi.org/10.1007/s10548-023-01009-z</w:t>
        </w:r>
      </w:hyperlink>
      <w:r w:rsidR="008A7117" w:rsidRPr="008A7117">
        <w:rPr>
          <w:rFonts w:ascii="Times New Roman" w:hAnsi="Times New Roman" w:cs="Times New Roman"/>
          <w:sz w:val="20"/>
          <w:szCs w:val="20"/>
        </w:rPr>
        <w:t xml:space="preserve">; </w:t>
      </w:r>
      <w:r w:rsidR="008A7117" w:rsidRPr="008A7117">
        <w:rPr>
          <w:rFonts w:ascii="Times New Roman" w:hAnsi="Times New Roman" w:cs="Times New Roman"/>
          <w:b/>
          <w:bCs/>
          <w:sz w:val="20"/>
          <w:szCs w:val="20"/>
        </w:rPr>
        <w:t>[]</w:t>
      </w:r>
      <w:r w:rsidR="008A7117" w:rsidRPr="008A7117">
        <w:rPr>
          <w:rFonts w:ascii="Times New Roman" w:hAnsi="Times New Roman" w:cs="Times New Roman"/>
          <w:sz w:val="20"/>
          <w:szCs w:val="20"/>
        </w:rPr>
        <w:t xml:space="preserve"> </w:t>
      </w:r>
    </w:p>
    <w:p w14:paraId="51C6224E" w14:textId="77777777" w:rsidR="008A7117" w:rsidRPr="008A7117" w:rsidRDefault="008A7117" w:rsidP="008A7117">
      <w:pPr>
        <w:rPr>
          <w:rFonts w:ascii="Times New Roman" w:hAnsi="Times New Roman" w:cs="Times New Roman"/>
          <w:color w:val="000000"/>
          <w:sz w:val="20"/>
          <w:szCs w:val="20"/>
        </w:rPr>
      </w:pPr>
    </w:p>
    <w:p w14:paraId="43CFB123" w14:textId="75333FAA" w:rsidR="003F29AC" w:rsidRPr="008A7117" w:rsidRDefault="003F29AC" w:rsidP="008A7117">
      <w:pPr>
        <w:spacing w:after="0" w:line="240" w:lineRule="auto"/>
        <w:rPr>
          <w:rFonts w:ascii="Times New Roman" w:hAnsi="Times New Roman" w:cs="Times New Roman"/>
          <w:sz w:val="20"/>
          <w:szCs w:val="20"/>
        </w:rPr>
      </w:pPr>
      <w:r w:rsidRPr="008A7117">
        <w:rPr>
          <w:rFonts w:ascii="Times New Roman" w:hAnsi="Times New Roman" w:cs="Times New Roman"/>
          <w:sz w:val="20"/>
          <w:szCs w:val="20"/>
          <w:vertAlign w:val="superscript"/>
        </w:rPr>
        <w:lastRenderedPageBreak/>
        <w:t>1</w:t>
      </w:r>
      <w:r w:rsidRPr="003F29AC">
        <w:rPr>
          <w:rFonts w:ascii="Times New Roman" w:hAnsi="Times New Roman" w:cs="Times New Roman"/>
          <w:sz w:val="20"/>
          <w:szCs w:val="20"/>
        </w:rPr>
        <w:t>Department of Psychology, University of Oklahoma, Norman, OK, USA </w:t>
      </w:r>
    </w:p>
    <w:p w14:paraId="73ACB15A" w14:textId="0A935319" w:rsidR="003F29AC" w:rsidRPr="003F29AC" w:rsidRDefault="003F29AC" w:rsidP="008A7117">
      <w:pPr>
        <w:spacing w:after="0" w:line="240" w:lineRule="auto"/>
        <w:rPr>
          <w:rFonts w:ascii="Times New Roman" w:eastAsia="Calibri" w:hAnsi="Times New Roman" w:cs="Times New Roman"/>
          <w:sz w:val="20"/>
          <w:szCs w:val="20"/>
        </w:rPr>
      </w:pPr>
      <w:r w:rsidRPr="008A7117">
        <w:rPr>
          <w:rFonts w:ascii="Times New Roman" w:eastAsia="Calibri" w:hAnsi="Times New Roman" w:cs="Times New Roman"/>
          <w:sz w:val="20"/>
          <w:szCs w:val="20"/>
          <w:vertAlign w:val="superscript"/>
        </w:rPr>
        <w:t>2</w:t>
      </w:r>
      <w:r w:rsidRPr="003F29AC">
        <w:rPr>
          <w:rFonts w:ascii="Times New Roman" w:eastAsia="Calibri" w:hAnsi="Times New Roman" w:cs="Times New Roman"/>
          <w:sz w:val="20"/>
          <w:szCs w:val="20"/>
        </w:rPr>
        <w:t>Department of Behavioral Medicine and Clinical Psychology, Cincinnati Children’s Hospital Medical Center, Cincinnati, OH, USA </w:t>
      </w:r>
    </w:p>
    <w:p w14:paraId="431CC806" w14:textId="62E912DD" w:rsidR="003F29AC" w:rsidRPr="008A7117" w:rsidRDefault="003F29AC" w:rsidP="008A7117">
      <w:pPr>
        <w:spacing w:after="0" w:line="240" w:lineRule="auto"/>
        <w:rPr>
          <w:rFonts w:ascii="Times New Roman" w:eastAsia="Calibri" w:hAnsi="Times New Roman" w:cs="Times New Roman"/>
          <w:sz w:val="20"/>
          <w:szCs w:val="20"/>
        </w:rPr>
      </w:pPr>
      <w:r w:rsidRPr="008A7117">
        <w:rPr>
          <w:rFonts w:ascii="Times New Roman" w:eastAsia="Calibri" w:hAnsi="Times New Roman" w:cs="Times New Roman"/>
          <w:sz w:val="20"/>
          <w:szCs w:val="20"/>
          <w:vertAlign w:val="superscript"/>
        </w:rPr>
        <w:t>3</w:t>
      </w:r>
      <w:r w:rsidRPr="003F29AC">
        <w:rPr>
          <w:rFonts w:ascii="Times New Roman" w:eastAsia="Calibri" w:hAnsi="Times New Roman" w:cs="Times New Roman"/>
          <w:sz w:val="20"/>
          <w:szCs w:val="20"/>
        </w:rPr>
        <w:t>Department of Pediatrics, University of Cincinnati College of Medicine, Cincinnati, OH, USA </w:t>
      </w:r>
    </w:p>
    <w:p w14:paraId="7C55B850" w14:textId="527C46DD" w:rsidR="003F29AC" w:rsidRPr="008A7117" w:rsidRDefault="003F29AC" w:rsidP="008A7117">
      <w:pPr>
        <w:spacing w:after="0" w:line="240" w:lineRule="auto"/>
        <w:rPr>
          <w:rFonts w:ascii="Times New Roman" w:eastAsia="Calibri" w:hAnsi="Times New Roman" w:cs="Times New Roman"/>
          <w:sz w:val="20"/>
          <w:szCs w:val="20"/>
        </w:rPr>
      </w:pPr>
      <w:r w:rsidRPr="008A7117">
        <w:rPr>
          <w:rFonts w:ascii="Times New Roman" w:eastAsia="Calibri" w:hAnsi="Times New Roman" w:cs="Times New Roman"/>
          <w:sz w:val="20"/>
          <w:szCs w:val="20"/>
          <w:vertAlign w:val="superscript"/>
        </w:rPr>
        <w:t>4</w:t>
      </w:r>
      <w:r w:rsidRPr="008A7117">
        <w:rPr>
          <w:rFonts w:ascii="Times New Roman" w:eastAsia="Calibri" w:hAnsi="Times New Roman" w:cs="Times New Roman"/>
          <w:sz w:val="20"/>
          <w:szCs w:val="20"/>
        </w:rPr>
        <w:t>Division of Child and Adolescent Psychiatry, Cincinnati Children’s Hospital Medical Center, Cincinnati, OH, USA </w:t>
      </w:r>
    </w:p>
    <w:p w14:paraId="1AE30559" w14:textId="4B188B3E" w:rsidR="003F29AC" w:rsidRPr="008A7117" w:rsidRDefault="003F29AC" w:rsidP="008A7117">
      <w:pPr>
        <w:spacing w:after="0" w:line="240" w:lineRule="auto"/>
        <w:rPr>
          <w:rFonts w:ascii="Times New Roman" w:eastAsia="Calibri" w:hAnsi="Times New Roman" w:cs="Times New Roman"/>
          <w:sz w:val="20"/>
          <w:szCs w:val="20"/>
        </w:rPr>
      </w:pPr>
      <w:r w:rsidRPr="008A7117">
        <w:rPr>
          <w:rFonts w:ascii="Times New Roman" w:eastAsia="Calibri" w:hAnsi="Times New Roman" w:cs="Times New Roman"/>
          <w:sz w:val="20"/>
          <w:szCs w:val="20"/>
          <w:vertAlign w:val="superscript"/>
        </w:rPr>
        <w:t>5</w:t>
      </w:r>
      <w:r w:rsidRPr="008A7117">
        <w:rPr>
          <w:rFonts w:ascii="Times New Roman" w:eastAsia="Calibri" w:hAnsi="Times New Roman" w:cs="Times New Roman"/>
          <w:sz w:val="20"/>
          <w:szCs w:val="20"/>
        </w:rPr>
        <w:t>Division of Neurology, Cincinnati Children’s Hospital Medical Center, Cincinnati, OH, USA </w:t>
      </w:r>
    </w:p>
    <w:p w14:paraId="0EB27ED0" w14:textId="07088573" w:rsidR="003F29AC" w:rsidRPr="003F29AC" w:rsidRDefault="003F29AC" w:rsidP="008A7117">
      <w:pPr>
        <w:spacing w:after="0" w:line="240" w:lineRule="auto"/>
        <w:rPr>
          <w:rFonts w:ascii="Times New Roman" w:eastAsia="Calibri" w:hAnsi="Times New Roman" w:cs="Times New Roman"/>
          <w:sz w:val="20"/>
          <w:szCs w:val="20"/>
        </w:rPr>
      </w:pPr>
      <w:r w:rsidRPr="008A7117">
        <w:rPr>
          <w:rFonts w:ascii="Times New Roman" w:eastAsia="Calibri" w:hAnsi="Times New Roman" w:cs="Times New Roman"/>
          <w:sz w:val="20"/>
          <w:szCs w:val="20"/>
          <w:vertAlign w:val="superscript"/>
        </w:rPr>
        <w:t>6</w:t>
      </w:r>
      <w:r w:rsidRPr="008A7117">
        <w:rPr>
          <w:rFonts w:ascii="Times New Roman" w:eastAsia="Calibri" w:hAnsi="Times New Roman" w:cs="Times New Roman"/>
          <w:sz w:val="20"/>
          <w:szCs w:val="20"/>
        </w:rPr>
        <w:t>Department of Psychiatry and Behavioral Neuroscience, University of Cincinnati College of Medicine, Cincinnati, OH, USA </w:t>
      </w:r>
    </w:p>
    <w:p w14:paraId="67659A0D" w14:textId="72742238" w:rsidR="003F29AC" w:rsidRPr="003F29AC" w:rsidRDefault="003F29AC" w:rsidP="008A7117">
      <w:pPr>
        <w:spacing w:after="0" w:line="240" w:lineRule="auto"/>
        <w:rPr>
          <w:rFonts w:ascii="Times New Roman" w:hAnsi="Times New Roman" w:cs="Times New Roman"/>
          <w:sz w:val="20"/>
          <w:szCs w:val="20"/>
        </w:rPr>
      </w:pPr>
      <w:r w:rsidRPr="008A7117">
        <w:rPr>
          <w:rFonts w:ascii="Times New Roman" w:hAnsi="Times New Roman" w:cs="Times New Roman"/>
          <w:sz w:val="20"/>
          <w:szCs w:val="20"/>
          <w:vertAlign w:val="superscript"/>
        </w:rPr>
        <w:t>7</w:t>
      </w:r>
      <w:r w:rsidRPr="003F29AC">
        <w:rPr>
          <w:rFonts w:ascii="Times New Roman" w:hAnsi="Times New Roman" w:cs="Times New Roman"/>
          <w:sz w:val="20"/>
          <w:szCs w:val="20"/>
        </w:rPr>
        <w:t>Department of Pediatrics, Section of Developmental and Behavioral Pediatrics, University of Oklahoma Health Sciences Center, Oklahoma City, OK, USA </w:t>
      </w:r>
    </w:p>
    <w:p w14:paraId="7AC5037A" w14:textId="77777777" w:rsidR="001C735E" w:rsidRPr="008A7117" w:rsidRDefault="001C735E" w:rsidP="008A7117">
      <w:pPr>
        <w:rPr>
          <w:rFonts w:ascii="Times New Roman" w:hAnsi="Times New Roman" w:cs="Times New Roman"/>
          <w:sz w:val="20"/>
          <w:szCs w:val="20"/>
        </w:rPr>
      </w:pPr>
    </w:p>
    <w:sectPr w:rsidR="001C735E" w:rsidRPr="008A7117" w:rsidSect="00394E2C">
      <w:headerReference w:type="default" r:id="rId14"/>
      <w:footerReference w:type="default" r:id="rId15"/>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340DE8" w14:textId="77777777" w:rsidR="00692429" w:rsidRDefault="00692429" w:rsidP="00A16498">
      <w:pPr>
        <w:spacing w:after="0" w:line="240" w:lineRule="auto"/>
      </w:pPr>
      <w:r>
        <w:separator/>
      </w:r>
    </w:p>
  </w:endnote>
  <w:endnote w:type="continuationSeparator" w:id="0">
    <w:p w14:paraId="7E76E45A" w14:textId="77777777" w:rsidR="00692429" w:rsidRDefault="00692429"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altName w:val="Nyala"/>
    <w:charset w:val="00"/>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315D43" w14:textId="77777777" w:rsidR="00692429" w:rsidRDefault="00692429" w:rsidP="00A16498">
      <w:pPr>
        <w:spacing w:after="0" w:line="240" w:lineRule="auto"/>
      </w:pPr>
      <w:r>
        <w:separator/>
      </w:r>
    </w:p>
  </w:footnote>
  <w:footnote w:type="continuationSeparator" w:id="0">
    <w:p w14:paraId="210308DE" w14:textId="77777777" w:rsidR="00692429" w:rsidRDefault="00692429"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599C4F63" w:rsidR="00A16498" w:rsidRDefault="00F418AC">
    <w:pPr>
      <w:pStyle w:val="Header"/>
    </w:pPr>
    <w:r>
      <w:rPr>
        <w:noProof/>
      </w:rPr>
      <mc:AlternateContent>
        <mc:Choice Requires="wps">
          <w:drawing>
            <wp:anchor distT="0" distB="0" distL="114300" distR="114300" simplePos="0" relativeHeight="251659264" behindDoc="0" locked="0" layoutInCell="1" allowOverlap="1" wp14:anchorId="5C9E5D2F" wp14:editId="03A97DB7">
              <wp:simplePos x="0" y="0"/>
              <wp:positionH relativeFrom="column">
                <wp:posOffset>-21590</wp:posOffset>
              </wp:positionH>
              <wp:positionV relativeFrom="paragraph">
                <wp:posOffset>-225425</wp:posOffset>
              </wp:positionV>
              <wp:extent cx="5371689" cy="457200"/>
              <wp:effectExtent l="0" t="0" r="19685" b="19050"/>
              <wp:wrapNone/>
              <wp:docPr id="1685143426"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1689" cy="45720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a:graphicData>
              </a:graphic>
            </wp:anchor>
          </w:drawing>
        </mc:Choice>
        <mc:Fallback>
          <w:pict>
            <v:rect w14:anchorId="5C9E5D2F" id="Rectangle 197" o:spid="_x0000_s1026" style="position:absolute;margin-left:-1.7pt;margin-top:-17.75pt;width:422.9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&#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v:textbox>
            </v:rect>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D0162"/>
    <w:rsid w:val="001C735E"/>
    <w:rsid w:val="00226854"/>
    <w:rsid w:val="0024396F"/>
    <w:rsid w:val="00244C29"/>
    <w:rsid w:val="002872AA"/>
    <w:rsid w:val="00300310"/>
    <w:rsid w:val="00312417"/>
    <w:rsid w:val="00316B3B"/>
    <w:rsid w:val="0032171F"/>
    <w:rsid w:val="00324E6F"/>
    <w:rsid w:val="0033415B"/>
    <w:rsid w:val="00394E2C"/>
    <w:rsid w:val="003B0285"/>
    <w:rsid w:val="003C2A0A"/>
    <w:rsid w:val="003C4D59"/>
    <w:rsid w:val="003D6244"/>
    <w:rsid w:val="003F29AC"/>
    <w:rsid w:val="003F558A"/>
    <w:rsid w:val="00412A17"/>
    <w:rsid w:val="004473AC"/>
    <w:rsid w:val="00452576"/>
    <w:rsid w:val="0045428A"/>
    <w:rsid w:val="00550360"/>
    <w:rsid w:val="00577DC4"/>
    <w:rsid w:val="005C5580"/>
    <w:rsid w:val="005E02D0"/>
    <w:rsid w:val="005F3158"/>
    <w:rsid w:val="00625543"/>
    <w:rsid w:val="006535AF"/>
    <w:rsid w:val="006637E7"/>
    <w:rsid w:val="00692429"/>
    <w:rsid w:val="006C05DD"/>
    <w:rsid w:val="006D659E"/>
    <w:rsid w:val="00751FEE"/>
    <w:rsid w:val="007722E4"/>
    <w:rsid w:val="0077649B"/>
    <w:rsid w:val="00777D73"/>
    <w:rsid w:val="007B4CE7"/>
    <w:rsid w:val="00801D2A"/>
    <w:rsid w:val="00817FE3"/>
    <w:rsid w:val="0087492A"/>
    <w:rsid w:val="008938D8"/>
    <w:rsid w:val="008A7117"/>
    <w:rsid w:val="009462E3"/>
    <w:rsid w:val="009B1DAB"/>
    <w:rsid w:val="009E1B56"/>
    <w:rsid w:val="00A16498"/>
    <w:rsid w:val="00AB7B37"/>
    <w:rsid w:val="00AE4ADB"/>
    <w:rsid w:val="00B226B4"/>
    <w:rsid w:val="00B71AFF"/>
    <w:rsid w:val="00BA2D2D"/>
    <w:rsid w:val="00C6243D"/>
    <w:rsid w:val="00C80718"/>
    <w:rsid w:val="00CF3CDF"/>
    <w:rsid w:val="00D46241"/>
    <w:rsid w:val="00D60D08"/>
    <w:rsid w:val="00DC15FA"/>
    <w:rsid w:val="00E15391"/>
    <w:rsid w:val="00E27D9F"/>
    <w:rsid w:val="00E47B48"/>
    <w:rsid w:val="00E559D6"/>
    <w:rsid w:val="00EC1345"/>
    <w:rsid w:val="00F023E6"/>
    <w:rsid w:val="00F2162A"/>
    <w:rsid w:val="00F418AC"/>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2D6FCF68-E678-4BC5-9769-AC153E59D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semiHidden/>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paragraph" w:styleId="NormalWeb">
    <w:name w:val="Normal (Web)"/>
    <w:basedOn w:val="Normal"/>
    <w:uiPriority w:val="99"/>
    <w:unhideWhenUsed/>
    <w:rsid w:val="003F29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A7117"/>
    <w:rPr>
      <w:color w:val="0000FF" w:themeColor="hyperlink"/>
      <w:u w:val="single"/>
    </w:rPr>
  </w:style>
  <w:style w:type="character" w:styleId="UnresolvedMention">
    <w:name w:val="Unresolved Mention"/>
    <w:basedOn w:val="DefaultParagraphFont"/>
    <w:uiPriority w:val="99"/>
    <w:semiHidden/>
    <w:unhideWhenUsed/>
    <w:rsid w:val="008A71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505881">
      <w:bodyDiv w:val="1"/>
      <w:marLeft w:val="0"/>
      <w:marRight w:val="0"/>
      <w:marTop w:val="0"/>
      <w:marBottom w:val="0"/>
      <w:divBdr>
        <w:top w:val="none" w:sz="0" w:space="0" w:color="auto"/>
        <w:left w:val="none" w:sz="0" w:space="0" w:color="auto"/>
        <w:bottom w:val="none" w:sz="0" w:space="0" w:color="auto"/>
        <w:right w:val="none" w:sz="0" w:space="0" w:color="auto"/>
      </w:divBdr>
      <w:divsChild>
        <w:div w:id="1553271893">
          <w:marLeft w:val="0"/>
          <w:marRight w:val="0"/>
          <w:marTop w:val="0"/>
          <w:marBottom w:val="0"/>
          <w:divBdr>
            <w:top w:val="none" w:sz="0" w:space="0" w:color="auto"/>
            <w:left w:val="none" w:sz="0" w:space="0" w:color="auto"/>
            <w:bottom w:val="none" w:sz="0" w:space="0" w:color="auto"/>
            <w:right w:val="none" w:sz="0" w:space="0" w:color="auto"/>
          </w:divBdr>
        </w:div>
        <w:div w:id="911810529">
          <w:marLeft w:val="0"/>
          <w:marRight w:val="0"/>
          <w:marTop w:val="0"/>
          <w:marBottom w:val="0"/>
          <w:divBdr>
            <w:top w:val="none" w:sz="0" w:space="0" w:color="auto"/>
            <w:left w:val="none" w:sz="0" w:space="0" w:color="auto"/>
            <w:bottom w:val="none" w:sz="0" w:space="0" w:color="auto"/>
            <w:right w:val="none" w:sz="0" w:space="0" w:color="auto"/>
          </w:divBdr>
        </w:div>
      </w:divsChild>
    </w:div>
    <w:div w:id="270018408">
      <w:bodyDiv w:val="1"/>
      <w:marLeft w:val="0"/>
      <w:marRight w:val="0"/>
      <w:marTop w:val="0"/>
      <w:marBottom w:val="0"/>
      <w:divBdr>
        <w:top w:val="none" w:sz="0" w:space="0" w:color="auto"/>
        <w:left w:val="none" w:sz="0" w:space="0" w:color="auto"/>
        <w:bottom w:val="none" w:sz="0" w:space="0" w:color="auto"/>
        <w:right w:val="none" w:sz="0" w:space="0" w:color="auto"/>
      </w:divBdr>
      <w:divsChild>
        <w:div w:id="919564174">
          <w:marLeft w:val="0"/>
          <w:marRight w:val="0"/>
          <w:marTop w:val="0"/>
          <w:marBottom w:val="0"/>
          <w:divBdr>
            <w:top w:val="none" w:sz="0" w:space="0" w:color="auto"/>
            <w:left w:val="none" w:sz="0" w:space="0" w:color="auto"/>
            <w:bottom w:val="none" w:sz="0" w:space="0" w:color="auto"/>
            <w:right w:val="none" w:sz="0" w:space="0" w:color="auto"/>
          </w:divBdr>
        </w:div>
        <w:div w:id="1252856153">
          <w:marLeft w:val="0"/>
          <w:marRight w:val="0"/>
          <w:marTop w:val="0"/>
          <w:marBottom w:val="0"/>
          <w:divBdr>
            <w:top w:val="none" w:sz="0" w:space="0" w:color="auto"/>
            <w:left w:val="none" w:sz="0" w:space="0" w:color="auto"/>
            <w:bottom w:val="none" w:sz="0" w:space="0" w:color="auto"/>
            <w:right w:val="none" w:sz="0" w:space="0" w:color="auto"/>
          </w:divBdr>
        </w:div>
      </w:divsChild>
    </w:div>
    <w:div w:id="521633303">
      <w:bodyDiv w:val="1"/>
      <w:marLeft w:val="0"/>
      <w:marRight w:val="0"/>
      <w:marTop w:val="0"/>
      <w:marBottom w:val="0"/>
      <w:divBdr>
        <w:top w:val="none" w:sz="0" w:space="0" w:color="auto"/>
        <w:left w:val="none" w:sz="0" w:space="0" w:color="auto"/>
        <w:bottom w:val="none" w:sz="0" w:space="0" w:color="auto"/>
        <w:right w:val="none" w:sz="0" w:space="0" w:color="auto"/>
      </w:divBdr>
      <w:divsChild>
        <w:div w:id="606621597">
          <w:marLeft w:val="0"/>
          <w:marRight w:val="0"/>
          <w:marTop w:val="0"/>
          <w:marBottom w:val="0"/>
          <w:divBdr>
            <w:top w:val="none" w:sz="0" w:space="0" w:color="auto"/>
            <w:left w:val="none" w:sz="0" w:space="0" w:color="auto"/>
            <w:bottom w:val="none" w:sz="0" w:space="0" w:color="auto"/>
            <w:right w:val="none" w:sz="0" w:space="0" w:color="auto"/>
          </w:divBdr>
        </w:div>
        <w:div w:id="1697272645">
          <w:marLeft w:val="0"/>
          <w:marRight w:val="0"/>
          <w:marTop w:val="0"/>
          <w:marBottom w:val="0"/>
          <w:divBdr>
            <w:top w:val="none" w:sz="0" w:space="0" w:color="auto"/>
            <w:left w:val="none" w:sz="0" w:space="0" w:color="auto"/>
            <w:bottom w:val="none" w:sz="0" w:space="0" w:color="auto"/>
            <w:right w:val="none" w:sz="0" w:space="0" w:color="auto"/>
          </w:divBdr>
        </w:div>
      </w:divsChild>
    </w:div>
    <w:div w:id="1459566821">
      <w:bodyDiv w:val="1"/>
      <w:marLeft w:val="0"/>
      <w:marRight w:val="0"/>
      <w:marTop w:val="0"/>
      <w:marBottom w:val="0"/>
      <w:divBdr>
        <w:top w:val="none" w:sz="0" w:space="0" w:color="auto"/>
        <w:left w:val="none" w:sz="0" w:space="0" w:color="auto"/>
        <w:bottom w:val="none" w:sz="0" w:space="0" w:color="auto"/>
        <w:right w:val="none" w:sz="0" w:space="0" w:color="auto"/>
      </w:divBdr>
      <w:divsChild>
        <w:div w:id="1198275906">
          <w:marLeft w:val="0"/>
          <w:marRight w:val="0"/>
          <w:marTop w:val="0"/>
          <w:marBottom w:val="0"/>
          <w:divBdr>
            <w:top w:val="none" w:sz="0" w:space="0" w:color="auto"/>
            <w:left w:val="none" w:sz="0" w:space="0" w:color="auto"/>
            <w:bottom w:val="none" w:sz="0" w:space="0" w:color="auto"/>
            <w:right w:val="none" w:sz="0" w:space="0" w:color="auto"/>
          </w:divBdr>
        </w:div>
        <w:div w:id="783813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007/s10548-023-01009-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1001/jamapsychiatry.2013.24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16/j.cub.2021.01.043"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doi.org/10.1016/j.nbd.2020.10474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63F606-8B19-4711-ADE9-8A7FB97D46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818</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2024 Gatlinburg Conference Poster Submission</vt:lpstr>
    </vt:vector>
  </TitlesOfParts>
  <Company>UCDHS</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Gatlinburg Conference Poster Submission</dc:title>
  <dc:subject/>
  <dc:creator>BSHELTON</dc:creator>
  <cp:keywords/>
  <dc:description/>
  <cp:lastModifiedBy>Norris, Jordan E.</cp:lastModifiedBy>
  <cp:revision>2</cp:revision>
  <dcterms:created xsi:type="dcterms:W3CDTF">2024-10-28T19:44:00Z</dcterms:created>
  <dcterms:modified xsi:type="dcterms:W3CDTF">2024-10-28T19:44:00Z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