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0F68491D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proofErr w:type="spellStart"/>
      <w:r w:rsidR="00292317" w:rsidRPr="00292317">
        <w:rPr>
          <w:sz w:val="20"/>
          <w:szCs w:val="20"/>
        </w:rPr>
        <w:t>iKNOW</w:t>
      </w:r>
      <w:proofErr w:type="spellEnd"/>
      <w:r w:rsidR="00292317" w:rsidRPr="00292317">
        <w:rPr>
          <w:sz w:val="20"/>
          <w:szCs w:val="20"/>
        </w:rPr>
        <w:t xml:space="preserve"> Feasibility Study – Parents/Carers Perceptions</w:t>
      </w:r>
    </w:p>
    <w:p w14:paraId="7AC50371" w14:textId="58B53B1B" w:rsidR="003D6244" w:rsidRPr="008E5806" w:rsidRDefault="003D6244" w:rsidP="003D6244">
      <w:pPr>
        <w:rPr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8E5806">
        <w:rPr>
          <w:sz w:val="20"/>
          <w:szCs w:val="20"/>
        </w:rPr>
        <w:t>Kaur, K</w:t>
      </w:r>
      <w:r w:rsidR="008E5806" w:rsidRPr="008E5806">
        <w:rPr>
          <w:sz w:val="20"/>
          <w:szCs w:val="20"/>
          <w:vertAlign w:val="superscript"/>
        </w:rPr>
        <w:t>1</w:t>
      </w:r>
      <w:r w:rsidR="008E5806">
        <w:rPr>
          <w:sz w:val="20"/>
          <w:szCs w:val="20"/>
        </w:rPr>
        <w:t xml:space="preserve">., </w:t>
      </w:r>
      <w:r w:rsidR="008E5806" w:rsidRPr="008E5806">
        <w:rPr>
          <w:sz w:val="20"/>
          <w:szCs w:val="20"/>
          <w:lang w:val="en-GB"/>
        </w:rPr>
        <w:t>Walters, L.</w:t>
      </w:r>
      <w:r w:rsidR="008E5806" w:rsidRPr="008E5806">
        <w:rPr>
          <w:sz w:val="20"/>
          <w:szCs w:val="20"/>
          <w:vertAlign w:val="superscript"/>
          <w:lang w:val="en-GB"/>
        </w:rPr>
        <w:t>1</w:t>
      </w:r>
      <w:r w:rsidR="008E5806">
        <w:rPr>
          <w:sz w:val="20"/>
          <w:szCs w:val="20"/>
          <w:lang w:val="en-GB"/>
        </w:rPr>
        <w:t>,</w:t>
      </w:r>
      <w:r w:rsidR="008E5806" w:rsidRPr="008E5806">
        <w:rPr>
          <w:sz w:val="20"/>
          <w:szCs w:val="20"/>
          <w:lang w:val="en-GB"/>
        </w:rPr>
        <w:t xml:space="preserve"> R., Groves, L.</w:t>
      </w:r>
      <w:r w:rsidR="00F23F57" w:rsidRPr="00F23F57">
        <w:rPr>
          <w:sz w:val="20"/>
          <w:szCs w:val="20"/>
          <w:vertAlign w:val="superscript"/>
          <w:lang w:val="en-GB"/>
        </w:rPr>
        <w:t>2</w:t>
      </w:r>
      <w:r w:rsidR="008E5806" w:rsidRPr="008E5806">
        <w:rPr>
          <w:sz w:val="20"/>
          <w:szCs w:val="20"/>
          <w:lang w:val="en-GB"/>
        </w:rPr>
        <w:t>, Allen, D.</w:t>
      </w:r>
      <w:r w:rsidR="00BE1C7A" w:rsidRPr="00BE1C7A">
        <w:rPr>
          <w:sz w:val="20"/>
          <w:szCs w:val="20"/>
          <w:vertAlign w:val="superscript"/>
          <w:lang w:val="en-GB"/>
        </w:rPr>
        <w:t>3</w:t>
      </w:r>
      <w:r w:rsidR="008E5806" w:rsidRPr="008E5806">
        <w:rPr>
          <w:sz w:val="20"/>
          <w:szCs w:val="20"/>
          <w:lang w:val="en-GB"/>
        </w:rPr>
        <w:t>, Bain, D.</w:t>
      </w:r>
      <w:r w:rsidR="00BE01FB">
        <w:rPr>
          <w:sz w:val="20"/>
          <w:szCs w:val="20"/>
          <w:vertAlign w:val="superscript"/>
          <w:lang w:val="en-GB"/>
        </w:rPr>
        <w:t>2</w:t>
      </w:r>
      <w:r w:rsidR="008E5806" w:rsidRPr="008E5806">
        <w:rPr>
          <w:sz w:val="20"/>
          <w:szCs w:val="20"/>
          <w:lang w:val="en-GB"/>
        </w:rPr>
        <w:t>, Cooper, V.</w:t>
      </w:r>
      <w:r w:rsidR="00BE1C7A" w:rsidRPr="00BE1C7A">
        <w:rPr>
          <w:sz w:val="20"/>
          <w:szCs w:val="20"/>
          <w:vertAlign w:val="superscript"/>
          <w:lang w:val="en-GB"/>
        </w:rPr>
        <w:t>4</w:t>
      </w:r>
      <w:r w:rsidR="008E5806" w:rsidRPr="008E5806">
        <w:rPr>
          <w:sz w:val="20"/>
          <w:szCs w:val="20"/>
          <w:lang w:val="en-GB"/>
        </w:rPr>
        <w:t>, Daniel, L.</w:t>
      </w:r>
      <w:r w:rsidR="00BE1C7A" w:rsidRPr="00BE1C7A">
        <w:rPr>
          <w:sz w:val="20"/>
          <w:szCs w:val="20"/>
          <w:vertAlign w:val="superscript"/>
          <w:lang w:val="en-GB"/>
        </w:rPr>
        <w:t>5</w:t>
      </w:r>
      <w:r w:rsidR="008E5806" w:rsidRPr="008E5806">
        <w:rPr>
          <w:sz w:val="20"/>
          <w:szCs w:val="20"/>
          <w:lang w:val="en-GB"/>
        </w:rPr>
        <w:t>, Garstang, J.</w:t>
      </w:r>
      <w:r w:rsidR="00BE1C7A" w:rsidRPr="00BE1C7A">
        <w:rPr>
          <w:sz w:val="20"/>
          <w:szCs w:val="20"/>
          <w:vertAlign w:val="superscript"/>
          <w:lang w:val="en-GB"/>
        </w:rPr>
        <w:t>6</w:t>
      </w:r>
      <w:r w:rsidR="008E5806" w:rsidRPr="008E5806">
        <w:rPr>
          <w:sz w:val="20"/>
          <w:szCs w:val="20"/>
          <w:lang w:val="en-GB"/>
        </w:rPr>
        <w:t>, Jones, C.</w:t>
      </w:r>
      <w:r w:rsidR="00BE1C7A" w:rsidRPr="00BE1C7A">
        <w:rPr>
          <w:sz w:val="20"/>
          <w:szCs w:val="20"/>
          <w:vertAlign w:val="superscript"/>
          <w:lang w:val="en-GB"/>
        </w:rPr>
        <w:t>1</w:t>
      </w:r>
      <w:r w:rsidR="008E5806" w:rsidRPr="008E5806">
        <w:rPr>
          <w:sz w:val="20"/>
          <w:szCs w:val="20"/>
          <w:lang w:val="en-GB"/>
        </w:rPr>
        <w:t>, Khan, A.</w:t>
      </w:r>
      <w:r w:rsidR="00F23F57" w:rsidRPr="00F23F57">
        <w:rPr>
          <w:sz w:val="20"/>
          <w:szCs w:val="20"/>
          <w:vertAlign w:val="superscript"/>
          <w:lang w:val="en-GB"/>
        </w:rPr>
        <w:t>1</w:t>
      </w:r>
      <w:r w:rsidR="008E5806" w:rsidRPr="008E5806">
        <w:rPr>
          <w:sz w:val="20"/>
          <w:szCs w:val="20"/>
          <w:lang w:val="en-GB"/>
        </w:rPr>
        <w:t>, Liew, A.</w:t>
      </w:r>
      <w:r w:rsidR="00BE1C7A" w:rsidRPr="00BE1C7A">
        <w:rPr>
          <w:sz w:val="20"/>
          <w:szCs w:val="20"/>
          <w:vertAlign w:val="superscript"/>
          <w:lang w:val="en-GB"/>
        </w:rPr>
        <w:t>7,8,9,10</w:t>
      </w:r>
      <w:r w:rsidR="008E5806" w:rsidRPr="008E5806">
        <w:rPr>
          <w:sz w:val="20"/>
          <w:szCs w:val="20"/>
          <w:lang w:val="en-GB"/>
        </w:rPr>
        <w:t>, McCleery</w:t>
      </w:r>
      <w:r w:rsidR="00F73E64" w:rsidRPr="00F73E64">
        <w:rPr>
          <w:sz w:val="20"/>
          <w:szCs w:val="20"/>
          <w:vertAlign w:val="superscript"/>
          <w:lang w:val="en-GB"/>
        </w:rPr>
        <w:t>11</w:t>
      </w:r>
      <w:r w:rsidR="00F73E64">
        <w:rPr>
          <w:sz w:val="20"/>
          <w:szCs w:val="20"/>
          <w:vertAlign w:val="superscript"/>
          <w:lang w:val="en-GB"/>
        </w:rPr>
        <w:t>,12</w:t>
      </w:r>
      <w:r w:rsidR="00F73E64">
        <w:rPr>
          <w:sz w:val="20"/>
          <w:szCs w:val="20"/>
          <w:lang w:val="en-GB"/>
        </w:rPr>
        <w:t>,</w:t>
      </w:r>
      <w:r w:rsidR="008E5806" w:rsidRPr="008E5806">
        <w:rPr>
          <w:sz w:val="20"/>
          <w:szCs w:val="20"/>
          <w:lang w:val="en-GB"/>
        </w:rPr>
        <w:t>, J., Oliver, C.</w:t>
      </w:r>
      <w:r w:rsidR="00F23F57" w:rsidRPr="00F23F57">
        <w:rPr>
          <w:sz w:val="20"/>
          <w:szCs w:val="20"/>
          <w:vertAlign w:val="superscript"/>
          <w:lang w:val="en-GB"/>
        </w:rPr>
        <w:t>1</w:t>
      </w:r>
      <w:r w:rsidR="008E5806" w:rsidRPr="008E5806">
        <w:rPr>
          <w:sz w:val="20"/>
          <w:szCs w:val="20"/>
          <w:lang w:val="en-GB"/>
        </w:rPr>
        <w:t>, Rose, J.</w:t>
      </w:r>
      <w:r w:rsidR="00BE1C7A" w:rsidRPr="00BE1C7A">
        <w:rPr>
          <w:sz w:val="20"/>
          <w:szCs w:val="20"/>
          <w:vertAlign w:val="superscript"/>
          <w:lang w:val="en-GB"/>
        </w:rPr>
        <w:t>1</w:t>
      </w:r>
      <w:r w:rsidR="008E5806" w:rsidRPr="008E5806">
        <w:rPr>
          <w:sz w:val="20"/>
          <w:szCs w:val="20"/>
          <w:lang w:val="en-GB"/>
        </w:rPr>
        <w:t xml:space="preserve">, </w:t>
      </w:r>
      <w:proofErr w:type="spellStart"/>
      <w:r w:rsidR="008E5806" w:rsidRPr="008E5806">
        <w:rPr>
          <w:sz w:val="20"/>
          <w:szCs w:val="20"/>
          <w:lang w:val="en-GB"/>
        </w:rPr>
        <w:t>Simkiss</w:t>
      </w:r>
      <w:proofErr w:type="spellEnd"/>
      <w:r w:rsidR="008E5806" w:rsidRPr="008E5806">
        <w:rPr>
          <w:sz w:val="20"/>
          <w:szCs w:val="20"/>
          <w:lang w:val="en-GB"/>
        </w:rPr>
        <w:t>, D.</w:t>
      </w:r>
      <w:r w:rsidR="00BE1C7A" w:rsidRPr="00BE1C7A">
        <w:rPr>
          <w:sz w:val="20"/>
          <w:szCs w:val="20"/>
          <w:vertAlign w:val="superscript"/>
          <w:lang w:val="en-GB"/>
        </w:rPr>
        <w:t>6</w:t>
      </w:r>
      <w:r w:rsidR="008E5806" w:rsidRPr="008E5806">
        <w:rPr>
          <w:sz w:val="20"/>
          <w:szCs w:val="20"/>
          <w:lang w:val="en-GB"/>
        </w:rPr>
        <w:t>, Richards, C.</w:t>
      </w:r>
      <w:r w:rsidR="00F23F57" w:rsidRPr="00F23F57">
        <w:rPr>
          <w:sz w:val="20"/>
          <w:szCs w:val="20"/>
          <w:vertAlign w:val="superscript"/>
          <w:lang w:val="en-GB"/>
        </w:rPr>
        <w:t>1</w:t>
      </w:r>
    </w:p>
    <w:p w14:paraId="638DAD67" w14:textId="77777777" w:rsidR="0029231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Introduction</w:t>
      </w:r>
      <w:r w:rsidR="00292317" w:rsidRPr="00292317">
        <w:t xml:space="preserve"> </w:t>
      </w:r>
      <w:proofErr w:type="spellStart"/>
      <w:r w:rsidR="00292317" w:rsidRPr="00292317">
        <w:rPr>
          <w:sz w:val="20"/>
          <w:szCs w:val="20"/>
        </w:rPr>
        <w:t>Behaviours</w:t>
      </w:r>
      <w:proofErr w:type="spellEnd"/>
      <w:r w:rsidR="00292317" w:rsidRPr="00292317">
        <w:rPr>
          <w:sz w:val="20"/>
          <w:szCs w:val="20"/>
        </w:rPr>
        <w:t xml:space="preserve"> that challenge (</w:t>
      </w:r>
      <w:proofErr w:type="spellStart"/>
      <w:r w:rsidR="00292317" w:rsidRPr="00292317">
        <w:rPr>
          <w:sz w:val="20"/>
          <w:szCs w:val="20"/>
        </w:rPr>
        <w:t>BtC</w:t>
      </w:r>
      <w:proofErr w:type="spellEnd"/>
      <w:r w:rsidR="00292317" w:rsidRPr="00292317">
        <w:rPr>
          <w:sz w:val="20"/>
          <w:szCs w:val="20"/>
        </w:rPr>
        <w:t xml:space="preserve">) </w:t>
      </w:r>
      <w:proofErr w:type="gramStart"/>
      <w:r w:rsidR="00292317" w:rsidRPr="00292317">
        <w:rPr>
          <w:sz w:val="20"/>
          <w:szCs w:val="20"/>
        </w:rPr>
        <w:t>are</w:t>
      </w:r>
      <w:proofErr w:type="gramEnd"/>
      <w:r w:rsidR="00292317" w:rsidRPr="00292317">
        <w:rPr>
          <w:sz w:val="20"/>
          <w:szCs w:val="20"/>
        </w:rPr>
        <w:t xml:space="preserve"> shown by approximately 10% of children with intellectual disability and both prevalence and severity increase with age in childhood. Thus, early identification of children at highest risk for </w:t>
      </w:r>
      <w:proofErr w:type="spellStart"/>
      <w:r w:rsidR="00292317" w:rsidRPr="00292317">
        <w:rPr>
          <w:sz w:val="20"/>
          <w:szCs w:val="20"/>
        </w:rPr>
        <w:t>BtC</w:t>
      </w:r>
      <w:proofErr w:type="spellEnd"/>
      <w:r w:rsidR="00292317" w:rsidRPr="00292317">
        <w:rPr>
          <w:sz w:val="20"/>
          <w:szCs w:val="20"/>
        </w:rPr>
        <w:t xml:space="preserve">, and delivery of preventative interventions is essential. The </w:t>
      </w:r>
      <w:proofErr w:type="spellStart"/>
      <w:r w:rsidR="00292317" w:rsidRPr="00292317">
        <w:rPr>
          <w:sz w:val="20"/>
          <w:szCs w:val="20"/>
        </w:rPr>
        <w:t>i</w:t>
      </w:r>
      <w:proofErr w:type="spellEnd"/>
      <w:r w:rsidR="00292317" w:rsidRPr="00292317">
        <w:rPr>
          <w:sz w:val="20"/>
          <w:szCs w:val="20"/>
        </w:rPr>
        <w:t xml:space="preserve">-KNOW (understanding and knowing about </w:t>
      </w:r>
      <w:proofErr w:type="spellStart"/>
      <w:r w:rsidR="00292317" w:rsidRPr="00292317">
        <w:rPr>
          <w:sz w:val="20"/>
          <w:szCs w:val="20"/>
        </w:rPr>
        <w:t>behaviour</w:t>
      </w:r>
      <w:proofErr w:type="spellEnd"/>
      <w:r w:rsidR="00292317" w:rsidRPr="00292317">
        <w:rPr>
          <w:sz w:val="20"/>
          <w:szCs w:val="20"/>
        </w:rPr>
        <w:t xml:space="preserve">) </w:t>
      </w:r>
      <w:proofErr w:type="spellStart"/>
      <w:r w:rsidR="00292317" w:rsidRPr="00292317">
        <w:rPr>
          <w:sz w:val="20"/>
          <w:szCs w:val="20"/>
        </w:rPr>
        <w:t>programme</w:t>
      </w:r>
      <w:proofErr w:type="spellEnd"/>
      <w:r w:rsidR="00292317" w:rsidRPr="00292317">
        <w:rPr>
          <w:sz w:val="20"/>
          <w:szCs w:val="20"/>
        </w:rPr>
        <w:t xml:space="preserve"> has been designed as a proactive, preventative intervention before </w:t>
      </w:r>
      <w:proofErr w:type="spellStart"/>
      <w:r w:rsidR="00292317" w:rsidRPr="00292317">
        <w:rPr>
          <w:sz w:val="20"/>
          <w:szCs w:val="20"/>
        </w:rPr>
        <w:t>BtC</w:t>
      </w:r>
      <w:proofErr w:type="spellEnd"/>
      <w:r w:rsidR="00292317" w:rsidRPr="00292317">
        <w:rPr>
          <w:sz w:val="20"/>
          <w:szCs w:val="20"/>
        </w:rPr>
        <w:t xml:space="preserve"> emerge. </w:t>
      </w:r>
    </w:p>
    <w:p w14:paraId="30745042" w14:textId="008671C8" w:rsidR="00292317" w:rsidRPr="00292317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292317" w:rsidRPr="00292317">
        <w:rPr>
          <w:color w:val="000000"/>
          <w:sz w:val="20"/>
          <w:szCs w:val="20"/>
        </w:rPr>
        <w:t>Parents/carers of children (aged 1-8 years) with confirmed or suspected developmental difficulties were assessed for eligibility using a risk algorithm (</w:t>
      </w:r>
      <w:proofErr w:type="spellStart"/>
      <w:r w:rsidR="00292317" w:rsidRPr="00292317">
        <w:rPr>
          <w:color w:val="000000"/>
          <w:sz w:val="20"/>
          <w:szCs w:val="20"/>
        </w:rPr>
        <w:t>i</w:t>
      </w:r>
      <w:proofErr w:type="spellEnd"/>
      <w:r w:rsidR="00292317" w:rsidRPr="00292317">
        <w:rPr>
          <w:color w:val="000000"/>
          <w:sz w:val="20"/>
          <w:szCs w:val="20"/>
        </w:rPr>
        <w:t xml:space="preserve">-RISC, derived from the SAD-SQ) and stratified into </w:t>
      </w:r>
      <w:proofErr w:type="spellStart"/>
      <w:r w:rsidR="00292317" w:rsidRPr="00292317">
        <w:rPr>
          <w:color w:val="000000"/>
          <w:sz w:val="20"/>
          <w:szCs w:val="20"/>
        </w:rPr>
        <w:t>i</w:t>
      </w:r>
      <w:proofErr w:type="spellEnd"/>
      <w:r w:rsidR="00292317" w:rsidRPr="00292317">
        <w:rPr>
          <w:color w:val="000000"/>
          <w:sz w:val="20"/>
          <w:szCs w:val="20"/>
        </w:rPr>
        <w:t xml:space="preserve">-KNOW intervention workshops (risk of high severity </w:t>
      </w:r>
      <w:proofErr w:type="spellStart"/>
      <w:r w:rsidR="00292317" w:rsidRPr="00292317">
        <w:rPr>
          <w:color w:val="000000"/>
          <w:sz w:val="20"/>
          <w:szCs w:val="20"/>
        </w:rPr>
        <w:t>BtC</w:t>
      </w:r>
      <w:proofErr w:type="spellEnd"/>
      <w:r w:rsidR="00292317" w:rsidRPr="00292317">
        <w:rPr>
          <w:color w:val="000000"/>
          <w:sz w:val="20"/>
          <w:szCs w:val="20"/>
        </w:rPr>
        <w:t xml:space="preserve">, n=50) or remote learning (risk of moderate severity </w:t>
      </w:r>
      <w:proofErr w:type="spellStart"/>
      <w:r w:rsidR="00292317" w:rsidRPr="00292317">
        <w:rPr>
          <w:color w:val="000000"/>
          <w:sz w:val="20"/>
          <w:szCs w:val="20"/>
        </w:rPr>
        <w:t>BtC</w:t>
      </w:r>
      <w:proofErr w:type="spellEnd"/>
      <w:r w:rsidR="00292317" w:rsidRPr="00292317">
        <w:rPr>
          <w:color w:val="000000"/>
          <w:sz w:val="20"/>
          <w:szCs w:val="20"/>
        </w:rPr>
        <w:t xml:space="preserve">, n=13). The 6-week psychoeducation </w:t>
      </w:r>
      <w:proofErr w:type="spellStart"/>
      <w:r w:rsidR="00292317" w:rsidRPr="00292317">
        <w:rPr>
          <w:color w:val="000000"/>
          <w:sz w:val="20"/>
          <w:szCs w:val="20"/>
        </w:rPr>
        <w:t>programme</w:t>
      </w:r>
      <w:proofErr w:type="spellEnd"/>
      <w:r w:rsidR="00292317" w:rsidRPr="00292317">
        <w:rPr>
          <w:color w:val="000000"/>
          <w:sz w:val="20"/>
          <w:szCs w:val="20"/>
        </w:rPr>
        <w:t xml:space="preserve"> equipped parents/carers with knowledge of functional communication strategies, facilitating their child’s communication of needs and preferences. Semi-structured interviews evaluated the feasibility and acceptability of the </w:t>
      </w:r>
      <w:proofErr w:type="spellStart"/>
      <w:r w:rsidR="00292317" w:rsidRPr="00292317">
        <w:rPr>
          <w:color w:val="000000"/>
          <w:sz w:val="20"/>
          <w:szCs w:val="20"/>
        </w:rPr>
        <w:t>i</w:t>
      </w:r>
      <w:proofErr w:type="spellEnd"/>
      <w:r w:rsidR="00292317" w:rsidRPr="00292317">
        <w:rPr>
          <w:color w:val="000000"/>
          <w:sz w:val="20"/>
          <w:szCs w:val="20"/>
        </w:rPr>
        <w:t>-KNOW intervention in an NHS clinical setting</w:t>
      </w:r>
      <w:r w:rsidR="00292317">
        <w:rPr>
          <w:color w:val="000000"/>
          <w:sz w:val="20"/>
          <w:szCs w:val="20"/>
        </w:rPr>
        <w:t xml:space="preserve">. </w:t>
      </w:r>
      <w:r w:rsidR="00292317" w:rsidRPr="00292317">
        <w:rPr>
          <w:color w:val="000000"/>
          <w:sz w:val="20"/>
          <w:szCs w:val="20"/>
        </w:rPr>
        <w:t xml:space="preserve">An interview schedule was developed by the research team and reviewed by Speech and Language NHS clinician trained in the </w:t>
      </w:r>
      <w:proofErr w:type="spellStart"/>
      <w:r w:rsidR="00292317" w:rsidRPr="00292317">
        <w:rPr>
          <w:color w:val="000000"/>
          <w:sz w:val="20"/>
          <w:szCs w:val="20"/>
        </w:rPr>
        <w:t>iKNOW</w:t>
      </w:r>
      <w:proofErr w:type="spellEnd"/>
      <w:r w:rsidR="00292317" w:rsidRPr="00292317">
        <w:rPr>
          <w:color w:val="000000"/>
          <w:sz w:val="20"/>
          <w:szCs w:val="20"/>
        </w:rPr>
        <w:t xml:space="preserve"> protocol. Interviews were delivered online by a researcher using zoom</w:t>
      </w:r>
      <w:r w:rsidR="00292317">
        <w:rPr>
          <w:color w:val="000000"/>
          <w:sz w:val="20"/>
          <w:szCs w:val="20"/>
        </w:rPr>
        <w:t>.</w:t>
      </w:r>
      <w:r w:rsidR="00292317" w:rsidRPr="00292317">
        <w:rPr>
          <w:color w:val="000000"/>
          <w:sz w:val="20"/>
          <w:szCs w:val="20"/>
        </w:rPr>
        <w:t xml:space="preserve"> The semi-structured interviews were limited to an hour, audio-recorded and transcribed verbatim. Interview data from 11 parents/carers was transcribed and evaluated with thematic analysis.</w:t>
      </w:r>
    </w:p>
    <w:p w14:paraId="69321946" w14:textId="6CCA14EF" w:rsidR="00292317" w:rsidRDefault="003D6244" w:rsidP="003D6244">
      <w:pPr>
        <w:rPr>
          <w:color w:val="000000"/>
          <w:sz w:val="20"/>
          <w:szCs w:val="20"/>
        </w:rPr>
      </w:pPr>
      <w:r w:rsidRPr="00292317">
        <w:rPr>
          <w:b/>
          <w:color w:val="000000"/>
          <w:sz w:val="20"/>
          <w:szCs w:val="20"/>
        </w:rPr>
        <w:t>Results</w:t>
      </w:r>
      <w:r w:rsidRPr="00292317">
        <w:rPr>
          <w:color w:val="000000"/>
          <w:sz w:val="20"/>
          <w:szCs w:val="20"/>
        </w:rPr>
        <w:t xml:space="preserve">: </w:t>
      </w:r>
      <w:r w:rsidR="00292317" w:rsidRPr="00292317">
        <w:rPr>
          <w:color w:val="000000"/>
          <w:sz w:val="20"/>
          <w:szCs w:val="20"/>
        </w:rPr>
        <w:t xml:space="preserve">Findings indicated that the </w:t>
      </w:r>
      <w:proofErr w:type="spellStart"/>
      <w:r w:rsidR="00292317" w:rsidRPr="00292317">
        <w:rPr>
          <w:color w:val="000000"/>
          <w:sz w:val="20"/>
          <w:szCs w:val="20"/>
        </w:rPr>
        <w:t>iKNOW</w:t>
      </w:r>
      <w:proofErr w:type="spellEnd"/>
      <w:r w:rsidR="00292317" w:rsidRPr="00292317">
        <w:rPr>
          <w:color w:val="000000"/>
          <w:sz w:val="20"/>
          <w:szCs w:val="20"/>
        </w:rPr>
        <w:t xml:space="preserve"> intervention impacted caregiver perception and enhanced communication ability of children at the highest level of clinical risk for </w:t>
      </w:r>
      <w:proofErr w:type="spellStart"/>
      <w:r w:rsidR="00292317" w:rsidRPr="00292317">
        <w:rPr>
          <w:color w:val="000000"/>
          <w:sz w:val="20"/>
          <w:szCs w:val="20"/>
        </w:rPr>
        <w:t>BtC</w:t>
      </w:r>
      <w:proofErr w:type="spellEnd"/>
      <w:r w:rsidR="00292317" w:rsidRPr="00292317">
        <w:rPr>
          <w:color w:val="000000"/>
          <w:sz w:val="20"/>
          <w:szCs w:val="20"/>
        </w:rPr>
        <w:t xml:space="preserve">. Moreover, thematic analysis of parental reflections of the intervention identified three main themes: (1) need for community; (2) need for accessibility; and (3) need for early intervention for children with specific profiles. </w:t>
      </w:r>
    </w:p>
    <w:p w14:paraId="7AC50375" w14:textId="77AB7A98" w:rsidR="003D6244" w:rsidRPr="00736D0A" w:rsidRDefault="003D6244" w:rsidP="003D6244">
      <w:pPr>
        <w:rPr>
          <w:b/>
          <w:iCs/>
          <w:color w:val="000000"/>
          <w:sz w:val="20"/>
          <w:szCs w:val="20"/>
        </w:rPr>
      </w:pPr>
      <w:r w:rsidRPr="00292317">
        <w:rPr>
          <w:b/>
          <w:iCs/>
          <w:color w:val="000000"/>
          <w:sz w:val="20"/>
          <w:szCs w:val="20"/>
        </w:rPr>
        <w:t xml:space="preserve">Discussion: </w:t>
      </w:r>
      <w:r w:rsidR="008E5806" w:rsidRPr="008E5806">
        <w:rPr>
          <w:bCs/>
          <w:iCs/>
          <w:color w:val="000000"/>
          <w:sz w:val="20"/>
          <w:szCs w:val="20"/>
        </w:rPr>
        <w:t xml:space="preserve">While some families report feeling empowered by their preparedness for </w:t>
      </w:r>
      <w:proofErr w:type="spellStart"/>
      <w:r w:rsidR="008E5806" w:rsidRPr="008E5806">
        <w:rPr>
          <w:bCs/>
          <w:iCs/>
          <w:color w:val="000000"/>
          <w:sz w:val="20"/>
          <w:szCs w:val="20"/>
        </w:rPr>
        <w:t>BtC</w:t>
      </w:r>
      <w:proofErr w:type="spellEnd"/>
      <w:r w:rsidR="008E5806" w:rsidRPr="008E5806">
        <w:rPr>
          <w:bCs/>
          <w:iCs/>
          <w:color w:val="000000"/>
          <w:sz w:val="20"/>
          <w:szCs w:val="20"/>
        </w:rPr>
        <w:t xml:space="preserve">, others experience heightened uncertainty, necessitating a day-by-day approach to care management. These findings underscore the need for interventions that are both sensitive and adaptable to individual caregiver needs, highlighting the importance of </w:t>
      </w:r>
      <w:proofErr w:type="spellStart"/>
      <w:r w:rsidR="008E5806" w:rsidRPr="008E5806">
        <w:rPr>
          <w:bCs/>
          <w:iCs/>
          <w:color w:val="000000"/>
          <w:sz w:val="20"/>
          <w:szCs w:val="20"/>
        </w:rPr>
        <w:t>personalisation</w:t>
      </w:r>
      <w:proofErr w:type="spellEnd"/>
      <w:r w:rsidR="008E5806" w:rsidRPr="008E5806">
        <w:rPr>
          <w:bCs/>
          <w:iCs/>
          <w:color w:val="000000"/>
          <w:sz w:val="20"/>
          <w:szCs w:val="20"/>
        </w:rPr>
        <w:t xml:space="preserve"> in future trial designs.</w:t>
      </w:r>
      <w:r w:rsidR="008E5806">
        <w:rPr>
          <w:bCs/>
          <w:iCs/>
          <w:color w:val="000000"/>
          <w:sz w:val="20"/>
          <w:szCs w:val="20"/>
        </w:rPr>
        <w:t xml:space="preserve"> </w:t>
      </w:r>
      <w:r w:rsidR="008E5806" w:rsidRPr="008E5806">
        <w:rPr>
          <w:bCs/>
          <w:iCs/>
          <w:color w:val="000000"/>
          <w:sz w:val="20"/>
          <w:szCs w:val="20"/>
        </w:rPr>
        <w:t xml:space="preserve">Further investigation is necessary to understand the underlying causes of changes in caregiver well-being and </w:t>
      </w:r>
      <w:proofErr w:type="spellStart"/>
      <w:r w:rsidR="008E5806" w:rsidRPr="008E5806">
        <w:rPr>
          <w:bCs/>
          <w:iCs/>
          <w:color w:val="000000"/>
          <w:sz w:val="20"/>
          <w:szCs w:val="20"/>
        </w:rPr>
        <w:t>prioritising</w:t>
      </w:r>
      <w:proofErr w:type="spellEnd"/>
      <w:r w:rsidR="008E5806" w:rsidRPr="008E5806">
        <w:rPr>
          <w:bCs/>
          <w:iCs/>
          <w:color w:val="000000"/>
          <w:sz w:val="20"/>
          <w:szCs w:val="20"/>
        </w:rPr>
        <w:t xml:space="preserve"> caregiver well-being should be a key focus in the development of future interventions. Additionally, strategies to ensure the sustainability of support networks within communities beyond the intervention period must be incorporated to enhance long-term outcomes.</w:t>
      </w:r>
      <w:r w:rsidR="008E5806">
        <w:rPr>
          <w:bCs/>
          <w:iCs/>
          <w:color w:val="000000"/>
          <w:sz w:val="20"/>
          <w:szCs w:val="20"/>
        </w:rPr>
        <w:t xml:space="preserve"> </w:t>
      </w:r>
      <w:r w:rsidR="00292317" w:rsidRPr="00292317">
        <w:rPr>
          <w:color w:val="000000"/>
          <w:sz w:val="20"/>
          <w:szCs w:val="20"/>
        </w:rPr>
        <w:t xml:space="preserve">This study will inform a future trial to assess efficacy of the </w:t>
      </w:r>
      <w:proofErr w:type="spellStart"/>
      <w:r w:rsidR="00292317" w:rsidRPr="00292317">
        <w:rPr>
          <w:color w:val="000000"/>
          <w:sz w:val="20"/>
          <w:szCs w:val="20"/>
        </w:rPr>
        <w:t>i</w:t>
      </w:r>
      <w:proofErr w:type="spellEnd"/>
      <w:r w:rsidR="00292317" w:rsidRPr="00292317">
        <w:rPr>
          <w:color w:val="000000"/>
          <w:sz w:val="20"/>
          <w:szCs w:val="20"/>
        </w:rPr>
        <w:t xml:space="preserve">-RISC and </w:t>
      </w:r>
      <w:proofErr w:type="spellStart"/>
      <w:r w:rsidR="00292317" w:rsidRPr="00292317">
        <w:rPr>
          <w:color w:val="000000"/>
          <w:sz w:val="20"/>
          <w:szCs w:val="20"/>
        </w:rPr>
        <w:t>i</w:t>
      </w:r>
      <w:proofErr w:type="spellEnd"/>
      <w:r w:rsidR="00292317" w:rsidRPr="00292317">
        <w:rPr>
          <w:color w:val="000000"/>
          <w:sz w:val="20"/>
          <w:szCs w:val="20"/>
        </w:rPr>
        <w:t xml:space="preserve">-KNOW </w:t>
      </w:r>
      <w:proofErr w:type="spellStart"/>
      <w:r w:rsidR="00292317" w:rsidRPr="00292317">
        <w:rPr>
          <w:color w:val="000000"/>
          <w:sz w:val="20"/>
          <w:szCs w:val="20"/>
        </w:rPr>
        <w:t>programme</w:t>
      </w:r>
      <w:proofErr w:type="spellEnd"/>
      <w:r w:rsidR="00292317" w:rsidRPr="00292317">
        <w:rPr>
          <w:color w:val="000000"/>
          <w:sz w:val="20"/>
          <w:szCs w:val="20"/>
        </w:rPr>
        <w:t xml:space="preserve"> in community practice.</w:t>
      </w:r>
    </w:p>
    <w:p w14:paraId="7AC50376" w14:textId="57491073" w:rsidR="003D6244" w:rsidRDefault="003D6244" w:rsidP="003D6244">
      <w:pPr>
        <w:rPr>
          <w:b/>
          <w:color w:val="000000"/>
          <w:sz w:val="20"/>
          <w:szCs w:val="20"/>
          <w:lang w:val="en-GB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65E57EFA" w14:textId="454D63EE" w:rsidR="00BE01FB" w:rsidRDefault="00BE01FB" w:rsidP="003D6244">
      <w:pPr>
        <w:rPr>
          <w:bCs/>
          <w:color w:val="000000"/>
          <w:sz w:val="20"/>
          <w:szCs w:val="20"/>
        </w:rPr>
      </w:pPr>
      <w:r w:rsidRPr="00BE01FB">
        <w:rPr>
          <w:bCs/>
          <w:color w:val="000000"/>
          <w:sz w:val="20"/>
          <w:szCs w:val="20"/>
        </w:rPr>
        <w:t xml:space="preserve">Davies, L. E., &amp; Oliver, C. (2016). Self-injury, aggression and destruction in children with severe intellectual disability: Incidence, persistence and novel, predictive </w:t>
      </w:r>
      <w:proofErr w:type="spellStart"/>
      <w:r w:rsidRPr="00BE01FB">
        <w:rPr>
          <w:bCs/>
          <w:color w:val="000000"/>
          <w:sz w:val="20"/>
          <w:szCs w:val="20"/>
        </w:rPr>
        <w:t>behavioural</w:t>
      </w:r>
      <w:proofErr w:type="spellEnd"/>
      <w:r w:rsidRPr="00BE01FB">
        <w:rPr>
          <w:bCs/>
          <w:color w:val="000000"/>
          <w:sz w:val="20"/>
          <w:szCs w:val="20"/>
        </w:rPr>
        <w:t xml:space="preserve"> risk markers. </w:t>
      </w:r>
      <w:r w:rsidRPr="00BE01FB">
        <w:rPr>
          <w:bCs/>
          <w:i/>
          <w:iCs/>
          <w:color w:val="000000"/>
          <w:sz w:val="20"/>
          <w:szCs w:val="20"/>
        </w:rPr>
        <w:t>Research in developmental disabilities</w:t>
      </w:r>
      <w:r w:rsidRPr="00BE01FB">
        <w:rPr>
          <w:bCs/>
          <w:color w:val="000000"/>
          <w:sz w:val="20"/>
          <w:szCs w:val="20"/>
        </w:rPr>
        <w:t>, </w:t>
      </w:r>
      <w:r w:rsidRPr="00BE01FB">
        <w:rPr>
          <w:bCs/>
          <w:i/>
          <w:iCs/>
          <w:color w:val="000000"/>
          <w:sz w:val="20"/>
          <w:szCs w:val="20"/>
        </w:rPr>
        <w:t>49</w:t>
      </w:r>
      <w:r w:rsidRPr="00BE01FB">
        <w:rPr>
          <w:bCs/>
          <w:color w:val="000000"/>
          <w:sz w:val="20"/>
          <w:szCs w:val="20"/>
        </w:rPr>
        <w:t>, 291-301.</w:t>
      </w:r>
    </w:p>
    <w:p w14:paraId="2FC2594C" w14:textId="242027F3" w:rsidR="00BE01FB" w:rsidRDefault="00BE01FB" w:rsidP="00BE01FB">
      <w:pPr>
        <w:rPr>
          <w:bCs/>
          <w:color w:val="000000"/>
          <w:sz w:val="20"/>
          <w:szCs w:val="20"/>
          <w:lang w:val="en-GB"/>
        </w:rPr>
      </w:pPr>
      <w:r w:rsidRPr="00BE01FB">
        <w:rPr>
          <w:bCs/>
          <w:color w:val="000000"/>
          <w:sz w:val="20"/>
          <w:szCs w:val="20"/>
          <w:lang w:val="en-GB"/>
        </w:rPr>
        <w:t xml:space="preserve">Walters, L. R., Groves, L., Allen, D., Bain, D., Cooper, V., Daniel, L., Garstang, J., Jones, C., </w:t>
      </w:r>
      <w:r w:rsidRPr="00BE01FB">
        <w:rPr>
          <w:color w:val="000000"/>
          <w:sz w:val="20"/>
          <w:szCs w:val="20"/>
          <w:lang w:val="en-GB"/>
        </w:rPr>
        <w:t>Kaur, K.,</w:t>
      </w:r>
      <w:r w:rsidRPr="00BE01FB">
        <w:rPr>
          <w:bCs/>
          <w:color w:val="000000"/>
          <w:sz w:val="20"/>
          <w:szCs w:val="20"/>
          <w:lang w:val="en-GB"/>
        </w:rPr>
        <w:t xml:space="preserve"> Khan</w:t>
      </w:r>
      <w:r w:rsidRPr="00BE01FB">
        <w:rPr>
          <w:bCs/>
          <w:color w:val="000000"/>
          <w:sz w:val="20"/>
          <w:szCs w:val="20"/>
          <w:u w:val="single"/>
          <w:lang w:val="en-GB"/>
        </w:rPr>
        <w:t>,</w:t>
      </w:r>
      <w:r w:rsidRPr="00BE01FB">
        <w:rPr>
          <w:bCs/>
          <w:color w:val="000000"/>
          <w:sz w:val="20"/>
          <w:szCs w:val="20"/>
          <w:lang w:val="en-GB"/>
        </w:rPr>
        <w:t xml:space="preserve"> A., Liew, A, McCleery, J., Oliver, C., Rose, J., </w:t>
      </w:r>
      <w:proofErr w:type="spellStart"/>
      <w:r w:rsidRPr="00BE01FB">
        <w:rPr>
          <w:bCs/>
          <w:color w:val="000000"/>
          <w:sz w:val="20"/>
          <w:szCs w:val="20"/>
          <w:lang w:val="en-GB"/>
        </w:rPr>
        <w:t>Simkiss</w:t>
      </w:r>
      <w:proofErr w:type="spellEnd"/>
      <w:r w:rsidRPr="00BE01FB">
        <w:rPr>
          <w:bCs/>
          <w:color w:val="000000"/>
          <w:sz w:val="20"/>
          <w:szCs w:val="20"/>
          <w:lang w:val="en-GB"/>
        </w:rPr>
        <w:t xml:space="preserve">, D., &amp; Richards, C (In Prep) Assessing the feasibility of the </w:t>
      </w:r>
      <w:proofErr w:type="spellStart"/>
      <w:r w:rsidRPr="00BE01FB">
        <w:rPr>
          <w:bCs/>
          <w:color w:val="000000"/>
          <w:sz w:val="20"/>
          <w:szCs w:val="20"/>
          <w:lang w:val="en-GB"/>
        </w:rPr>
        <w:t>i</w:t>
      </w:r>
      <w:proofErr w:type="spellEnd"/>
      <w:r w:rsidRPr="00BE01FB">
        <w:rPr>
          <w:bCs/>
          <w:color w:val="000000"/>
          <w:sz w:val="20"/>
          <w:szCs w:val="20"/>
          <w:lang w:val="en-GB"/>
        </w:rPr>
        <w:t>-KNOW preventive intervention programme for individuals at Clinical High Risk for Behaviours that Challenge</w:t>
      </w:r>
      <w:r>
        <w:rPr>
          <w:bCs/>
          <w:color w:val="000000"/>
          <w:sz w:val="20"/>
          <w:szCs w:val="20"/>
          <w:lang w:val="en-GB"/>
        </w:rPr>
        <w:t>.</w:t>
      </w:r>
    </w:p>
    <w:p w14:paraId="45CE833B" w14:textId="4BD09A5D" w:rsidR="00BE01FB" w:rsidRPr="00BE01FB" w:rsidRDefault="00BE01FB" w:rsidP="00BE01FB">
      <w:pPr>
        <w:rPr>
          <w:bCs/>
          <w:color w:val="000000"/>
          <w:sz w:val="20"/>
          <w:szCs w:val="20"/>
          <w:lang w:val="en-GB"/>
        </w:rPr>
      </w:pPr>
      <w:r w:rsidRPr="00BE01FB">
        <w:rPr>
          <w:bCs/>
          <w:color w:val="000000"/>
          <w:sz w:val="20"/>
          <w:szCs w:val="20"/>
          <w:lang w:val="en-GB"/>
        </w:rPr>
        <w:t>Groves,</w:t>
      </w:r>
      <w:r w:rsidR="00BE1C7A">
        <w:rPr>
          <w:bCs/>
          <w:color w:val="000000"/>
          <w:sz w:val="20"/>
          <w:szCs w:val="20"/>
          <w:lang w:val="en-GB"/>
        </w:rPr>
        <w:t xml:space="preserve"> L.,</w:t>
      </w:r>
      <w:r w:rsidRPr="00BE01FB">
        <w:rPr>
          <w:bCs/>
          <w:color w:val="000000"/>
          <w:sz w:val="20"/>
          <w:szCs w:val="20"/>
          <w:lang w:val="en-GB"/>
        </w:rPr>
        <w:t xml:space="preserve"> Davies,</w:t>
      </w:r>
      <w:r w:rsidR="00BE1C7A">
        <w:rPr>
          <w:bCs/>
          <w:color w:val="000000"/>
          <w:sz w:val="20"/>
          <w:szCs w:val="20"/>
          <w:lang w:val="en-GB"/>
        </w:rPr>
        <w:t xml:space="preserve"> G.,</w:t>
      </w:r>
      <w:r w:rsidRPr="00BE01FB">
        <w:rPr>
          <w:bCs/>
          <w:color w:val="000000"/>
          <w:sz w:val="20"/>
          <w:szCs w:val="20"/>
          <w:lang w:val="en-GB"/>
        </w:rPr>
        <w:t xml:space="preserve"> Oliver,</w:t>
      </w:r>
      <w:r w:rsidR="00BE1C7A">
        <w:rPr>
          <w:bCs/>
          <w:color w:val="000000"/>
          <w:sz w:val="20"/>
          <w:szCs w:val="20"/>
          <w:lang w:val="en-GB"/>
        </w:rPr>
        <w:t xml:space="preserve"> C.,</w:t>
      </w:r>
      <w:r w:rsidRPr="00BE01FB">
        <w:rPr>
          <w:bCs/>
          <w:color w:val="000000"/>
          <w:sz w:val="20"/>
          <w:szCs w:val="20"/>
          <w:lang w:val="en-GB"/>
        </w:rPr>
        <w:t xml:space="preserve"> Allen,</w:t>
      </w:r>
      <w:r w:rsidR="00BE1C7A">
        <w:rPr>
          <w:bCs/>
          <w:color w:val="000000"/>
          <w:sz w:val="20"/>
          <w:szCs w:val="20"/>
          <w:lang w:val="en-GB"/>
        </w:rPr>
        <w:t xml:space="preserve"> D.,</w:t>
      </w:r>
      <w:r w:rsidRPr="00BE01FB">
        <w:rPr>
          <w:bCs/>
          <w:color w:val="000000"/>
          <w:sz w:val="20"/>
          <w:szCs w:val="20"/>
          <w:lang w:val="en-GB"/>
        </w:rPr>
        <w:t xml:space="preserve"> Bamford,</w:t>
      </w:r>
      <w:r w:rsidR="00BE1C7A">
        <w:rPr>
          <w:bCs/>
          <w:color w:val="000000"/>
          <w:sz w:val="20"/>
          <w:szCs w:val="20"/>
          <w:lang w:val="en-GB"/>
        </w:rPr>
        <w:t xml:space="preserve"> C.,</w:t>
      </w:r>
      <w:r w:rsidRPr="00BE01FB">
        <w:rPr>
          <w:bCs/>
          <w:color w:val="000000"/>
          <w:sz w:val="20"/>
          <w:szCs w:val="20"/>
          <w:lang w:val="en-GB"/>
        </w:rPr>
        <w:t xml:space="preserve"> Bell, </w:t>
      </w:r>
      <w:r w:rsidR="00BE1C7A">
        <w:rPr>
          <w:bCs/>
          <w:color w:val="000000"/>
          <w:sz w:val="20"/>
          <w:szCs w:val="20"/>
          <w:lang w:val="en-GB"/>
        </w:rPr>
        <w:t xml:space="preserve">L., </w:t>
      </w:r>
      <w:r w:rsidRPr="00BE01FB">
        <w:rPr>
          <w:bCs/>
          <w:color w:val="000000"/>
          <w:sz w:val="20"/>
          <w:szCs w:val="20"/>
          <w:lang w:val="en-GB"/>
        </w:rPr>
        <w:t>Brown,</w:t>
      </w:r>
      <w:r w:rsidR="00BE1C7A">
        <w:rPr>
          <w:bCs/>
          <w:color w:val="000000"/>
          <w:sz w:val="20"/>
          <w:szCs w:val="20"/>
          <w:lang w:val="en-GB"/>
        </w:rPr>
        <w:t xml:space="preserve"> C.,</w:t>
      </w:r>
      <w:r w:rsidRPr="00BE01FB">
        <w:rPr>
          <w:bCs/>
          <w:color w:val="000000"/>
          <w:sz w:val="20"/>
          <w:szCs w:val="20"/>
          <w:lang w:val="en-GB"/>
        </w:rPr>
        <w:t xml:space="preserve"> Cooper,</w:t>
      </w:r>
      <w:r w:rsidR="00BE1C7A">
        <w:rPr>
          <w:bCs/>
          <w:color w:val="000000"/>
          <w:sz w:val="20"/>
          <w:szCs w:val="20"/>
          <w:lang w:val="en-GB"/>
        </w:rPr>
        <w:t xml:space="preserve"> V.,</w:t>
      </w:r>
      <w:r w:rsidRPr="00BE01FB">
        <w:rPr>
          <w:bCs/>
          <w:color w:val="000000"/>
          <w:sz w:val="20"/>
          <w:szCs w:val="20"/>
          <w:lang w:val="en-GB"/>
        </w:rPr>
        <w:t xml:space="preserve"> Daniel, </w:t>
      </w:r>
      <w:r w:rsidR="00BE1C7A">
        <w:rPr>
          <w:bCs/>
          <w:color w:val="000000"/>
          <w:sz w:val="20"/>
          <w:szCs w:val="20"/>
          <w:lang w:val="en-GB"/>
        </w:rPr>
        <w:t xml:space="preserve">L., </w:t>
      </w:r>
      <w:r w:rsidRPr="00BE01FB">
        <w:rPr>
          <w:bCs/>
          <w:color w:val="000000"/>
          <w:sz w:val="20"/>
          <w:szCs w:val="20"/>
          <w:lang w:val="en-GB"/>
        </w:rPr>
        <w:t xml:space="preserve">Garstang, </w:t>
      </w:r>
      <w:r w:rsidR="00BE1C7A">
        <w:rPr>
          <w:bCs/>
          <w:color w:val="000000"/>
          <w:sz w:val="20"/>
          <w:szCs w:val="20"/>
          <w:lang w:val="en-GB"/>
        </w:rPr>
        <w:t xml:space="preserve">J., </w:t>
      </w:r>
      <w:r w:rsidRPr="00BE01FB">
        <w:rPr>
          <w:bCs/>
          <w:color w:val="000000"/>
          <w:sz w:val="20"/>
          <w:szCs w:val="20"/>
          <w:lang w:val="en-GB"/>
        </w:rPr>
        <w:t>Jones,</w:t>
      </w:r>
      <w:r w:rsidR="00BE1C7A">
        <w:rPr>
          <w:bCs/>
          <w:color w:val="000000"/>
          <w:sz w:val="20"/>
          <w:szCs w:val="20"/>
          <w:lang w:val="en-GB"/>
        </w:rPr>
        <w:t xml:space="preserve"> C., </w:t>
      </w:r>
      <w:r w:rsidRPr="00BE01FB">
        <w:rPr>
          <w:bCs/>
          <w:color w:val="000000"/>
          <w:sz w:val="20"/>
          <w:szCs w:val="20"/>
          <w:lang w:val="en-GB"/>
        </w:rPr>
        <w:t>McCleery,</w:t>
      </w:r>
      <w:r w:rsidR="00BE1C7A">
        <w:rPr>
          <w:bCs/>
          <w:color w:val="000000"/>
          <w:sz w:val="20"/>
          <w:szCs w:val="20"/>
          <w:lang w:val="en-GB"/>
        </w:rPr>
        <w:t xml:space="preserve"> J.,</w:t>
      </w:r>
      <w:r w:rsidRPr="00BE01FB">
        <w:rPr>
          <w:bCs/>
          <w:color w:val="000000"/>
          <w:sz w:val="20"/>
          <w:szCs w:val="20"/>
          <w:lang w:val="en-GB"/>
        </w:rPr>
        <w:t xml:space="preserve"> Liew, </w:t>
      </w:r>
      <w:r w:rsidR="00BE1C7A">
        <w:rPr>
          <w:bCs/>
          <w:color w:val="000000"/>
          <w:sz w:val="20"/>
          <w:szCs w:val="20"/>
          <w:lang w:val="en-GB"/>
        </w:rPr>
        <w:t xml:space="preserve">A., </w:t>
      </w:r>
      <w:r w:rsidRPr="00BE01FB">
        <w:rPr>
          <w:bCs/>
          <w:color w:val="000000"/>
          <w:sz w:val="20"/>
          <w:szCs w:val="20"/>
          <w:lang w:val="en-GB"/>
        </w:rPr>
        <w:t>Rose,</w:t>
      </w:r>
      <w:r w:rsidR="00BE1C7A">
        <w:rPr>
          <w:bCs/>
          <w:color w:val="000000"/>
          <w:sz w:val="20"/>
          <w:szCs w:val="20"/>
          <w:lang w:val="en-GB"/>
        </w:rPr>
        <w:t xml:space="preserve"> J.,</w:t>
      </w:r>
      <w:r w:rsidRPr="00BE01FB">
        <w:rPr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BE01FB">
        <w:rPr>
          <w:bCs/>
          <w:color w:val="000000"/>
          <w:sz w:val="20"/>
          <w:szCs w:val="20"/>
          <w:lang w:val="en-GB"/>
        </w:rPr>
        <w:t>Simkiss</w:t>
      </w:r>
      <w:proofErr w:type="spellEnd"/>
      <w:r w:rsidRPr="00BE01FB">
        <w:rPr>
          <w:bCs/>
          <w:color w:val="000000"/>
          <w:sz w:val="20"/>
          <w:szCs w:val="20"/>
          <w:lang w:val="en-GB"/>
        </w:rPr>
        <w:t xml:space="preserve">, </w:t>
      </w:r>
      <w:r w:rsidR="00BE1C7A">
        <w:rPr>
          <w:bCs/>
          <w:color w:val="000000"/>
          <w:sz w:val="20"/>
          <w:szCs w:val="20"/>
          <w:lang w:val="en-GB"/>
        </w:rPr>
        <w:t xml:space="preserve">D., </w:t>
      </w:r>
      <w:proofErr w:type="spellStart"/>
      <w:r w:rsidRPr="00BE01FB">
        <w:rPr>
          <w:bCs/>
          <w:color w:val="000000"/>
          <w:sz w:val="20"/>
          <w:szCs w:val="20"/>
          <w:lang w:val="en-GB"/>
        </w:rPr>
        <w:t>Steenfeldt</w:t>
      </w:r>
      <w:proofErr w:type="spellEnd"/>
      <w:r w:rsidRPr="00BE01FB">
        <w:rPr>
          <w:bCs/>
          <w:color w:val="000000"/>
          <w:sz w:val="20"/>
          <w:szCs w:val="20"/>
          <w:lang w:val="en-GB"/>
        </w:rPr>
        <w:t xml:space="preserve">-Kristensen, </w:t>
      </w:r>
      <w:r w:rsidR="00BE1C7A">
        <w:rPr>
          <w:bCs/>
          <w:color w:val="000000"/>
          <w:sz w:val="20"/>
          <w:szCs w:val="20"/>
          <w:lang w:val="en-GB"/>
        </w:rPr>
        <w:t xml:space="preserve">C., </w:t>
      </w:r>
      <w:r w:rsidRPr="00BE01FB">
        <w:rPr>
          <w:bCs/>
          <w:color w:val="000000"/>
          <w:sz w:val="20"/>
          <w:szCs w:val="20"/>
          <w:lang w:val="en-GB"/>
        </w:rPr>
        <w:t xml:space="preserve">Welham, </w:t>
      </w:r>
      <w:r w:rsidR="00BE1C7A">
        <w:rPr>
          <w:bCs/>
          <w:color w:val="000000"/>
          <w:sz w:val="20"/>
          <w:szCs w:val="20"/>
          <w:lang w:val="en-GB"/>
        </w:rPr>
        <w:t xml:space="preserve">A., </w:t>
      </w:r>
      <w:r w:rsidRPr="00BE01FB">
        <w:rPr>
          <w:bCs/>
          <w:color w:val="000000"/>
          <w:sz w:val="20"/>
          <w:szCs w:val="20"/>
          <w:lang w:val="en-GB"/>
        </w:rPr>
        <w:t>&amp; Richards</w:t>
      </w:r>
      <w:r w:rsidR="00BE1C7A">
        <w:rPr>
          <w:bCs/>
          <w:color w:val="000000"/>
          <w:sz w:val="20"/>
          <w:szCs w:val="20"/>
          <w:lang w:val="en-GB"/>
        </w:rPr>
        <w:t>, C</w:t>
      </w:r>
      <w:r>
        <w:rPr>
          <w:bCs/>
          <w:color w:val="000000"/>
          <w:sz w:val="20"/>
          <w:szCs w:val="20"/>
          <w:lang w:val="en-GB"/>
        </w:rPr>
        <w:t xml:space="preserve"> (In Prep). </w:t>
      </w:r>
      <w:r w:rsidRPr="00BE01FB">
        <w:rPr>
          <w:bCs/>
          <w:color w:val="000000"/>
          <w:sz w:val="20"/>
          <w:szCs w:val="20"/>
          <w:lang w:val="en-GB"/>
        </w:rPr>
        <w:t>The development and validation of models of risk for behaviours of concern in children with developmental disabilities: a novel machine learning approach</w:t>
      </w:r>
    </w:p>
    <w:p w14:paraId="7CBFDE99" w14:textId="1E8D5503" w:rsidR="00BE01FB" w:rsidRPr="00BE01FB" w:rsidRDefault="00BE01FB" w:rsidP="00BE01FB">
      <w:pPr>
        <w:rPr>
          <w:bCs/>
          <w:color w:val="000000"/>
          <w:sz w:val="20"/>
          <w:szCs w:val="20"/>
          <w:lang w:val="en-GB"/>
        </w:rPr>
      </w:pPr>
    </w:p>
    <w:p w14:paraId="64F61DD1" w14:textId="77777777" w:rsidR="00BE01FB" w:rsidRPr="00BE01FB" w:rsidRDefault="00BE01FB" w:rsidP="003D6244">
      <w:pPr>
        <w:rPr>
          <w:bCs/>
          <w:color w:val="000000"/>
          <w:sz w:val="20"/>
          <w:szCs w:val="20"/>
          <w:lang w:val="en-GB"/>
        </w:rPr>
      </w:pPr>
    </w:p>
    <w:p w14:paraId="6A572B74" w14:textId="4C198F9E" w:rsidR="00BE01FB" w:rsidRPr="00BE1C7A" w:rsidRDefault="00BE1C7A" w:rsidP="003D6244">
      <w:pPr>
        <w:rPr>
          <w:b/>
          <w:bCs/>
          <w:color w:val="000000"/>
          <w:sz w:val="20"/>
          <w:szCs w:val="20"/>
          <w:lang w:val="en-GB"/>
        </w:rPr>
      </w:pPr>
      <w:r w:rsidRPr="00BE1C7A">
        <w:rPr>
          <w:b/>
          <w:bCs/>
          <w:color w:val="000000"/>
          <w:sz w:val="20"/>
          <w:szCs w:val="20"/>
          <w:lang w:val="en-GB"/>
        </w:rPr>
        <w:t>Affiliations</w:t>
      </w:r>
    </w:p>
    <w:p w14:paraId="7AC50377" w14:textId="36DCC09C" w:rsidR="003D6244" w:rsidRPr="00BE1C7A" w:rsidRDefault="003D6244" w:rsidP="00BE1C7A">
      <w:pPr>
        <w:pStyle w:val="NoSpacing"/>
        <w:rPr>
          <w:sz w:val="20"/>
          <w:szCs w:val="20"/>
          <w:lang w:val="en-CA"/>
        </w:rPr>
      </w:pPr>
      <w:r w:rsidRPr="00BE1C7A">
        <w:rPr>
          <w:rStyle w:val="FootnoteReference"/>
          <w:sz w:val="20"/>
          <w:szCs w:val="20"/>
        </w:rPr>
        <w:footnoteRef/>
      </w:r>
      <w:r w:rsidRPr="00BE1C7A">
        <w:rPr>
          <w:sz w:val="20"/>
          <w:szCs w:val="20"/>
        </w:rPr>
        <w:t xml:space="preserve"> </w:t>
      </w:r>
      <w:r w:rsidR="00BE1C7A" w:rsidRPr="00BE1C7A">
        <w:rPr>
          <w:sz w:val="20"/>
          <w:szCs w:val="20"/>
          <w:lang w:val="en-CA"/>
        </w:rPr>
        <w:t>School of Psychology, University of Birmingham, Birmingham, UK</w:t>
      </w:r>
    </w:p>
    <w:p w14:paraId="7AC50379" w14:textId="0A8E46C3" w:rsidR="003D6244" w:rsidRPr="00BE1C7A" w:rsidRDefault="003D6244" w:rsidP="00BE1C7A">
      <w:pPr>
        <w:pStyle w:val="NoSpacing"/>
        <w:rPr>
          <w:sz w:val="20"/>
          <w:szCs w:val="20"/>
          <w:lang w:val="en-CA"/>
        </w:rPr>
      </w:pPr>
      <w:r w:rsidRPr="00BE1C7A">
        <w:rPr>
          <w:rStyle w:val="FootnoteReference"/>
          <w:sz w:val="20"/>
          <w:szCs w:val="20"/>
        </w:rPr>
        <w:t>2</w:t>
      </w:r>
      <w:r w:rsidRPr="00BE1C7A">
        <w:rPr>
          <w:sz w:val="20"/>
          <w:szCs w:val="20"/>
        </w:rPr>
        <w:t xml:space="preserve"> </w:t>
      </w:r>
      <w:r w:rsidR="00F23F57" w:rsidRPr="00BE1C7A">
        <w:rPr>
          <w:sz w:val="20"/>
          <w:szCs w:val="20"/>
          <w:lang w:val="en-CA"/>
        </w:rPr>
        <w:t>Birmingham and Solihull Mental Health NHS Foundation Trust</w:t>
      </w:r>
      <w:r w:rsidR="00BE1C7A" w:rsidRPr="00BE1C7A">
        <w:rPr>
          <w:sz w:val="20"/>
          <w:szCs w:val="20"/>
          <w:lang w:val="en-CA"/>
        </w:rPr>
        <w:t>, Birmingham, UK</w:t>
      </w:r>
    </w:p>
    <w:p w14:paraId="143F97F7" w14:textId="66BC28D9" w:rsidR="00BE1C7A" w:rsidRPr="00BE1C7A" w:rsidRDefault="00BE1C7A" w:rsidP="00BE1C7A">
      <w:pPr>
        <w:pStyle w:val="NoSpacing"/>
        <w:rPr>
          <w:sz w:val="20"/>
          <w:szCs w:val="20"/>
          <w:lang w:val="en-CA"/>
        </w:rPr>
      </w:pPr>
      <w:r w:rsidRPr="00BE1C7A">
        <w:rPr>
          <w:sz w:val="20"/>
          <w:szCs w:val="20"/>
          <w:vertAlign w:val="superscript"/>
          <w:lang w:val="en-CA"/>
        </w:rPr>
        <w:t>3</w:t>
      </w:r>
      <w:r w:rsidRPr="00BE1C7A">
        <w:rPr>
          <w:sz w:val="20"/>
          <w:szCs w:val="20"/>
          <w:lang w:val="en-CA"/>
        </w:rPr>
        <w:t xml:space="preserve"> School of Psychology in the Faculty of Education, Health, &amp; Wellbeing, University of Wolverhampton, Wolverhampton, UK</w:t>
      </w:r>
    </w:p>
    <w:p w14:paraId="62CA4B9C" w14:textId="266210BF" w:rsidR="00BE1C7A" w:rsidRPr="00BE1C7A" w:rsidRDefault="00BE1C7A" w:rsidP="00BE1C7A">
      <w:pPr>
        <w:pStyle w:val="NoSpacing"/>
        <w:rPr>
          <w:sz w:val="20"/>
          <w:szCs w:val="20"/>
          <w:lang w:val="en-CA"/>
        </w:rPr>
      </w:pPr>
      <w:r w:rsidRPr="00BE1C7A">
        <w:rPr>
          <w:sz w:val="20"/>
          <w:szCs w:val="20"/>
          <w:vertAlign w:val="superscript"/>
          <w:lang w:val="en-CA"/>
        </w:rPr>
        <w:t>4</w:t>
      </w:r>
      <w:r w:rsidRPr="00BE1C7A">
        <w:rPr>
          <w:sz w:val="20"/>
          <w:szCs w:val="20"/>
          <w:lang w:val="en-CA"/>
        </w:rPr>
        <w:t xml:space="preserve"> The Challenging Behaviour Foundation, Chatham, UK</w:t>
      </w:r>
    </w:p>
    <w:p w14:paraId="7B092229" w14:textId="3D2C3061" w:rsidR="00BE1C7A" w:rsidRPr="00BE1C7A" w:rsidRDefault="00BE1C7A" w:rsidP="00BE1C7A">
      <w:pPr>
        <w:pStyle w:val="NoSpacing"/>
        <w:rPr>
          <w:sz w:val="20"/>
          <w:szCs w:val="20"/>
          <w:lang w:val="en-CA"/>
        </w:rPr>
      </w:pPr>
      <w:r w:rsidRPr="00BE1C7A">
        <w:rPr>
          <w:sz w:val="20"/>
          <w:szCs w:val="20"/>
          <w:vertAlign w:val="superscript"/>
          <w:lang w:val="en-CA"/>
        </w:rPr>
        <w:t>5</w:t>
      </w:r>
      <w:r w:rsidRPr="00BE1C7A">
        <w:rPr>
          <w:sz w:val="20"/>
          <w:szCs w:val="20"/>
          <w:lang w:val="en-CA"/>
        </w:rPr>
        <w:t xml:space="preserve"> Specialist Assessment Service, University Hospitals Birmingham NHS Foundation Trust, </w:t>
      </w:r>
      <w:proofErr w:type="spellStart"/>
      <w:r w:rsidRPr="00BE1C7A">
        <w:rPr>
          <w:sz w:val="20"/>
          <w:szCs w:val="20"/>
          <w:lang w:val="en-CA"/>
        </w:rPr>
        <w:t>Chelmsley</w:t>
      </w:r>
      <w:proofErr w:type="spellEnd"/>
      <w:r w:rsidRPr="00BE1C7A">
        <w:rPr>
          <w:sz w:val="20"/>
          <w:szCs w:val="20"/>
          <w:lang w:val="en-CA"/>
        </w:rPr>
        <w:t xml:space="preserve"> Wood Primary Care Centre, Crabtree Drive, </w:t>
      </w:r>
      <w:proofErr w:type="spellStart"/>
      <w:r w:rsidRPr="00BE1C7A">
        <w:rPr>
          <w:sz w:val="20"/>
          <w:szCs w:val="20"/>
          <w:lang w:val="en-CA"/>
        </w:rPr>
        <w:t>Fordbridge</w:t>
      </w:r>
      <w:proofErr w:type="spellEnd"/>
      <w:r w:rsidRPr="00BE1C7A">
        <w:rPr>
          <w:sz w:val="20"/>
          <w:szCs w:val="20"/>
          <w:lang w:val="en-CA"/>
        </w:rPr>
        <w:t>, Birmingham, B37 5BU</w:t>
      </w:r>
    </w:p>
    <w:p w14:paraId="7AC5037A" w14:textId="3560C411" w:rsidR="001C735E" w:rsidRPr="00BE1C7A" w:rsidRDefault="00BE1C7A" w:rsidP="00BE1C7A">
      <w:pPr>
        <w:pStyle w:val="NoSpacing"/>
        <w:rPr>
          <w:sz w:val="20"/>
          <w:szCs w:val="20"/>
        </w:rPr>
      </w:pPr>
      <w:r w:rsidRPr="00BE1C7A">
        <w:rPr>
          <w:sz w:val="20"/>
          <w:szCs w:val="20"/>
          <w:vertAlign w:val="superscript"/>
        </w:rPr>
        <w:t>6</w:t>
      </w:r>
      <w:r w:rsidRPr="00BE1C7A">
        <w:rPr>
          <w:sz w:val="20"/>
          <w:szCs w:val="20"/>
        </w:rPr>
        <w:t xml:space="preserve"> Birmingham Community Healthcare NHS Foundation Trust; Birmingham School of Nursing, University of Birmingham; Birmingham</w:t>
      </w:r>
    </w:p>
    <w:p w14:paraId="419865BB" w14:textId="20534FC1" w:rsidR="00BE1C7A" w:rsidRPr="00BE1C7A" w:rsidRDefault="00BE1C7A" w:rsidP="00BE1C7A">
      <w:pPr>
        <w:pStyle w:val="NoSpacing"/>
        <w:rPr>
          <w:sz w:val="20"/>
          <w:szCs w:val="20"/>
        </w:rPr>
      </w:pPr>
      <w:r w:rsidRPr="00BE1C7A"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</w:t>
      </w:r>
      <w:r w:rsidRPr="00BE1C7A">
        <w:rPr>
          <w:sz w:val="20"/>
          <w:szCs w:val="20"/>
        </w:rPr>
        <w:t>National &amp; Specialist CAMHS. South London &amp; Maudsley NHS Foundation Trust, London</w:t>
      </w:r>
    </w:p>
    <w:p w14:paraId="0E83877C" w14:textId="62E5D17E" w:rsidR="00BE1C7A" w:rsidRPr="00BE1C7A" w:rsidRDefault="00BE1C7A" w:rsidP="00BE1C7A">
      <w:pPr>
        <w:pStyle w:val="NoSpacing"/>
        <w:rPr>
          <w:sz w:val="20"/>
          <w:szCs w:val="20"/>
        </w:rPr>
      </w:pPr>
      <w:r w:rsidRPr="00BE1C7A">
        <w:rPr>
          <w:sz w:val="20"/>
          <w:szCs w:val="20"/>
          <w:vertAlign w:val="superscript"/>
        </w:rPr>
        <w:t>8</w:t>
      </w:r>
      <w:r w:rsidRPr="00BE1C7A">
        <w:rPr>
          <w:sz w:val="20"/>
          <w:szCs w:val="20"/>
        </w:rPr>
        <w:t xml:space="preserve"> </w:t>
      </w:r>
      <w:proofErr w:type="spellStart"/>
      <w:r w:rsidRPr="00BE1C7A">
        <w:rPr>
          <w:sz w:val="20"/>
          <w:szCs w:val="20"/>
        </w:rPr>
        <w:t>Paediatric</w:t>
      </w:r>
      <w:proofErr w:type="spellEnd"/>
      <w:r w:rsidRPr="00BE1C7A">
        <w:rPr>
          <w:sz w:val="20"/>
          <w:szCs w:val="20"/>
        </w:rPr>
        <w:t xml:space="preserve"> Neurosciences, Evelina London Children’s Hospital, London</w:t>
      </w:r>
    </w:p>
    <w:p w14:paraId="66F15DA3" w14:textId="6E700695" w:rsidR="00BE1C7A" w:rsidRPr="00BE1C7A" w:rsidRDefault="00BE1C7A" w:rsidP="00BE1C7A">
      <w:pPr>
        <w:pStyle w:val="NoSpacing"/>
        <w:rPr>
          <w:sz w:val="20"/>
          <w:szCs w:val="20"/>
        </w:rPr>
      </w:pPr>
      <w:r w:rsidRPr="00BE1C7A">
        <w:rPr>
          <w:sz w:val="20"/>
          <w:szCs w:val="20"/>
          <w:vertAlign w:val="superscript"/>
        </w:rPr>
        <w:t>9</w:t>
      </w:r>
      <w:r w:rsidRPr="00BE1C7A">
        <w:rPr>
          <w:sz w:val="20"/>
          <w:szCs w:val="20"/>
        </w:rPr>
        <w:t xml:space="preserve"> Institute for Mental Health, University of Birmingham, Birmingham</w:t>
      </w:r>
    </w:p>
    <w:p w14:paraId="12461B7A" w14:textId="1E3CCAE9" w:rsidR="00F73E64" w:rsidRDefault="00BE1C7A" w:rsidP="00BE1C7A">
      <w:pPr>
        <w:pStyle w:val="NoSpacing"/>
        <w:rPr>
          <w:sz w:val="20"/>
          <w:szCs w:val="20"/>
        </w:rPr>
      </w:pPr>
      <w:r w:rsidRPr="00BE1C7A">
        <w:rPr>
          <w:sz w:val="20"/>
          <w:szCs w:val="20"/>
          <w:vertAlign w:val="superscript"/>
        </w:rPr>
        <w:t>10</w:t>
      </w:r>
      <w:r w:rsidRPr="00BE1C7A">
        <w:rPr>
          <w:sz w:val="20"/>
          <w:szCs w:val="20"/>
        </w:rPr>
        <w:t xml:space="preserve"> CEDAR, University of Warwick, Warwick</w:t>
      </w:r>
    </w:p>
    <w:p w14:paraId="2DA9B1A9" w14:textId="01FCA74B" w:rsidR="00F73E64" w:rsidRPr="00F73E64" w:rsidRDefault="00F73E64" w:rsidP="00F73E64">
      <w:pPr>
        <w:pStyle w:val="NoSpacing"/>
        <w:rPr>
          <w:sz w:val="20"/>
          <w:szCs w:val="20"/>
        </w:rPr>
      </w:pPr>
      <w:r w:rsidRPr="00F73E64"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 xml:space="preserve"> </w:t>
      </w:r>
      <w:r w:rsidRPr="00F73E64">
        <w:rPr>
          <w:sz w:val="20"/>
          <w:szCs w:val="20"/>
        </w:rPr>
        <w:t>Department of Psychology &amp; Kinney Center for Autism Education and Support, Saint Joseph's University, Philadelphia, PA, 19131.</w:t>
      </w:r>
    </w:p>
    <w:p w14:paraId="667CBF94" w14:textId="62117D61" w:rsidR="00F73E64" w:rsidRPr="00BE1C7A" w:rsidRDefault="00F73E64" w:rsidP="00F73E64">
      <w:pPr>
        <w:pStyle w:val="NoSpacing"/>
        <w:rPr>
          <w:sz w:val="20"/>
          <w:szCs w:val="20"/>
        </w:rPr>
      </w:pPr>
      <w:r w:rsidRPr="00F73E64">
        <w:rPr>
          <w:sz w:val="20"/>
          <w:szCs w:val="20"/>
          <w:vertAlign w:val="superscript"/>
        </w:rPr>
        <w:t>12</w:t>
      </w:r>
      <w:r w:rsidRPr="00F73E64">
        <w:rPr>
          <w:sz w:val="20"/>
          <w:szCs w:val="20"/>
        </w:rPr>
        <w:t xml:space="preserve"> Center for Autism Research, Children's Hospital of Philadelphia, Philadelphia, PA, 19104.</w:t>
      </w:r>
    </w:p>
    <w:sectPr w:rsidR="00F73E64" w:rsidRPr="00BE1C7A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F9A7C" w14:textId="77777777" w:rsidR="00371C25" w:rsidRDefault="00371C25" w:rsidP="00A16498">
      <w:pPr>
        <w:spacing w:after="0" w:line="240" w:lineRule="auto"/>
      </w:pPr>
      <w:r>
        <w:separator/>
      </w:r>
    </w:p>
  </w:endnote>
  <w:endnote w:type="continuationSeparator" w:id="0">
    <w:p w14:paraId="7B070A5E" w14:textId="77777777" w:rsidR="00371C25" w:rsidRDefault="00371C25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5F741" w14:textId="77777777" w:rsidR="00371C25" w:rsidRDefault="00371C25" w:rsidP="00A16498">
      <w:pPr>
        <w:spacing w:after="0" w:line="240" w:lineRule="auto"/>
      </w:pPr>
      <w:r>
        <w:separator/>
      </w:r>
    </w:p>
  </w:footnote>
  <w:footnote w:type="continuationSeparator" w:id="0">
    <w:p w14:paraId="6F156191" w14:textId="77777777" w:rsidR="00371C25" w:rsidRDefault="00371C25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6BF9E8B2" w:rsidR="00A16498" w:rsidRDefault="002923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0D372" wp14:editId="56FC6C73">
              <wp:simplePos x="0" y="0"/>
              <wp:positionH relativeFrom="margin">
                <wp:align>right</wp:align>
              </wp:positionH>
              <wp:positionV relativeFrom="paragraph">
                <wp:posOffset>-228600</wp:posOffset>
              </wp:positionV>
              <wp:extent cx="6667500" cy="457200"/>
              <wp:effectExtent l="0" t="0" r="19050" b="19050"/>
              <wp:wrapNone/>
              <wp:docPr id="1897615813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2C52DB93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9231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60D372" id="Rectangle 197" o:spid="_x0000_s1026" style="position:absolute;margin-left:473.8pt;margin-top:-18pt;width:525pt;height:3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2C52DB93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29231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00993"/>
    <w:multiLevelType w:val="multilevel"/>
    <w:tmpl w:val="ED6E1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0652626">
    <w:abstractNumId w:val="0"/>
  </w:num>
  <w:num w:numId="2" w16cid:durableId="65067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D0162"/>
    <w:rsid w:val="001A69A6"/>
    <w:rsid w:val="001C735E"/>
    <w:rsid w:val="0020721E"/>
    <w:rsid w:val="00226854"/>
    <w:rsid w:val="00244C29"/>
    <w:rsid w:val="002872AA"/>
    <w:rsid w:val="00292317"/>
    <w:rsid w:val="002D7A43"/>
    <w:rsid w:val="00300310"/>
    <w:rsid w:val="00312417"/>
    <w:rsid w:val="00316B3B"/>
    <w:rsid w:val="0032171F"/>
    <w:rsid w:val="00324E6F"/>
    <w:rsid w:val="0033415B"/>
    <w:rsid w:val="00371C25"/>
    <w:rsid w:val="00394E2C"/>
    <w:rsid w:val="003B0285"/>
    <w:rsid w:val="003C2A0A"/>
    <w:rsid w:val="003C4D59"/>
    <w:rsid w:val="003D6244"/>
    <w:rsid w:val="003F558A"/>
    <w:rsid w:val="00412A17"/>
    <w:rsid w:val="004473AC"/>
    <w:rsid w:val="00452576"/>
    <w:rsid w:val="0045428A"/>
    <w:rsid w:val="00550360"/>
    <w:rsid w:val="00577DC4"/>
    <w:rsid w:val="005F3158"/>
    <w:rsid w:val="00625543"/>
    <w:rsid w:val="006535AF"/>
    <w:rsid w:val="006637E7"/>
    <w:rsid w:val="006C05DD"/>
    <w:rsid w:val="006F2E1D"/>
    <w:rsid w:val="00736D0A"/>
    <w:rsid w:val="007419D8"/>
    <w:rsid w:val="00751FEE"/>
    <w:rsid w:val="007722E4"/>
    <w:rsid w:val="0077649B"/>
    <w:rsid w:val="00777D73"/>
    <w:rsid w:val="007B4CE7"/>
    <w:rsid w:val="007E6005"/>
    <w:rsid w:val="00801D2A"/>
    <w:rsid w:val="00817FE3"/>
    <w:rsid w:val="0087492A"/>
    <w:rsid w:val="008938D8"/>
    <w:rsid w:val="008E5806"/>
    <w:rsid w:val="00911F85"/>
    <w:rsid w:val="009462E3"/>
    <w:rsid w:val="009B1DAB"/>
    <w:rsid w:val="009E1B56"/>
    <w:rsid w:val="00A16498"/>
    <w:rsid w:val="00AB7B37"/>
    <w:rsid w:val="00AC532C"/>
    <w:rsid w:val="00AE4ADB"/>
    <w:rsid w:val="00B226B4"/>
    <w:rsid w:val="00B71AFF"/>
    <w:rsid w:val="00BA2D2D"/>
    <w:rsid w:val="00BE01FB"/>
    <w:rsid w:val="00BE1C7A"/>
    <w:rsid w:val="00C6243D"/>
    <w:rsid w:val="00C80718"/>
    <w:rsid w:val="00CF3CDF"/>
    <w:rsid w:val="00D46241"/>
    <w:rsid w:val="00D60D08"/>
    <w:rsid w:val="00D6623D"/>
    <w:rsid w:val="00DC15FA"/>
    <w:rsid w:val="00DE7DB0"/>
    <w:rsid w:val="00E15391"/>
    <w:rsid w:val="00EC1345"/>
    <w:rsid w:val="00F023E6"/>
    <w:rsid w:val="00F2162A"/>
    <w:rsid w:val="00F23F57"/>
    <w:rsid w:val="00F73E64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E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23F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1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Kiranjot Kaur (Psychology)</cp:lastModifiedBy>
  <cp:revision>3</cp:revision>
  <dcterms:created xsi:type="dcterms:W3CDTF">2024-10-28T14:08:00Z</dcterms:created>
  <dcterms:modified xsi:type="dcterms:W3CDTF">2024-10-28T14:22:00Z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