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7F2EFEC4" w:rsidR="003D6244" w:rsidRPr="009E00A7" w:rsidRDefault="003D6244" w:rsidP="003D6244">
      <w:pPr>
        <w:rPr>
          <w:sz w:val="20"/>
          <w:szCs w:val="20"/>
        </w:rPr>
      </w:pPr>
      <w:r w:rsidRPr="009E00A7">
        <w:rPr>
          <w:b/>
          <w:sz w:val="20"/>
          <w:szCs w:val="20"/>
        </w:rPr>
        <w:t>Title</w:t>
      </w:r>
      <w:r w:rsidRPr="009E00A7">
        <w:rPr>
          <w:sz w:val="20"/>
          <w:szCs w:val="20"/>
        </w:rPr>
        <w:t xml:space="preserve">: </w:t>
      </w:r>
      <w:r w:rsidR="003D1A31">
        <w:rPr>
          <w:rFonts w:cstheme="minorHAnsi"/>
          <w:sz w:val="20"/>
          <w:szCs w:val="20"/>
        </w:rPr>
        <w:t>Evaluating the joint impact of physical activity and obesity on cognitive function in adults with Down syndrome</w:t>
      </w:r>
    </w:p>
    <w:p w14:paraId="480AA63E" w14:textId="636B6D55" w:rsidR="003D1A31" w:rsidRDefault="003D6244" w:rsidP="003D6244">
      <w:pPr>
        <w:rPr>
          <w:rFonts w:cstheme="minorHAnsi"/>
          <w:sz w:val="20"/>
          <w:szCs w:val="20"/>
          <w:vertAlign w:val="superscript"/>
        </w:rPr>
      </w:pPr>
      <w:r w:rsidRPr="009E00A7">
        <w:rPr>
          <w:b/>
          <w:sz w:val="20"/>
          <w:szCs w:val="20"/>
        </w:rPr>
        <w:t>Authors</w:t>
      </w:r>
      <w:r w:rsidRPr="009E00A7">
        <w:rPr>
          <w:sz w:val="20"/>
          <w:szCs w:val="20"/>
        </w:rPr>
        <w:t xml:space="preserve">: </w:t>
      </w:r>
      <w:r w:rsidR="003D1A31">
        <w:rPr>
          <w:rFonts w:cstheme="minorHAnsi"/>
          <w:sz w:val="20"/>
          <w:szCs w:val="20"/>
        </w:rPr>
        <w:t>Julianne G. Clina</w:t>
      </w:r>
      <w:r w:rsidR="003D1A31" w:rsidRPr="00F32432">
        <w:rPr>
          <w:rFonts w:cstheme="minorHAnsi"/>
          <w:sz w:val="20"/>
          <w:szCs w:val="20"/>
          <w:vertAlign w:val="superscript"/>
        </w:rPr>
        <w:t>1</w:t>
      </w:r>
      <w:r w:rsidR="003D1A31" w:rsidRPr="00A904ED">
        <w:rPr>
          <w:rFonts w:cstheme="minorHAnsi"/>
          <w:sz w:val="20"/>
          <w:szCs w:val="20"/>
        </w:rPr>
        <w:t xml:space="preserve">, </w:t>
      </w:r>
      <w:r w:rsidR="003D1A31" w:rsidRPr="00FE115B">
        <w:rPr>
          <w:rFonts w:cstheme="minorHAnsi"/>
          <w:sz w:val="20"/>
          <w:szCs w:val="20"/>
        </w:rPr>
        <w:t>Brian C. Helsel</w:t>
      </w:r>
      <w:r w:rsidR="003D1A31" w:rsidRPr="00FE115B">
        <w:rPr>
          <w:rFonts w:cstheme="minorHAnsi"/>
          <w:sz w:val="20"/>
          <w:szCs w:val="20"/>
          <w:vertAlign w:val="superscript"/>
        </w:rPr>
        <w:t>1</w:t>
      </w:r>
      <w:r w:rsidR="003D1A31" w:rsidRPr="00FE115B">
        <w:rPr>
          <w:rFonts w:cstheme="minorHAnsi"/>
          <w:sz w:val="20"/>
          <w:szCs w:val="20"/>
        </w:rPr>
        <w:t xml:space="preserve">, </w:t>
      </w:r>
      <w:proofErr w:type="spellStart"/>
      <w:r w:rsidR="003D1A31" w:rsidRPr="00FE115B">
        <w:rPr>
          <w:rFonts w:cstheme="minorHAnsi"/>
          <w:sz w:val="20"/>
          <w:szCs w:val="20"/>
        </w:rPr>
        <w:t>Sigan</w:t>
      </w:r>
      <w:proofErr w:type="spellEnd"/>
      <w:r w:rsidR="003D1A31" w:rsidRPr="00FE115B">
        <w:rPr>
          <w:rFonts w:cstheme="minorHAnsi"/>
          <w:sz w:val="20"/>
          <w:szCs w:val="20"/>
        </w:rPr>
        <w:t xml:space="preserve"> </w:t>
      </w:r>
      <w:r w:rsidR="003D1A31">
        <w:rPr>
          <w:rFonts w:cstheme="minorHAnsi"/>
          <w:sz w:val="20"/>
          <w:szCs w:val="20"/>
        </w:rPr>
        <w:t xml:space="preserve">L. </w:t>
      </w:r>
      <w:r w:rsidR="003D1A31" w:rsidRPr="00FE115B">
        <w:rPr>
          <w:rFonts w:cstheme="minorHAnsi"/>
          <w:sz w:val="20"/>
          <w:szCs w:val="20"/>
        </w:rPr>
        <w:t>Hartley</w:t>
      </w:r>
      <w:r w:rsidR="003D1A31" w:rsidRPr="00FE115B">
        <w:rPr>
          <w:rFonts w:cstheme="minorHAnsi"/>
          <w:sz w:val="20"/>
          <w:szCs w:val="20"/>
          <w:vertAlign w:val="superscript"/>
        </w:rPr>
        <w:t>2</w:t>
      </w:r>
      <w:r w:rsidR="003D1A31" w:rsidRPr="00FE115B">
        <w:rPr>
          <w:rFonts w:cstheme="minorHAnsi"/>
          <w:sz w:val="20"/>
          <w:szCs w:val="20"/>
        </w:rPr>
        <w:t xml:space="preserve">, Victoria </w:t>
      </w:r>
      <w:r w:rsidR="008D1303">
        <w:rPr>
          <w:rFonts w:cstheme="minorHAnsi"/>
          <w:sz w:val="20"/>
          <w:szCs w:val="20"/>
        </w:rPr>
        <w:t xml:space="preserve">L. </w:t>
      </w:r>
      <w:r w:rsidR="003D1A31" w:rsidRPr="00FE115B">
        <w:rPr>
          <w:rFonts w:cstheme="minorHAnsi"/>
          <w:sz w:val="20"/>
          <w:szCs w:val="20"/>
        </w:rPr>
        <w:t>Fleming</w:t>
      </w:r>
      <w:r w:rsidR="003D1A31" w:rsidRPr="00FE115B">
        <w:rPr>
          <w:rFonts w:cstheme="minorHAnsi"/>
          <w:sz w:val="20"/>
          <w:szCs w:val="20"/>
          <w:vertAlign w:val="superscript"/>
        </w:rPr>
        <w:t>2</w:t>
      </w:r>
      <w:r w:rsidR="003D1A31" w:rsidRPr="00A904ED">
        <w:rPr>
          <w:rFonts w:cstheme="minorHAnsi"/>
          <w:sz w:val="20"/>
          <w:szCs w:val="20"/>
        </w:rPr>
        <w:t xml:space="preserve">, &amp; </w:t>
      </w:r>
      <w:r w:rsidR="003D1A31">
        <w:rPr>
          <w:rFonts w:cstheme="minorHAnsi"/>
          <w:sz w:val="20"/>
          <w:szCs w:val="20"/>
        </w:rPr>
        <w:t>Lauren T. Ptomey</w:t>
      </w:r>
      <w:r w:rsidR="003D1A31" w:rsidRPr="00F32432">
        <w:rPr>
          <w:rFonts w:cstheme="minorHAnsi"/>
          <w:sz w:val="20"/>
          <w:szCs w:val="20"/>
          <w:vertAlign w:val="superscript"/>
        </w:rPr>
        <w:t>1</w:t>
      </w:r>
    </w:p>
    <w:p w14:paraId="77FE6733" w14:textId="77E47872" w:rsidR="00452576" w:rsidRDefault="003D6244" w:rsidP="002C5604">
      <w:pPr>
        <w:rPr>
          <w:b/>
          <w:iCs/>
          <w:color w:val="000000"/>
          <w:sz w:val="20"/>
          <w:szCs w:val="20"/>
          <w:lang w:val="en-GB"/>
        </w:rPr>
      </w:pPr>
      <w:r w:rsidRPr="009E00A7">
        <w:rPr>
          <w:b/>
          <w:sz w:val="20"/>
          <w:szCs w:val="20"/>
        </w:rPr>
        <w:t>Introduction</w:t>
      </w:r>
      <w:r w:rsidRPr="009E00A7">
        <w:rPr>
          <w:sz w:val="20"/>
          <w:szCs w:val="20"/>
        </w:rPr>
        <w:t xml:space="preserve">: </w:t>
      </w:r>
      <w:r w:rsidR="003D1A31">
        <w:rPr>
          <w:rFonts w:cstheme="minorHAnsi"/>
          <w:sz w:val="20"/>
          <w:szCs w:val="20"/>
        </w:rPr>
        <w:t xml:space="preserve">Lifetime incidence of </w:t>
      </w:r>
      <w:r w:rsidR="003D1A31" w:rsidRPr="0056465A">
        <w:rPr>
          <w:rFonts w:cstheme="minorHAnsi"/>
          <w:sz w:val="20"/>
          <w:szCs w:val="20"/>
        </w:rPr>
        <w:t>Alzheimer’s disease (AD)</w:t>
      </w:r>
      <w:r w:rsidR="003D1A31">
        <w:rPr>
          <w:rFonts w:cstheme="minorHAnsi"/>
          <w:sz w:val="20"/>
          <w:szCs w:val="20"/>
        </w:rPr>
        <w:t xml:space="preserve"> in a</w:t>
      </w:r>
      <w:r w:rsidR="003D1A31" w:rsidRPr="0056465A">
        <w:rPr>
          <w:rFonts w:cstheme="minorHAnsi"/>
          <w:sz w:val="20"/>
          <w:szCs w:val="20"/>
        </w:rPr>
        <w:t xml:space="preserve">dults with Down syndrome (DS) </w:t>
      </w:r>
      <w:r w:rsidR="003D1A31">
        <w:rPr>
          <w:rFonts w:cstheme="minorHAnsi"/>
          <w:sz w:val="20"/>
          <w:szCs w:val="20"/>
        </w:rPr>
        <w:t>exceeds</w:t>
      </w:r>
      <w:r w:rsidR="003D1A31" w:rsidRPr="0056465A">
        <w:rPr>
          <w:rFonts w:cstheme="minorHAnsi"/>
          <w:sz w:val="20"/>
          <w:szCs w:val="20"/>
        </w:rPr>
        <w:t xml:space="preserve"> 90%</w:t>
      </w:r>
      <w:r w:rsidR="003D1A31">
        <w:rPr>
          <w:rFonts w:cstheme="minorHAnsi"/>
          <w:sz w:val="20"/>
          <w:szCs w:val="20"/>
        </w:rPr>
        <w:t>, with most</w:t>
      </w:r>
      <w:r w:rsidR="000869F2">
        <w:rPr>
          <w:rFonts w:cstheme="minorHAnsi"/>
          <w:sz w:val="20"/>
          <w:szCs w:val="20"/>
        </w:rPr>
        <w:t xml:space="preserve"> </w:t>
      </w:r>
      <w:r w:rsidR="003D1A31">
        <w:rPr>
          <w:rFonts w:cstheme="minorHAnsi"/>
          <w:sz w:val="20"/>
          <w:szCs w:val="20"/>
        </w:rPr>
        <w:t>experiencing cognitive decline by their mid-50s</w:t>
      </w:r>
      <w:r w:rsidR="003D1A31">
        <w:rPr>
          <w:rFonts w:cstheme="minorHAnsi"/>
          <w:sz w:val="20"/>
          <w:szCs w:val="20"/>
        </w:rPr>
        <w:fldChar w:fldCharType="begin"/>
      </w:r>
      <w:r w:rsidR="003D1A31">
        <w:rPr>
          <w:rFonts w:cstheme="minorHAnsi"/>
          <w:sz w:val="20"/>
          <w:szCs w:val="20"/>
        </w:rPr>
        <w:instrText xml:space="preserve"> ADDIN EN.CITE &lt;EndNote&gt;&lt;Cite&gt;&lt;Author&gt;Fortea&lt;/Author&gt;&lt;Year&gt;2020&lt;/Year&gt;&lt;RecNum&gt;8&lt;/RecNum&gt;&lt;DisplayText&gt;&lt;style face="superscript"&gt;1&lt;/style&gt;&lt;/DisplayText&gt;&lt;record&gt;&lt;rec-number&gt;8&lt;/rec-number&gt;&lt;foreign-keys&gt;&lt;key app="EN" db-id="pxsf0vd93wrfx3ea0afxtrdzwr2vsfpx00ww" timestamp="1710861474"&gt;8&lt;/key&gt;&lt;/foreign-keys&gt;&lt;ref-type name="Journal Article"&gt;17&lt;/ref-type&gt;&lt;contributors&gt;&lt;authors&gt;&lt;author&gt;Fortea, Juan&lt;/author&gt;&lt;author&gt;Vilaplana, Eduard&lt;/author&gt;&lt;author&gt;Carmona-Iragui, Maria&lt;/author&gt;&lt;author&gt;Benejam, Bessy&lt;/author&gt;&lt;author&gt;Videla, Laura&lt;/author&gt;&lt;author&gt;Barroeta, Isabel&lt;/author&gt;&lt;author&gt;Fernández, Susana&lt;/author&gt;&lt;author&gt;Altuna, Miren&lt;/author&gt;&lt;author&gt;Pegueroles, Jordi&lt;/author&gt;&lt;author&gt;Montal, Víctor&lt;/author&gt;&lt;author&gt;Valldeneu, Silvia&lt;/author&gt;&lt;author&gt;Giménez, Sandra&lt;/author&gt;&lt;author&gt;González-Ortiz, Sofía&lt;/author&gt;&lt;author&gt;Muñoz, Laia&lt;/author&gt;&lt;author&gt;Estellés, Teresa&lt;/author&gt;&lt;author&gt;Illán-Gala, Ignacio&lt;/author&gt;&lt;author&gt;Belbin, Olivia&lt;/author&gt;&lt;author&gt;Camacho, Valle&lt;/author&gt;&lt;author&gt;Wilson, Liam Reese&lt;/author&gt;&lt;author&gt;Annus, Tiina&lt;/author&gt;&lt;author&gt;Osorio, Ricardo S.&lt;/author&gt;&lt;author&gt;Videla, Sebastián&lt;/author&gt;&lt;author&gt;Lehmann, Sylvain&lt;/author&gt;&lt;author&gt;Holland, Anthony J.&lt;/author&gt;&lt;author&gt;Alcolea, Daniel&lt;/author&gt;&lt;author&gt;Clarimón, Jordi&lt;/author&gt;&lt;author&gt;Zaman, Shahid H.&lt;/author&gt;&lt;author&gt;Blesa, Rafael&lt;/author&gt;&lt;author&gt;Lleó, Alberto&lt;/author&gt;&lt;/authors&gt;&lt;/contributors&gt;&lt;titles&gt;&lt;title&gt;Clinical and biomarker changes of Alzheimer&amp;apos;s disease in adults with Down syndrome: a cross-sectional study&lt;/title&gt;&lt;secondary-title&gt;The Lancet&lt;/secondary-title&gt;&lt;/titles&gt;&lt;periodical&gt;&lt;full-title&gt;The Lancet&lt;/full-title&gt;&lt;/periodical&gt;&lt;pages&gt;1988-1997&lt;/pages&gt;&lt;volume&gt;395&lt;/volume&gt;&lt;number&gt;10242&lt;/number&gt;&lt;dates&gt;&lt;year&gt;2020&lt;/year&gt;&lt;/dates&gt;&lt;publisher&gt;Elsevier&lt;/publisher&gt;&lt;isbn&gt;0140-6736&lt;/isbn&gt;&lt;urls&gt;&lt;related-urls&gt;&lt;url&gt;https://doi.org/10.1016/S0140-6736(20)30689-9&lt;/url&gt;&lt;/related-urls&gt;&lt;/urls&gt;&lt;electronic-resource-num&gt;10.1016/S0140-6736(20)30689-9&lt;/electronic-resource-num&gt;&lt;access-date&gt;2024/03/19&lt;/access-date&gt;&lt;/record&gt;&lt;/Cite&gt;&lt;/EndNote&gt;</w:instrText>
      </w:r>
      <w:r w:rsidR="003D1A31">
        <w:rPr>
          <w:rFonts w:cstheme="minorHAnsi"/>
          <w:sz w:val="20"/>
          <w:szCs w:val="20"/>
        </w:rPr>
        <w:fldChar w:fldCharType="separate"/>
      </w:r>
      <w:r w:rsidR="003D1A31" w:rsidRPr="006C6F10">
        <w:rPr>
          <w:rFonts w:cstheme="minorHAnsi"/>
          <w:noProof/>
          <w:sz w:val="20"/>
          <w:szCs w:val="20"/>
          <w:vertAlign w:val="superscript"/>
        </w:rPr>
        <w:t>1</w:t>
      </w:r>
      <w:r w:rsidR="003D1A31">
        <w:rPr>
          <w:rFonts w:cstheme="minorHAnsi"/>
          <w:sz w:val="20"/>
          <w:szCs w:val="20"/>
        </w:rPr>
        <w:fldChar w:fldCharType="end"/>
      </w:r>
      <w:r w:rsidR="003D1A31" w:rsidRPr="0056465A">
        <w:rPr>
          <w:rFonts w:cstheme="minorHAnsi"/>
          <w:sz w:val="20"/>
          <w:szCs w:val="20"/>
        </w:rPr>
        <w:t xml:space="preserve">. </w:t>
      </w:r>
      <w:r w:rsidR="003D1A31">
        <w:rPr>
          <w:rFonts w:cstheme="minorHAnsi"/>
          <w:sz w:val="20"/>
          <w:szCs w:val="20"/>
        </w:rPr>
        <w:t>Emerging</w:t>
      </w:r>
      <w:r w:rsidR="003D1A31" w:rsidRPr="0056465A">
        <w:rPr>
          <w:rFonts w:cstheme="minorHAnsi"/>
          <w:sz w:val="20"/>
          <w:szCs w:val="20"/>
        </w:rPr>
        <w:t xml:space="preserve"> research suggests that dementia-related cognitive decline may be modifiable</w:t>
      </w:r>
      <w:r w:rsidR="003D1A31">
        <w:rPr>
          <w:rFonts w:cstheme="minorHAnsi"/>
          <w:sz w:val="20"/>
          <w:szCs w:val="20"/>
        </w:rPr>
        <w:t xml:space="preserve"> </w:t>
      </w:r>
      <w:r w:rsidR="003D1A31" w:rsidRPr="00A904ED">
        <w:rPr>
          <w:rFonts w:cstheme="minorHAnsi"/>
          <w:color w:val="333333"/>
          <w:sz w:val="20"/>
          <w:szCs w:val="20"/>
        </w:rPr>
        <w:fldChar w:fldCharType="begin"/>
      </w:r>
      <w:r w:rsidR="003D1A31">
        <w:rPr>
          <w:rFonts w:cstheme="minorHAnsi"/>
          <w:color w:val="333333"/>
          <w:sz w:val="20"/>
          <w:szCs w:val="20"/>
        </w:rPr>
        <w:instrText xml:space="preserve"> ADDIN EN.CITE &lt;EndNote&gt;&lt;Cite&gt;&lt;Author&gt;Iulita&lt;/Author&gt;&lt;Year&gt;2022&lt;/Year&gt;&lt;RecNum&gt;126&lt;/RecNum&gt;&lt;DisplayText&gt;&lt;style face="superscript"&gt;2&lt;/style&gt;&lt;/DisplayText&gt;&lt;record&gt;&lt;rec-number&gt;126&lt;/rec-number&gt;&lt;foreign-keys&gt;&lt;key app="EN" db-id="pt59f2re3txer0ew0wdv5xdnzpatxd0zz992" timestamp="1718645510"&gt;126&lt;/key&gt;&lt;/foreign-keys&gt;&lt;ref-type name="Journal Article"&gt;17&lt;/ref-type&gt;&lt;contributors&gt;&lt;authors&gt;&lt;author&gt;Iulita, Maria Florencia&lt;/author&gt;&lt;author&gt;Garzón Chavez, Diana&lt;/author&gt;&lt;author&gt;Klitgaard Christensen, Maria&lt;/author&gt;&lt;author&gt;Valle Tamayo, Natalia&lt;/author&gt;&lt;author&gt;Plana-Ripoll, Oleguer&lt;/author&gt;&lt;author&gt;Rasmussen, Sonja A.&lt;/author&gt;&lt;author&gt;Roqué Figuls, Marta&lt;/author&gt;&lt;author&gt;Alcolea, Daniel&lt;/author&gt;&lt;author&gt;Videla, Laura&lt;/author&gt;&lt;author&gt;Barroeta, Isabel&lt;/author&gt;&lt;author&gt;Benejam, Bessy&lt;/author&gt;&lt;author&gt;Altuna, Miren&lt;/author&gt;&lt;author&gt;Padilla, Concepción&lt;/author&gt;&lt;author&gt;Pegueroles, Jordi&lt;/author&gt;&lt;author&gt;Fernandez, Susana&lt;/author&gt;&lt;author&gt;Belbin, Olivia&lt;/author&gt;&lt;author&gt;Carmona-Iragui, María&lt;/author&gt;&lt;author&gt;Blesa, Rafael&lt;/author&gt;&lt;author&gt;Lleó, Alberto&lt;/author&gt;&lt;author&gt;Bejanin, Alexandre&lt;/author&gt;&lt;author&gt;Fortea, Juan&lt;/author&gt;&lt;/authors&gt;&lt;/contributors&gt;&lt;titles&gt;&lt;title&gt;Association of Alzheimer Disease With Life Expectancy in People With Down Syndrome&lt;/title&gt;&lt;secondary-title&gt;JAMA Network Open&lt;/secondary-title&gt;&lt;/titles&gt;&lt;periodical&gt;&lt;full-title&gt;JAMA network open&lt;/full-title&gt;&lt;/periodical&gt;&lt;pages&gt;e2212910-e2212910&lt;/pages&gt;&lt;volume&gt;5&lt;/volume&gt;&lt;number&gt;5&lt;/number&gt;&lt;dates&gt;&lt;year&gt;2022&lt;/year&gt;&lt;/dates&gt;&lt;isbn&gt;2574-3805&lt;/isbn&gt;&lt;urls&gt;&lt;related-urls&gt;&lt;url&gt;https://doi.org/10.1001/jamanetworkopen.2022.12910&lt;/url&gt;&lt;/related-urls&gt;&lt;/urls&gt;&lt;electronic-resource-num&gt;10.1001/jamanetworkopen.2022.12910&lt;/electronic-resource-num&gt;&lt;access-date&gt;6/17/2024&lt;/access-date&gt;&lt;/record&gt;&lt;/Cite&gt;&lt;/EndNote&gt;</w:instrText>
      </w:r>
      <w:r w:rsidR="003D1A31" w:rsidRPr="00A904ED">
        <w:rPr>
          <w:rFonts w:cstheme="minorHAnsi"/>
          <w:color w:val="333333"/>
          <w:sz w:val="20"/>
          <w:szCs w:val="20"/>
        </w:rPr>
        <w:fldChar w:fldCharType="separate"/>
      </w:r>
      <w:r w:rsidR="003D1A31" w:rsidRPr="006C6F10">
        <w:rPr>
          <w:rFonts w:cstheme="minorHAnsi"/>
          <w:noProof/>
          <w:color w:val="333333"/>
          <w:sz w:val="20"/>
          <w:szCs w:val="20"/>
          <w:vertAlign w:val="superscript"/>
        </w:rPr>
        <w:t>2</w:t>
      </w:r>
      <w:r w:rsidR="003D1A31" w:rsidRPr="00A904ED">
        <w:rPr>
          <w:rFonts w:cstheme="minorHAnsi"/>
          <w:color w:val="333333"/>
          <w:sz w:val="20"/>
          <w:szCs w:val="20"/>
        </w:rPr>
        <w:fldChar w:fldCharType="end"/>
      </w:r>
      <w:r w:rsidR="003D1A31" w:rsidRPr="0056465A">
        <w:rPr>
          <w:rFonts w:cstheme="minorHAnsi"/>
          <w:sz w:val="20"/>
          <w:szCs w:val="20"/>
        </w:rPr>
        <w:t>.</w:t>
      </w:r>
      <w:r w:rsidR="003D1A31">
        <w:rPr>
          <w:rFonts w:cstheme="minorHAnsi"/>
          <w:sz w:val="20"/>
          <w:szCs w:val="20"/>
        </w:rPr>
        <w:t xml:space="preserve"> In adults with and without DS</w:t>
      </w:r>
      <w:r w:rsidR="00210AB0">
        <w:rPr>
          <w:rFonts w:cstheme="minorHAnsi"/>
          <w:sz w:val="20"/>
          <w:szCs w:val="20"/>
        </w:rPr>
        <w:t>,</w:t>
      </w:r>
      <w:r w:rsidR="003D1A31">
        <w:rPr>
          <w:rFonts w:cstheme="minorHAnsi"/>
          <w:sz w:val="20"/>
          <w:szCs w:val="20"/>
        </w:rPr>
        <w:t xml:space="preserve"> obesity and low levels of </w:t>
      </w:r>
      <w:r w:rsidR="003D1A31" w:rsidRPr="0056465A">
        <w:rPr>
          <w:rFonts w:cstheme="minorHAnsi"/>
          <w:sz w:val="20"/>
          <w:szCs w:val="20"/>
        </w:rPr>
        <w:t xml:space="preserve">moderate-to-vigorous physical activity (MVPA) </w:t>
      </w:r>
      <w:r w:rsidR="003D1A31">
        <w:rPr>
          <w:rFonts w:cstheme="minorHAnsi"/>
          <w:sz w:val="20"/>
          <w:szCs w:val="20"/>
        </w:rPr>
        <w:t xml:space="preserve">have independently been associated with poor cognitive performance </w:t>
      </w:r>
      <w:r w:rsidR="003D1A31">
        <w:rPr>
          <w:rFonts w:cstheme="minorHAnsi"/>
          <w:sz w:val="20"/>
          <w:szCs w:val="20"/>
        </w:rPr>
        <w:fldChar w:fldCharType="begin"/>
      </w:r>
      <w:r w:rsidR="003D1A31">
        <w:rPr>
          <w:rFonts w:cstheme="minorHAnsi"/>
          <w:sz w:val="20"/>
          <w:szCs w:val="20"/>
        </w:rPr>
        <w:instrText xml:space="preserve"> ADDIN EN.CITE &lt;EndNote&gt;&lt;Cite&gt;&lt;Author&gt;Fleming&lt;/Author&gt;&lt;Year&gt;2021&lt;/Year&gt;&lt;RecNum&gt;18&lt;/RecNum&gt;&lt;DisplayText&gt;&lt;style face="superscript"&gt;3,4&lt;/style&gt;&lt;/DisplayText&gt;&lt;record&gt;&lt;rec-number&gt;18&lt;/rec-number&gt;&lt;foreign-keys&gt;&lt;key app="EN" db-id="pxsf0vd93wrfx3ea0afxtrdzwr2vsfpx00ww" timestamp="1710861907"&gt;18&lt;/key&gt;&lt;/foreign-keys&gt;&lt;ref-type name="Journal Article"&gt;17&lt;/ref-type&gt;&lt;contributors&gt;&lt;authors&gt;&lt;author&gt;Fleming, Victoria&lt;/author&gt;&lt;author&gt;Piro-Gambetti, Brianna&lt;/author&gt;&lt;author&gt;Patrick, Austin&lt;/author&gt;&lt;author&gt;Zammit, Matthew&lt;/author&gt;&lt;author&gt;Alexander, Andrew&lt;/author&gt;&lt;author&gt;Christian, Bradley T&lt;/author&gt;&lt;author&gt;Handen, Benjamin&lt;/author&gt;&lt;author&gt;Cohen, Annie&lt;/author&gt;&lt;author&gt;Klunk, William&lt;/author&gt;&lt;author&gt;Laymon, Charles&lt;/author&gt;&lt;/authors&gt;&lt;/contributors&gt;&lt;titles&gt;&lt;title&gt;Physical activity and cognitive and imaging biomarkers of Alzheimer&amp;apos;s disease in Down syndrome&lt;/title&gt;&lt;secondary-title&gt;Neurobiology of aging&lt;/secondary-title&gt;&lt;/titles&gt;&lt;periodical&gt;&lt;full-title&gt;Neurobiology of aging&lt;/full-title&gt;&lt;/periodical&gt;&lt;pages&gt;118-127&lt;/pages&gt;&lt;volume&gt;107&lt;/volume&gt;&lt;dates&gt;&lt;year&gt;2021&lt;/year&gt;&lt;/dates&gt;&lt;isbn&gt;0197-4580&lt;/isbn&gt;&lt;urls&gt;&lt;/urls&gt;&lt;/record&gt;&lt;/Cite&gt;&lt;Cite&gt;&lt;Author&gt;Edwards III&lt;/Author&gt;&lt;Year&gt;2019&lt;/Year&gt;&lt;RecNum&gt;263&lt;/RecNum&gt;&lt;record&gt;&lt;rec-number&gt;263&lt;/rec-number&gt;&lt;foreign-keys&gt;&lt;key app="EN" db-id="pxsf0vd93wrfx3ea0afxtrdzwr2vsfpx00ww" timestamp="1728662325"&gt;263&lt;/key&gt;&lt;/foreign-keys&gt;&lt;ref-type name="Journal Article"&gt;17&lt;/ref-type&gt;&lt;contributors&gt;&lt;authors&gt;&lt;author&gt;Edwards III, George A&lt;/author&gt;&lt;author&gt;Gamez, Nazaret&lt;/author&gt;&lt;author&gt;Escobedo Jr, Gabriel&lt;/author&gt;&lt;author&gt;Calderon, Olivia&lt;/author&gt;&lt;author&gt;Moreno-Gonzalez, Ines&lt;/author&gt;&lt;/authors&gt;&lt;/contributors&gt;&lt;titles&gt;&lt;title&gt;Modifiable risk factors for Alzheimer’s disease&lt;/title&gt;&lt;secondary-title&gt;Frontiers in aging neuroscience&lt;/secondary-title&gt;&lt;/titles&gt;&lt;periodical&gt;&lt;full-title&gt;Frontiers in aging neuroscience&lt;/full-title&gt;&lt;/periodical&gt;&lt;pages&gt;146&lt;/pages&gt;&lt;volume&gt;11&lt;/volume&gt;&lt;dates&gt;&lt;year&gt;2019&lt;/year&gt;&lt;/dates&gt;&lt;isbn&gt;1663-4365&lt;/isbn&gt;&lt;urls&gt;&lt;/urls&gt;&lt;/record&gt;&lt;/Cite&gt;&lt;/EndNote&gt;</w:instrText>
      </w:r>
      <w:r w:rsidR="003D1A31">
        <w:rPr>
          <w:rFonts w:cstheme="minorHAnsi"/>
          <w:sz w:val="20"/>
          <w:szCs w:val="20"/>
        </w:rPr>
        <w:fldChar w:fldCharType="separate"/>
      </w:r>
      <w:r w:rsidR="003D1A31" w:rsidRPr="006C6F10">
        <w:rPr>
          <w:rFonts w:cstheme="minorHAnsi"/>
          <w:noProof/>
          <w:sz w:val="20"/>
          <w:szCs w:val="20"/>
          <w:vertAlign w:val="superscript"/>
        </w:rPr>
        <w:t>3,4</w:t>
      </w:r>
      <w:r w:rsidR="003D1A31">
        <w:rPr>
          <w:rFonts w:cstheme="minorHAnsi"/>
          <w:sz w:val="20"/>
          <w:szCs w:val="20"/>
        </w:rPr>
        <w:fldChar w:fldCharType="end"/>
      </w:r>
      <w:r w:rsidR="003D1A31">
        <w:rPr>
          <w:rFonts w:cstheme="minorHAnsi"/>
          <w:sz w:val="20"/>
          <w:szCs w:val="20"/>
        </w:rPr>
        <w:t xml:space="preserve">. </w:t>
      </w:r>
      <w:r w:rsidR="001A191F">
        <w:rPr>
          <w:rFonts w:cstheme="minorHAnsi"/>
          <w:sz w:val="20"/>
          <w:szCs w:val="20"/>
        </w:rPr>
        <w:t>Previous work</w:t>
      </w:r>
      <w:r w:rsidR="003D1A31">
        <w:rPr>
          <w:rFonts w:cstheme="minorHAnsi"/>
          <w:sz w:val="20"/>
          <w:szCs w:val="20"/>
        </w:rPr>
        <w:t xml:space="preserve"> indicates that high MVPA might </w:t>
      </w:r>
      <w:r w:rsidR="00DB4EBD">
        <w:rPr>
          <w:rFonts w:cstheme="minorHAnsi"/>
          <w:sz w:val="20"/>
          <w:szCs w:val="20"/>
        </w:rPr>
        <w:t xml:space="preserve">reduce risk </w:t>
      </w:r>
      <w:r w:rsidR="00734E75">
        <w:rPr>
          <w:rFonts w:cstheme="minorHAnsi"/>
          <w:sz w:val="20"/>
          <w:szCs w:val="20"/>
        </w:rPr>
        <w:t>type 2 diabetes and cardiovascular disease</w:t>
      </w:r>
      <w:r w:rsidR="00DB4EBD">
        <w:rPr>
          <w:rFonts w:cstheme="minorHAnsi"/>
          <w:sz w:val="20"/>
          <w:szCs w:val="20"/>
        </w:rPr>
        <w:t xml:space="preserve"> even in the presence of obesity</w:t>
      </w:r>
      <w:r w:rsidR="003D1A31">
        <w:rPr>
          <w:rFonts w:cstheme="minorHAnsi"/>
          <w:sz w:val="20"/>
          <w:szCs w:val="20"/>
        </w:rPr>
        <w:t xml:space="preserve"> </w:t>
      </w:r>
      <w:r w:rsidR="003D1A31">
        <w:rPr>
          <w:rFonts w:cstheme="minorHAnsi"/>
          <w:sz w:val="20"/>
          <w:szCs w:val="20"/>
        </w:rPr>
        <w:fldChar w:fldCharType="begin"/>
      </w:r>
      <w:r w:rsidR="003D1A31">
        <w:rPr>
          <w:rFonts w:cstheme="minorHAnsi"/>
          <w:sz w:val="20"/>
          <w:szCs w:val="20"/>
        </w:rPr>
        <w:instrText xml:space="preserve"> ADDIN EN.CITE &lt;EndNote&gt;&lt;Cite&gt;&lt;Author&gt;Ortega&lt;/Author&gt;&lt;Year&gt;2018&lt;/Year&gt;&lt;RecNum&gt;262&lt;/RecNum&gt;&lt;DisplayText&gt;&lt;style face="superscript"&gt;5&lt;/style&gt;&lt;/DisplayText&gt;&lt;record&gt;&lt;rec-number&gt;262&lt;/rec-number&gt;&lt;foreign-keys&gt;&lt;key app="EN" db-id="pxsf0vd93wrfx3ea0afxtrdzwr2vsfpx00ww" timestamp="1728660372"&gt;262&lt;/key&gt;&lt;/foreign-keys&gt;&lt;ref-type name="Generic"&gt;13&lt;/ref-type&gt;&lt;contributors&gt;&lt;authors&gt;&lt;author&gt;Ortega, Francisco B&lt;/author&gt;&lt;author&gt;Ruiz, Jonatan R&lt;/author&gt;&lt;author&gt;Labayen, Idoia&lt;/author&gt;&lt;author&gt;Lavie, Carl J&lt;/author&gt;&lt;author&gt;Blair, Steven N&lt;/author&gt;&lt;/authors&gt;&lt;/contributors&gt;&lt;titles&gt;&lt;title&gt;The Fat but Fit paradox: what we know and don’t know about it&lt;/title&gt;&lt;/titles&gt;&lt;pages&gt;151-153&lt;/pages&gt;&lt;volume&gt;52&lt;/volume&gt;&lt;number&gt;3&lt;/number&gt;&lt;dates&gt;&lt;year&gt;2018&lt;/year&gt;&lt;/dates&gt;&lt;publisher&gt;BMJ Publishing Group Ltd and British Association of Sport and Exercise Medicine&lt;/publisher&gt;&lt;isbn&gt;0306-3674&lt;/isbn&gt;&lt;urls&gt;&lt;/urls&gt;&lt;/record&gt;&lt;/Cite&gt;&lt;/EndNote&gt;</w:instrText>
      </w:r>
      <w:r w:rsidR="003D1A31">
        <w:rPr>
          <w:rFonts w:cstheme="minorHAnsi"/>
          <w:sz w:val="20"/>
          <w:szCs w:val="20"/>
        </w:rPr>
        <w:fldChar w:fldCharType="separate"/>
      </w:r>
      <w:r w:rsidR="003D1A31" w:rsidRPr="006C6F10">
        <w:rPr>
          <w:rFonts w:cstheme="minorHAnsi"/>
          <w:noProof/>
          <w:sz w:val="20"/>
          <w:szCs w:val="20"/>
          <w:vertAlign w:val="superscript"/>
        </w:rPr>
        <w:t>5</w:t>
      </w:r>
      <w:r w:rsidR="003D1A31">
        <w:rPr>
          <w:rFonts w:cstheme="minorHAnsi"/>
          <w:sz w:val="20"/>
          <w:szCs w:val="20"/>
        </w:rPr>
        <w:fldChar w:fldCharType="end"/>
      </w:r>
      <w:r w:rsidR="00DB4EBD">
        <w:rPr>
          <w:rFonts w:cstheme="minorHAnsi"/>
          <w:sz w:val="20"/>
          <w:szCs w:val="20"/>
        </w:rPr>
        <w:t xml:space="preserve">, however this has yet to be investigated in the context of </w:t>
      </w:r>
      <w:r w:rsidR="001A191F">
        <w:rPr>
          <w:rFonts w:cstheme="minorHAnsi"/>
          <w:sz w:val="20"/>
          <w:szCs w:val="20"/>
        </w:rPr>
        <w:t>cognition</w:t>
      </w:r>
      <w:r w:rsidR="00DB4EBD">
        <w:rPr>
          <w:rFonts w:cstheme="minorHAnsi"/>
          <w:sz w:val="20"/>
          <w:szCs w:val="20"/>
        </w:rPr>
        <w:t xml:space="preserve"> or in DS. The purpose of this analysis was to</w:t>
      </w:r>
      <w:r w:rsidR="007A6602">
        <w:rPr>
          <w:rFonts w:cstheme="minorHAnsi"/>
          <w:sz w:val="20"/>
          <w:szCs w:val="20"/>
        </w:rPr>
        <w:t xml:space="preserve"> investigate</w:t>
      </w:r>
      <w:r w:rsidR="00DB4EBD">
        <w:rPr>
          <w:rFonts w:cstheme="minorHAnsi"/>
          <w:sz w:val="20"/>
          <w:szCs w:val="20"/>
        </w:rPr>
        <w:t xml:space="preserve"> the joint association of MVPA and obesity on</w:t>
      </w:r>
      <w:r w:rsidR="007A6602">
        <w:rPr>
          <w:rFonts w:cstheme="minorHAnsi"/>
          <w:sz w:val="20"/>
          <w:szCs w:val="20"/>
        </w:rPr>
        <w:t xml:space="preserve"> </w:t>
      </w:r>
      <w:r w:rsidR="00DB4EBD">
        <w:rPr>
          <w:rFonts w:cstheme="minorHAnsi"/>
          <w:sz w:val="20"/>
          <w:szCs w:val="20"/>
        </w:rPr>
        <w:t xml:space="preserve">cognition in persons with DS. </w:t>
      </w:r>
      <w:r w:rsidR="007A6602">
        <w:rPr>
          <w:rFonts w:cstheme="minorHAnsi"/>
          <w:sz w:val="20"/>
          <w:szCs w:val="20"/>
        </w:rPr>
        <w:t xml:space="preserve"> </w:t>
      </w:r>
    </w:p>
    <w:p w14:paraId="1AAE4C0D" w14:textId="594500D0" w:rsidR="003219B1" w:rsidRPr="003219B1" w:rsidRDefault="003D6244" w:rsidP="002C5604">
      <w:pPr>
        <w:spacing w:after="120"/>
        <w:rPr>
          <w:rFonts w:cstheme="minorHAnsi"/>
          <w:color w:val="000000"/>
          <w:sz w:val="20"/>
          <w:szCs w:val="20"/>
        </w:rPr>
      </w:pPr>
      <w:r>
        <w:rPr>
          <w:b/>
          <w:color w:val="000000"/>
          <w:sz w:val="20"/>
          <w:szCs w:val="20"/>
          <w:lang w:val="en-GB"/>
        </w:rPr>
        <w:t>Method</w:t>
      </w:r>
      <w:r>
        <w:rPr>
          <w:color w:val="000000"/>
          <w:sz w:val="20"/>
          <w:szCs w:val="20"/>
          <w:lang w:val="en-GB"/>
        </w:rPr>
        <w:t>:</w:t>
      </w:r>
      <w:r w:rsidR="003219B1">
        <w:rPr>
          <w:rFonts w:cstheme="minorHAnsi"/>
          <w:color w:val="000000"/>
          <w:sz w:val="20"/>
          <w:szCs w:val="20"/>
        </w:rPr>
        <w:t xml:space="preserve"> </w:t>
      </w:r>
      <w:r w:rsidR="003219B1" w:rsidRPr="003219B1">
        <w:rPr>
          <w:rFonts w:cstheme="minorHAnsi"/>
          <w:color w:val="000000"/>
          <w:sz w:val="20"/>
          <w:szCs w:val="20"/>
        </w:rPr>
        <w:t xml:space="preserve">Seventy-five adults with </w:t>
      </w:r>
      <w:r w:rsidR="000C47BA">
        <w:rPr>
          <w:rFonts w:cstheme="minorHAnsi"/>
          <w:color w:val="000000"/>
          <w:sz w:val="20"/>
          <w:szCs w:val="20"/>
        </w:rPr>
        <w:t>DS</w:t>
      </w:r>
      <w:r w:rsidR="003219B1" w:rsidRPr="003219B1">
        <w:rPr>
          <w:rFonts w:cstheme="minorHAnsi"/>
          <w:color w:val="000000"/>
          <w:sz w:val="20"/>
          <w:szCs w:val="20"/>
        </w:rPr>
        <w:t xml:space="preserve"> (age 39.1 years; 46.7% female; 54.7% with obesity) participated in the Alzheimer Biomarker Consortium-Down Syndrome (ABC-DS) study and an optional 7-day accelerometer protocol. Cognitive function was assessed using the ABC-DS cognitive battery, which includes the modified Cued Recall Test, Stroop Cat and Dog Test, Dementia Questionnaire for People with Learning Disabilities (DLD), and the Down Syndrome Mental Status Examination (DSMSE). Body mass index (BMI) was </w:t>
      </w:r>
      <w:r w:rsidR="00A91791">
        <w:rPr>
          <w:rFonts w:cstheme="minorHAnsi"/>
          <w:color w:val="000000"/>
          <w:sz w:val="20"/>
          <w:szCs w:val="20"/>
        </w:rPr>
        <w:t>used to</w:t>
      </w:r>
      <w:r w:rsidR="003219B1" w:rsidRPr="003219B1">
        <w:rPr>
          <w:rFonts w:cstheme="minorHAnsi"/>
          <w:color w:val="000000"/>
          <w:sz w:val="20"/>
          <w:szCs w:val="20"/>
        </w:rPr>
        <w:t xml:space="preserve"> catego</w:t>
      </w:r>
      <w:r w:rsidR="00A91791">
        <w:rPr>
          <w:rFonts w:cstheme="minorHAnsi"/>
          <w:color w:val="000000"/>
          <w:sz w:val="20"/>
          <w:szCs w:val="20"/>
        </w:rPr>
        <w:t xml:space="preserve">rize </w:t>
      </w:r>
      <w:r w:rsidR="003219B1" w:rsidRPr="003219B1">
        <w:rPr>
          <w:rFonts w:cstheme="minorHAnsi"/>
          <w:color w:val="000000"/>
          <w:sz w:val="20"/>
          <w:szCs w:val="20"/>
        </w:rPr>
        <w:t>participants into obesity (BMI ≥30 kg/m²) and no obesity (BMI &lt;30 kg/m²)</w:t>
      </w:r>
      <w:r w:rsidR="002C5604">
        <w:rPr>
          <w:rFonts w:cstheme="minorHAnsi"/>
          <w:color w:val="000000"/>
          <w:sz w:val="20"/>
          <w:szCs w:val="20"/>
        </w:rPr>
        <w:t xml:space="preserve"> and</w:t>
      </w:r>
      <w:r w:rsidR="003219B1" w:rsidRPr="003219B1">
        <w:rPr>
          <w:rFonts w:cstheme="minorHAnsi"/>
          <w:color w:val="000000"/>
          <w:sz w:val="20"/>
          <w:szCs w:val="20"/>
        </w:rPr>
        <w:t xml:space="preserve"> median split of </w:t>
      </w:r>
      <w:r w:rsidR="00A91791">
        <w:rPr>
          <w:rFonts w:cstheme="minorHAnsi"/>
          <w:color w:val="000000"/>
          <w:sz w:val="20"/>
          <w:szCs w:val="20"/>
        </w:rPr>
        <w:t>MVPA was used to</w:t>
      </w:r>
      <w:r w:rsidR="003219B1" w:rsidRPr="003219B1">
        <w:rPr>
          <w:rFonts w:cstheme="minorHAnsi"/>
          <w:color w:val="000000"/>
          <w:sz w:val="20"/>
          <w:szCs w:val="20"/>
        </w:rPr>
        <w:t xml:space="preserve"> crea</w:t>
      </w:r>
      <w:r w:rsidR="00A91791">
        <w:rPr>
          <w:rFonts w:cstheme="minorHAnsi"/>
          <w:color w:val="000000"/>
          <w:sz w:val="20"/>
          <w:szCs w:val="20"/>
        </w:rPr>
        <w:t>te</w:t>
      </w:r>
      <w:r w:rsidR="003219B1" w:rsidRPr="003219B1">
        <w:rPr>
          <w:rFonts w:cstheme="minorHAnsi"/>
          <w:color w:val="000000"/>
          <w:sz w:val="20"/>
          <w:szCs w:val="20"/>
        </w:rPr>
        <w:t xml:space="preserve"> four groups: No Obesity/High MVPA, No Obesity/Low MVPA, Obesity/High MVPA, and Obesity/Low MVPA. Generalized linear models adjusted for age, cognitive impairment, gender, premorbid intellectual disability, and APOE-4 status </w:t>
      </w:r>
      <w:r w:rsidR="000C47BA">
        <w:rPr>
          <w:rFonts w:cstheme="minorHAnsi"/>
          <w:color w:val="000000"/>
          <w:sz w:val="20"/>
          <w:szCs w:val="20"/>
        </w:rPr>
        <w:t xml:space="preserve">were used to compare </w:t>
      </w:r>
      <w:r w:rsidR="003219B1" w:rsidRPr="003219B1">
        <w:rPr>
          <w:rFonts w:cstheme="minorHAnsi"/>
          <w:color w:val="000000"/>
          <w:sz w:val="20"/>
          <w:szCs w:val="20"/>
        </w:rPr>
        <w:t>cognitive scores across groups.</w:t>
      </w:r>
    </w:p>
    <w:p w14:paraId="779D9E5D" w14:textId="1319490A" w:rsidR="003D1A31" w:rsidRDefault="003D1A31" w:rsidP="003D1A31">
      <w:pPr>
        <w:spacing w:after="0"/>
        <w:rPr>
          <w:rFonts w:cstheme="minorHAnsi"/>
          <w:color w:val="000000"/>
          <w:sz w:val="20"/>
          <w:szCs w:val="20"/>
          <w:lang w:val="en-GB"/>
        </w:rPr>
      </w:pPr>
      <w:r w:rsidRPr="00A904ED">
        <w:rPr>
          <w:rFonts w:cstheme="minorHAnsi"/>
          <w:b/>
          <w:color w:val="000000"/>
          <w:sz w:val="20"/>
          <w:szCs w:val="20"/>
          <w:lang w:val="en-GB"/>
        </w:rPr>
        <w:t>Results</w:t>
      </w:r>
      <w:r>
        <w:rPr>
          <w:rFonts w:cstheme="minorHAnsi"/>
          <w:color w:val="000000"/>
          <w:sz w:val="20"/>
          <w:szCs w:val="20"/>
          <w:lang w:val="en-GB"/>
        </w:rPr>
        <w:t>: Scores on each assessment by group are presented in table 1.</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20"/>
        <w:gridCol w:w="1744"/>
        <w:gridCol w:w="1620"/>
        <w:gridCol w:w="1586"/>
      </w:tblGrid>
      <w:tr w:rsidR="003D1A31" w:rsidRPr="002C5604" w14:paraId="475855FF" w14:textId="77777777" w:rsidTr="002C5604">
        <w:tc>
          <w:tcPr>
            <w:tcW w:w="2790" w:type="dxa"/>
            <w:tcBorders>
              <w:bottom w:val="single" w:sz="4" w:space="0" w:color="auto"/>
            </w:tcBorders>
          </w:tcPr>
          <w:p w14:paraId="74D14101" w14:textId="77777777" w:rsidR="003D1A31" w:rsidRPr="002C5604" w:rsidRDefault="003D1A31" w:rsidP="00D649F5">
            <w:pPr>
              <w:rPr>
                <w:rFonts w:cstheme="minorHAnsi"/>
                <w:b/>
                <w:bCs/>
                <w:sz w:val="19"/>
                <w:szCs w:val="19"/>
                <w:lang w:val="en-GB"/>
              </w:rPr>
            </w:pPr>
            <w:r w:rsidRPr="002C5604">
              <w:rPr>
                <w:rFonts w:cstheme="minorHAnsi"/>
                <w:b/>
                <w:bCs/>
                <w:sz w:val="19"/>
                <w:szCs w:val="19"/>
                <w:lang w:val="en-GB"/>
              </w:rPr>
              <w:t xml:space="preserve">Table 1. </w:t>
            </w:r>
          </w:p>
        </w:tc>
        <w:tc>
          <w:tcPr>
            <w:tcW w:w="1620" w:type="dxa"/>
            <w:tcBorders>
              <w:bottom w:val="single" w:sz="4" w:space="0" w:color="auto"/>
            </w:tcBorders>
          </w:tcPr>
          <w:p w14:paraId="1AB7C0DF" w14:textId="49D14477" w:rsidR="003D1A31" w:rsidRPr="002C5604" w:rsidRDefault="003D1A31" w:rsidP="003D1A31">
            <w:pPr>
              <w:jc w:val="center"/>
              <w:rPr>
                <w:rFonts w:cstheme="minorHAnsi"/>
                <w:b/>
                <w:bCs/>
                <w:sz w:val="19"/>
                <w:szCs w:val="19"/>
                <w:lang w:val="en-GB"/>
              </w:rPr>
            </w:pPr>
            <w:r w:rsidRPr="002C5604">
              <w:rPr>
                <w:rStyle w:val="Strong"/>
                <w:rFonts w:cstheme="minorHAnsi"/>
                <w:sz w:val="19"/>
                <w:szCs w:val="19"/>
                <w:shd w:val="clear" w:color="auto" w:fill="FFFFFF"/>
              </w:rPr>
              <w:t>No Obesity/High M</w:t>
            </w:r>
            <w:r w:rsidRPr="002C5604">
              <w:rPr>
                <w:rStyle w:val="Strong"/>
                <w:sz w:val="19"/>
                <w:szCs w:val="19"/>
                <w:shd w:val="clear" w:color="auto" w:fill="FFFFFF"/>
              </w:rPr>
              <w:t>V</w:t>
            </w:r>
            <w:r w:rsidRPr="002C5604">
              <w:rPr>
                <w:rStyle w:val="Strong"/>
                <w:rFonts w:cstheme="minorHAnsi"/>
                <w:sz w:val="19"/>
                <w:szCs w:val="19"/>
                <w:shd w:val="clear" w:color="auto" w:fill="FFFFFF"/>
              </w:rPr>
              <w:t>PA</w:t>
            </w:r>
            <w:r w:rsidR="003E0B1A" w:rsidRPr="002C5604">
              <w:rPr>
                <w:rStyle w:val="Strong"/>
                <w:rFonts w:cstheme="minorHAnsi"/>
                <w:sz w:val="19"/>
                <w:szCs w:val="19"/>
                <w:shd w:val="clear" w:color="auto" w:fill="FFFFFF"/>
              </w:rPr>
              <w:t xml:space="preserve"> </w:t>
            </w:r>
            <w:r w:rsidR="003E0B1A" w:rsidRPr="002C5604">
              <w:rPr>
                <w:rStyle w:val="Strong"/>
                <w:sz w:val="19"/>
                <w:szCs w:val="19"/>
                <w:shd w:val="clear" w:color="auto" w:fill="FFFFFF"/>
              </w:rPr>
              <w:t>(n=</w:t>
            </w:r>
            <w:r w:rsidR="000F6096" w:rsidRPr="002C5604">
              <w:rPr>
                <w:rStyle w:val="Strong"/>
                <w:sz w:val="19"/>
                <w:szCs w:val="19"/>
                <w:shd w:val="clear" w:color="auto" w:fill="FFFFFF"/>
              </w:rPr>
              <w:t>19)</w:t>
            </w:r>
          </w:p>
        </w:tc>
        <w:tc>
          <w:tcPr>
            <w:tcW w:w="1744" w:type="dxa"/>
            <w:tcBorders>
              <w:bottom w:val="single" w:sz="4" w:space="0" w:color="auto"/>
            </w:tcBorders>
          </w:tcPr>
          <w:p w14:paraId="166EE815" w14:textId="3B75AA70" w:rsidR="003D1A31" w:rsidRPr="002C5604" w:rsidRDefault="003D1A31" w:rsidP="003D1A31">
            <w:pPr>
              <w:jc w:val="center"/>
              <w:rPr>
                <w:rFonts w:cstheme="minorHAnsi"/>
                <w:b/>
                <w:bCs/>
                <w:sz w:val="19"/>
                <w:szCs w:val="19"/>
                <w:lang w:val="en-GB"/>
              </w:rPr>
            </w:pPr>
            <w:r w:rsidRPr="002C5604">
              <w:rPr>
                <w:rStyle w:val="Strong"/>
                <w:rFonts w:cstheme="minorHAnsi"/>
                <w:sz w:val="19"/>
                <w:szCs w:val="19"/>
                <w:shd w:val="clear" w:color="auto" w:fill="FFFFFF"/>
              </w:rPr>
              <w:t>No Obesity/Low M</w:t>
            </w:r>
            <w:r w:rsidRPr="002C5604">
              <w:rPr>
                <w:rStyle w:val="Strong"/>
                <w:sz w:val="19"/>
                <w:szCs w:val="19"/>
                <w:shd w:val="clear" w:color="auto" w:fill="FFFFFF"/>
              </w:rPr>
              <w:t>V</w:t>
            </w:r>
            <w:r w:rsidRPr="002C5604">
              <w:rPr>
                <w:rStyle w:val="Strong"/>
                <w:rFonts w:cstheme="minorHAnsi"/>
                <w:sz w:val="19"/>
                <w:szCs w:val="19"/>
                <w:shd w:val="clear" w:color="auto" w:fill="FFFFFF"/>
              </w:rPr>
              <w:t>PA</w:t>
            </w:r>
            <w:r w:rsidR="000F6096" w:rsidRPr="002C5604">
              <w:rPr>
                <w:rStyle w:val="Strong"/>
                <w:rFonts w:cstheme="minorHAnsi"/>
                <w:sz w:val="19"/>
                <w:szCs w:val="19"/>
                <w:shd w:val="clear" w:color="auto" w:fill="FFFFFF"/>
              </w:rPr>
              <w:t xml:space="preserve"> </w:t>
            </w:r>
            <w:r w:rsidR="000F6096" w:rsidRPr="002C5604">
              <w:rPr>
                <w:rStyle w:val="Strong"/>
                <w:sz w:val="19"/>
                <w:szCs w:val="19"/>
                <w:shd w:val="clear" w:color="auto" w:fill="FFFFFF"/>
              </w:rPr>
              <w:t>(n=15)</w:t>
            </w:r>
          </w:p>
        </w:tc>
        <w:tc>
          <w:tcPr>
            <w:tcW w:w="1620" w:type="dxa"/>
            <w:tcBorders>
              <w:bottom w:val="single" w:sz="4" w:space="0" w:color="auto"/>
            </w:tcBorders>
          </w:tcPr>
          <w:p w14:paraId="37CA2287" w14:textId="3D45D2B1" w:rsidR="003D1A31" w:rsidRPr="002C5604" w:rsidRDefault="003D1A31" w:rsidP="003D1A31">
            <w:pPr>
              <w:jc w:val="center"/>
              <w:rPr>
                <w:rFonts w:cstheme="minorHAnsi"/>
                <w:b/>
                <w:bCs/>
                <w:sz w:val="19"/>
                <w:szCs w:val="19"/>
                <w:lang w:val="en-GB"/>
              </w:rPr>
            </w:pPr>
            <w:r w:rsidRPr="002C5604">
              <w:rPr>
                <w:rStyle w:val="Strong"/>
                <w:rFonts w:cstheme="minorHAnsi"/>
                <w:sz w:val="19"/>
                <w:szCs w:val="19"/>
                <w:shd w:val="clear" w:color="auto" w:fill="FFFFFF"/>
              </w:rPr>
              <w:t>Obesity/High M</w:t>
            </w:r>
            <w:r w:rsidRPr="002C5604">
              <w:rPr>
                <w:rStyle w:val="Strong"/>
                <w:sz w:val="19"/>
                <w:szCs w:val="19"/>
                <w:shd w:val="clear" w:color="auto" w:fill="FFFFFF"/>
              </w:rPr>
              <w:t>V</w:t>
            </w:r>
            <w:r w:rsidRPr="002C5604">
              <w:rPr>
                <w:rStyle w:val="Strong"/>
                <w:rFonts w:cstheme="minorHAnsi"/>
                <w:sz w:val="19"/>
                <w:szCs w:val="19"/>
                <w:shd w:val="clear" w:color="auto" w:fill="FFFFFF"/>
              </w:rPr>
              <w:t>PA</w:t>
            </w:r>
            <w:r w:rsidR="000F6096" w:rsidRPr="002C5604">
              <w:rPr>
                <w:rStyle w:val="Strong"/>
                <w:rFonts w:cstheme="minorHAnsi"/>
                <w:sz w:val="19"/>
                <w:szCs w:val="19"/>
                <w:shd w:val="clear" w:color="auto" w:fill="FFFFFF"/>
              </w:rPr>
              <w:t xml:space="preserve"> </w:t>
            </w:r>
            <w:r w:rsidR="000F6096" w:rsidRPr="002C5604">
              <w:rPr>
                <w:rStyle w:val="Strong"/>
                <w:sz w:val="19"/>
                <w:szCs w:val="19"/>
                <w:shd w:val="clear" w:color="auto" w:fill="FFFFFF"/>
              </w:rPr>
              <w:t>(n=19)</w:t>
            </w:r>
          </w:p>
        </w:tc>
        <w:tc>
          <w:tcPr>
            <w:tcW w:w="1586" w:type="dxa"/>
            <w:tcBorders>
              <w:bottom w:val="single" w:sz="4" w:space="0" w:color="auto"/>
            </w:tcBorders>
          </w:tcPr>
          <w:p w14:paraId="609B7806" w14:textId="1FF3312C" w:rsidR="003D1A31" w:rsidRPr="002C5604" w:rsidRDefault="003D1A31" w:rsidP="003D1A31">
            <w:pPr>
              <w:jc w:val="center"/>
              <w:rPr>
                <w:rFonts w:cstheme="minorHAnsi"/>
                <w:b/>
                <w:bCs/>
                <w:sz w:val="19"/>
                <w:szCs w:val="19"/>
                <w:lang w:val="en-GB"/>
              </w:rPr>
            </w:pPr>
            <w:r w:rsidRPr="002C5604">
              <w:rPr>
                <w:rStyle w:val="Strong"/>
                <w:rFonts w:cstheme="minorHAnsi"/>
                <w:sz w:val="19"/>
                <w:szCs w:val="19"/>
                <w:shd w:val="clear" w:color="auto" w:fill="FFFFFF"/>
              </w:rPr>
              <w:t>Obesity/Low M</w:t>
            </w:r>
            <w:r w:rsidRPr="002C5604">
              <w:rPr>
                <w:rStyle w:val="Strong"/>
                <w:sz w:val="19"/>
                <w:szCs w:val="19"/>
                <w:shd w:val="clear" w:color="auto" w:fill="FFFFFF"/>
              </w:rPr>
              <w:t>V</w:t>
            </w:r>
            <w:r w:rsidRPr="002C5604">
              <w:rPr>
                <w:rStyle w:val="Strong"/>
                <w:rFonts w:cstheme="minorHAnsi"/>
                <w:sz w:val="19"/>
                <w:szCs w:val="19"/>
                <w:shd w:val="clear" w:color="auto" w:fill="FFFFFF"/>
              </w:rPr>
              <w:t>PA</w:t>
            </w:r>
            <w:r w:rsidR="000F6096" w:rsidRPr="002C5604">
              <w:rPr>
                <w:rStyle w:val="Strong"/>
                <w:rFonts w:cstheme="minorHAnsi"/>
                <w:sz w:val="19"/>
                <w:szCs w:val="19"/>
                <w:shd w:val="clear" w:color="auto" w:fill="FFFFFF"/>
              </w:rPr>
              <w:t xml:space="preserve"> </w:t>
            </w:r>
            <w:r w:rsidR="000F6096" w:rsidRPr="002C5604">
              <w:rPr>
                <w:rStyle w:val="Strong"/>
                <w:sz w:val="19"/>
                <w:szCs w:val="19"/>
                <w:shd w:val="clear" w:color="auto" w:fill="FFFFFF"/>
              </w:rPr>
              <w:t>(n=22)</w:t>
            </w:r>
          </w:p>
        </w:tc>
      </w:tr>
      <w:tr w:rsidR="003D1A31" w:rsidRPr="002C5604" w14:paraId="26606C91" w14:textId="77777777" w:rsidTr="002C5604">
        <w:tc>
          <w:tcPr>
            <w:tcW w:w="2790" w:type="dxa"/>
            <w:tcBorders>
              <w:top w:val="single" w:sz="4" w:space="0" w:color="auto"/>
            </w:tcBorders>
          </w:tcPr>
          <w:p w14:paraId="22E7ECFB" w14:textId="77777777" w:rsidR="003D1A31" w:rsidRPr="002C5604" w:rsidRDefault="003D1A31" w:rsidP="00D649F5">
            <w:pPr>
              <w:rPr>
                <w:rFonts w:cstheme="minorHAnsi"/>
                <w:sz w:val="19"/>
                <w:szCs w:val="19"/>
                <w:lang w:val="en-GB"/>
              </w:rPr>
            </w:pPr>
            <w:r w:rsidRPr="002C5604">
              <w:rPr>
                <w:rFonts w:cstheme="minorHAnsi"/>
                <w:sz w:val="19"/>
                <w:szCs w:val="19"/>
                <w:lang w:val="en-GB"/>
              </w:rPr>
              <w:t>Modified Cued Recall Total Score</w:t>
            </w:r>
          </w:p>
        </w:tc>
        <w:tc>
          <w:tcPr>
            <w:tcW w:w="1620" w:type="dxa"/>
            <w:tcBorders>
              <w:top w:val="single" w:sz="4" w:space="0" w:color="auto"/>
            </w:tcBorders>
          </w:tcPr>
          <w:p w14:paraId="367B2EC1"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30.5±7.8</w:t>
            </w:r>
          </w:p>
        </w:tc>
        <w:tc>
          <w:tcPr>
            <w:tcW w:w="1744" w:type="dxa"/>
            <w:tcBorders>
              <w:top w:val="single" w:sz="4" w:space="0" w:color="auto"/>
            </w:tcBorders>
          </w:tcPr>
          <w:p w14:paraId="2EBD6639"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26.0±11.3</w:t>
            </w:r>
          </w:p>
        </w:tc>
        <w:tc>
          <w:tcPr>
            <w:tcW w:w="1620" w:type="dxa"/>
            <w:tcBorders>
              <w:top w:val="single" w:sz="4" w:space="0" w:color="auto"/>
            </w:tcBorders>
          </w:tcPr>
          <w:p w14:paraId="330776D1"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32.6±8.2</w:t>
            </w:r>
          </w:p>
        </w:tc>
        <w:tc>
          <w:tcPr>
            <w:tcW w:w="1586" w:type="dxa"/>
            <w:tcBorders>
              <w:top w:val="single" w:sz="4" w:space="0" w:color="auto"/>
            </w:tcBorders>
          </w:tcPr>
          <w:p w14:paraId="40660F29"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28.8±9.0</w:t>
            </w:r>
          </w:p>
        </w:tc>
      </w:tr>
      <w:tr w:rsidR="003D1A31" w:rsidRPr="002C5604" w14:paraId="700182D6" w14:textId="77777777" w:rsidTr="002C5604">
        <w:tc>
          <w:tcPr>
            <w:tcW w:w="2790" w:type="dxa"/>
          </w:tcPr>
          <w:p w14:paraId="5C31B3E4" w14:textId="77777777" w:rsidR="003D1A31" w:rsidRPr="002C5604" w:rsidRDefault="003D1A31" w:rsidP="00D649F5">
            <w:pPr>
              <w:rPr>
                <w:rFonts w:cstheme="minorHAnsi"/>
                <w:sz w:val="19"/>
                <w:szCs w:val="19"/>
                <w:lang w:val="en-GB"/>
              </w:rPr>
            </w:pPr>
            <w:r w:rsidRPr="002C5604">
              <w:rPr>
                <w:rFonts w:cstheme="minorHAnsi"/>
                <w:sz w:val="19"/>
                <w:szCs w:val="19"/>
                <w:lang w:val="en-GB"/>
              </w:rPr>
              <w:t>Cued Recall Intrusions</w:t>
            </w:r>
          </w:p>
        </w:tc>
        <w:tc>
          <w:tcPr>
            <w:tcW w:w="1620" w:type="dxa"/>
          </w:tcPr>
          <w:p w14:paraId="79CF1B06"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3.2±4.8</w:t>
            </w:r>
          </w:p>
        </w:tc>
        <w:tc>
          <w:tcPr>
            <w:tcW w:w="1744" w:type="dxa"/>
          </w:tcPr>
          <w:p w14:paraId="194CB649"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5.5±6.5</w:t>
            </w:r>
          </w:p>
        </w:tc>
        <w:tc>
          <w:tcPr>
            <w:tcW w:w="1620" w:type="dxa"/>
          </w:tcPr>
          <w:p w14:paraId="2EF9C0CC"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1.1±3.7</w:t>
            </w:r>
          </w:p>
        </w:tc>
        <w:tc>
          <w:tcPr>
            <w:tcW w:w="1586" w:type="dxa"/>
          </w:tcPr>
          <w:p w14:paraId="3E662761"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2.3±4.2</w:t>
            </w:r>
          </w:p>
        </w:tc>
      </w:tr>
      <w:tr w:rsidR="003D1A31" w:rsidRPr="002C5604" w14:paraId="01A59109" w14:textId="77777777" w:rsidTr="002C5604">
        <w:trPr>
          <w:trHeight w:val="215"/>
        </w:trPr>
        <w:tc>
          <w:tcPr>
            <w:tcW w:w="2790" w:type="dxa"/>
          </w:tcPr>
          <w:p w14:paraId="05053A57" w14:textId="77777777" w:rsidR="003D1A31" w:rsidRPr="002C5604" w:rsidRDefault="003D1A31" w:rsidP="00D649F5">
            <w:pPr>
              <w:rPr>
                <w:rFonts w:cstheme="minorHAnsi"/>
                <w:sz w:val="19"/>
                <w:szCs w:val="19"/>
                <w:lang w:val="en-GB"/>
              </w:rPr>
            </w:pPr>
            <w:r w:rsidRPr="002C5604">
              <w:rPr>
                <w:rFonts w:cstheme="minorHAnsi"/>
                <w:sz w:val="19"/>
                <w:szCs w:val="19"/>
                <w:lang w:val="en-GB"/>
              </w:rPr>
              <w:t>DLD Sum of Cognitive Score</w:t>
            </w:r>
          </w:p>
        </w:tc>
        <w:tc>
          <w:tcPr>
            <w:tcW w:w="1620" w:type="dxa"/>
          </w:tcPr>
          <w:p w14:paraId="349BD2FA"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3.3±4.5</w:t>
            </w:r>
          </w:p>
        </w:tc>
        <w:tc>
          <w:tcPr>
            <w:tcW w:w="1744" w:type="dxa"/>
          </w:tcPr>
          <w:p w14:paraId="58F9A393"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9.5±10.4</w:t>
            </w:r>
          </w:p>
        </w:tc>
        <w:tc>
          <w:tcPr>
            <w:tcW w:w="1620" w:type="dxa"/>
          </w:tcPr>
          <w:p w14:paraId="7C0527AC"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2.6±3.6</w:t>
            </w:r>
          </w:p>
        </w:tc>
        <w:tc>
          <w:tcPr>
            <w:tcW w:w="1586" w:type="dxa"/>
          </w:tcPr>
          <w:p w14:paraId="6CCFF98D"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7.1±7.7</w:t>
            </w:r>
          </w:p>
        </w:tc>
      </w:tr>
      <w:tr w:rsidR="003D1A31" w:rsidRPr="002C5604" w14:paraId="05046FB4" w14:textId="77777777" w:rsidTr="002C5604">
        <w:trPr>
          <w:trHeight w:val="179"/>
        </w:trPr>
        <w:tc>
          <w:tcPr>
            <w:tcW w:w="2790" w:type="dxa"/>
          </w:tcPr>
          <w:p w14:paraId="47B9AEA8" w14:textId="77777777" w:rsidR="003D1A31" w:rsidRPr="002C5604" w:rsidRDefault="003D1A31" w:rsidP="00D649F5">
            <w:pPr>
              <w:rPr>
                <w:rFonts w:cstheme="minorHAnsi"/>
                <w:sz w:val="19"/>
                <w:szCs w:val="19"/>
                <w:lang w:val="en-GB"/>
              </w:rPr>
            </w:pPr>
            <w:r w:rsidRPr="002C5604">
              <w:rPr>
                <w:rFonts w:cstheme="minorHAnsi"/>
                <w:sz w:val="19"/>
                <w:szCs w:val="19"/>
                <w:lang w:val="en-GB"/>
              </w:rPr>
              <w:t>DLD Sum of Social Score</w:t>
            </w:r>
          </w:p>
        </w:tc>
        <w:tc>
          <w:tcPr>
            <w:tcW w:w="1620" w:type="dxa"/>
          </w:tcPr>
          <w:p w14:paraId="396E3933"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3.6±3.5</w:t>
            </w:r>
          </w:p>
        </w:tc>
        <w:tc>
          <w:tcPr>
            <w:tcW w:w="1744" w:type="dxa"/>
          </w:tcPr>
          <w:p w14:paraId="54953A7C"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6.9±5.6</w:t>
            </w:r>
          </w:p>
        </w:tc>
        <w:tc>
          <w:tcPr>
            <w:tcW w:w="1620" w:type="dxa"/>
          </w:tcPr>
          <w:p w14:paraId="7BF18288"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3.2±3.6</w:t>
            </w:r>
          </w:p>
        </w:tc>
        <w:tc>
          <w:tcPr>
            <w:tcW w:w="1586" w:type="dxa"/>
          </w:tcPr>
          <w:p w14:paraId="7B29934A"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7.3±6.5</w:t>
            </w:r>
          </w:p>
        </w:tc>
      </w:tr>
      <w:tr w:rsidR="003D1A31" w:rsidRPr="002C5604" w14:paraId="51F95DB8" w14:textId="77777777" w:rsidTr="002C5604">
        <w:trPr>
          <w:trHeight w:val="215"/>
        </w:trPr>
        <w:tc>
          <w:tcPr>
            <w:tcW w:w="2790" w:type="dxa"/>
          </w:tcPr>
          <w:p w14:paraId="163DFC93" w14:textId="77777777" w:rsidR="003D1A31" w:rsidRPr="002C5604" w:rsidRDefault="003D1A31" w:rsidP="00D649F5">
            <w:pPr>
              <w:rPr>
                <w:rFonts w:cstheme="minorHAnsi"/>
                <w:sz w:val="19"/>
                <w:szCs w:val="19"/>
                <w:lang w:val="en-GB"/>
              </w:rPr>
            </w:pPr>
            <w:r w:rsidRPr="002C5604">
              <w:rPr>
                <w:rFonts w:cstheme="minorHAnsi"/>
                <w:sz w:val="19"/>
                <w:szCs w:val="19"/>
                <w:shd w:val="clear" w:color="auto" w:fill="FFFFFF"/>
              </w:rPr>
              <w:t>Cat and Dog Task Errors</w:t>
            </w:r>
          </w:p>
        </w:tc>
        <w:tc>
          <w:tcPr>
            <w:tcW w:w="1620" w:type="dxa"/>
          </w:tcPr>
          <w:p w14:paraId="630F3F02"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2.4±4.0</w:t>
            </w:r>
          </w:p>
        </w:tc>
        <w:tc>
          <w:tcPr>
            <w:tcW w:w="1744" w:type="dxa"/>
          </w:tcPr>
          <w:p w14:paraId="5AF124FD"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4.3±9.6</w:t>
            </w:r>
          </w:p>
        </w:tc>
        <w:tc>
          <w:tcPr>
            <w:tcW w:w="1620" w:type="dxa"/>
          </w:tcPr>
          <w:p w14:paraId="7024E203"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1.1±3.7</w:t>
            </w:r>
          </w:p>
        </w:tc>
        <w:tc>
          <w:tcPr>
            <w:tcW w:w="1586" w:type="dxa"/>
          </w:tcPr>
          <w:p w14:paraId="51FF80B4"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2.3±4.2</w:t>
            </w:r>
          </w:p>
        </w:tc>
      </w:tr>
      <w:tr w:rsidR="003D1A31" w:rsidRPr="002C5604" w14:paraId="51CC2EA1" w14:textId="77777777" w:rsidTr="002C5604">
        <w:trPr>
          <w:trHeight w:val="58"/>
        </w:trPr>
        <w:tc>
          <w:tcPr>
            <w:tcW w:w="2790" w:type="dxa"/>
            <w:tcBorders>
              <w:bottom w:val="single" w:sz="4" w:space="0" w:color="auto"/>
            </w:tcBorders>
          </w:tcPr>
          <w:p w14:paraId="668D3DFF" w14:textId="77777777" w:rsidR="003D1A31" w:rsidRPr="002C5604" w:rsidRDefault="003D1A31" w:rsidP="00D649F5">
            <w:pPr>
              <w:rPr>
                <w:rFonts w:cstheme="minorHAnsi"/>
                <w:sz w:val="19"/>
                <w:szCs w:val="19"/>
                <w:lang w:val="en-GB"/>
              </w:rPr>
            </w:pPr>
            <w:r w:rsidRPr="002C5604">
              <w:rPr>
                <w:rFonts w:cstheme="minorHAnsi"/>
                <w:sz w:val="19"/>
                <w:szCs w:val="19"/>
                <w:lang w:val="en-GB"/>
              </w:rPr>
              <w:t>DSMSE</w:t>
            </w:r>
          </w:p>
        </w:tc>
        <w:tc>
          <w:tcPr>
            <w:tcW w:w="1620" w:type="dxa"/>
            <w:tcBorders>
              <w:bottom w:val="single" w:sz="4" w:space="0" w:color="auto"/>
            </w:tcBorders>
          </w:tcPr>
          <w:p w14:paraId="53905DE4"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62.5±16.0</w:t>
            </w:r>
          </w:p>
        </w:tc>
        <w:tc>
          <w:tcPr>
            <w:tcW w:w="1744" w:type="dxa"/>
            <w:tcBorders>
              <w:bottom w:val="single" w:sz="4" w:space="0" w:color="auto"/>
            </w:tcBorders>
          </w:tcPr>
          <w:p w14:paraId="646ED023"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56.9±16.0</w:t>
            </w:r>
          </w:p>
        </w:tc>
        <w:tc>
          <w:tcPr>
            <w:tcW w:w="1620" w:type="dxa"/>
            <w:tcBorders>
              <w:bottom w:val="single" w:sz="4" w:space="0" w:color="auto"/>
            </w:tcBorders>
          </w:tcPr>
          <w:p w14:paraId="0A33C687"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66.5±14.4</w:t>
            </w:r>
          </w:p>
        </w:tc>
        <w:tc>
          <w:tcPr>
            <w:tcW w:w="1586" w:type="dxa"/>
            <w:tcBorders>
              <w:bottom w:val="single" w:sz="4" w:space="0" w:color="auto"/>
            </w:tcBorders>
          </w:tcPr>
          <w:p w14:paraId="7F53ED86" w14:textId="77777777" w:rsidR="003D1A31" w:rsidRPr="002C5604" w:rsidRDefault="003D1A31" w:rsidP="00D649F5">
            <w:pPr>
              <w:jc w:val="center"/>
              <w:rPr>
                <w:rFonts w:cstheme="minorHAnsi"/>
                <w:sz w:val="19"/>
                <w:szCs w:val="19"/>
                <w:lang w:val="en-GB"/>
              </w:rPr>
            </w:pPr>
            <w:r w:rsidRPr="002C5604">
              <w:rPr>
                <w:rFonts w:cstheme="minorHAnsi"/>
                <w:sz w:val="19"/>
                <w:szCs w:val="19"/>
                <w:lang w:val="en-GB"/>
              </w:rPr>
              <w:t>59.9±13.8</w:t>
            </w:r>
          </w:p>
        </w:tc>
      </w:tr>
    </w:tbl>
    <w:p w14:paraId="7AC50374" w14:textId="4A79299D" w:rsidR="003D6244" w:rsidRPr="003D1A31" w:rsidRDefault="005F1432" w:rsidP="002C5604">
      <w:pPr>
        <w:spacing w:after="120"/>
        <w:rPr>
          <w:rFonts w:cstheme="minorHAnsi"/>
          <w:color w:val="000000"/>
          <w:sz w:val="20"/>
          <w:szCs w:val="20"/>
          <w:lang w:val="en-GB"/>
        </w:rPr>
      </w:pPr>
      <w:r>
        <w:rPr>
          <w:rFonts w:cstheme="minorHAnsi"/>
          <w:color w:val="000000"/>
          <w:sz w:val="20"/>
          <w:szCs w:val="20"/>
          <w:lang w:val="en-GB"/>
        </w:rPr>
        <w:t xml:space="preserve">The Obesity/High PA group has fewer Cued Recall Intrusions than the </w:t>
      </w:r>
      <w:r w:rsidR="003D1A31">
        <w:rPr>
          <w:rFonts w:cstheme="minorHAnsi"/>
          <w:color w:val="000000"/>
          <w:sz w:val="20"/>
          <w:szCs w:val="20"/>
          <w:lang w:val="en-GB"/>
        </w:rPr>
        <w:t>No Obesity/Low MVPA group (</w:t>
      </w:r>
      <w:r w:rsidR="003D1A31">
        <w:rPr>
          <w:rFonts w:cstheme="minorHAnsi"/>
          <w:i/>
          <w:iCs/>
          <w:color w:val="000000"/>
          <w:sz w:val="20"/>
          <w:szCs w:val="20"/>
          <w:lang w:val="en-GB"/>
        </w:rPr>
        <w:t>p</w:t>
      </w:r>
      <w:r w:rsidR="003D1A31">
        <w:rPr>
          <w:rFonts w:cstheme="minorHAnsi"/>
          <w:color w:val="000000"/>
          <w:sz w:val="20"/>
          <w:szCs w:val="20"/>
          <w:lang w:val="en-GB"/>
        </w:rPr>
        <w:t xml:space="preserve">=0.018). DLD Cognitive and Social Scores were better in both High MVPA groups when compared with each Low MVPA group (all </w:t>
      </w:r>
      <w:r w:rsidR="003D1A31">
        <w:rPr>
          <w:rFonts w:cstheme="minorHAnsi"/>
          <w:i/>
          <w:iCs/>
          <w:color w:val="000000"/>
          <w:sz w:val="20"/>
          <w:szCs w:val="20"/>
          <w:lang w:val="en-GB"/>
        </w:rPr>
        <w:t>p</w:t>
      </w:r>
      <w:r w:rsidR="003D1A31">
        <w:rPr>
          <w:rFonts w:cstheme="minorHAnsi"/>
          <w:color w:val="000000"/>
          <w:sz w:val="20"/>
          <w:szCs w:val="20"/>
          <w:lang w:val="en-GB"/>
        </w:rPr>
        <w:t>&lt;0.05), with low scores indicating better outcomes. Obesity/High MVPA group had fewer Cat Dog Task Switching errors compared with the Obesity/Low MVPA group (</w:t>
      </w:r>
      <w:r w:rsidR="003D1A31" w:rsidRPr="00E060DB">
        <w:rPr>
          <w:rFonts w:cstheme="minorHAnsi"/>
          <w:i/>
          <w:iCs/>
          <w:color w:val="000000"/>
          <w:sz w:val="20"/>
          <w:szCs w:val="20"/>
          <w:lang w:val="en-GB"/>
        </w:rPr>
        <w:t>p</w:t>
      </w:r>
      <w:r w:rsidR="003D1A31">
        <w:rPr>
          <w:rFonts w:cstheme="minorHAnsi"/>
          <w:color w:val="000000"/>
          <w:sz w:val="20"/>
          <w:szCs w:val="20"/>
          <w:lang w:val="en-GB"/>
        </w:rPr>
        <w:t xml:space="preserve">=0.004). There were no differences in the DSMSE or </w:t>
      </w:r>
      <w:r w:rsidR="00266275">
        <w:rPr>
          <w:rFonts w:cstheme="minorHAnsi"/>
          <w:color w:val="000000"/>
          <w:sz w:val="20"/>
          <w:szCs w:val="20"/>
          <w:lang w:val="en-GB"/>
        </w:rPr>
        <w:t>modifie</w:t>
      </w:r>
      <w:r w:rsidR="00930167">
        <w:rPr>
          <w:rFonts w:cstheme="minorHAnsi"/>
          <w:color w:val="000000"/>
          <w:sz w:val="20"/>
          <w:szCs w:val="20"/>
          <w:lang w:val="en-GB"/>
        </w:rPr>
        <w:t>d Cued</w:t>
      </w:r>
      <w:r w:rsidR="003D1A31">
        <w:rPr>
          <w:rFonts w:cstheme="minorHAnsi"/>
          <w:color w:val="000000"/>
          <w:sz w:val="20"/>
          <w:szCs w:val="20"/>
          <w:lang w:val="en-GB"/>
        </w:rPr>
        <w:t xml:space="preserve"> Recall </w:t>
      </w:r>
      <w:r w:rsidR="00930167">
        <w:rPr>
          <w:rFonts w:cstheme="minorHAnsi"/>
          <w:color w:val="000000"/>
          <w:sz w:val="20"/>
          <w:szCs w:val="20"/>
          <w:lang w:val="en-GB"/>
        </w:rPr>
        <w:t>total s</w:t>
      </w:r>
      <w:r w:rsidR="003D1A31">
        <w:rPr>
          <w:rFonts w:cstheme="minorHAnsi"/>
          <w:color w:val="000000"/>
          <w:sz w:val="20"/>
          <w:szCs w:val="20"/>
          <w:lang w:val="en-GB"/>
        </w:rPr>
        <w:t xml:space="preserve">core </w:t>
      </w:r>
      <w:r w:rsidR="00930167">
        <w:rPr>
          <w:rFonts w:cstheme="minorHAnsi"/>
          <w:color w:val="000000"/>
          <w:sz w:val="20"/>
          <w:szCs w:val="20"/>
          <w:lang w:val="en-GB"/>
        </w:rPr>
        <w:t>between</w:t>
      </w:r>
      <w:r w:rsidR="003D1A31">
        <w:rPr>
          <w:rFonts w:cstheme="minorHAnsi"/>
          <w:color w:val="000000"/>
          <w:sz w:val="20"/>
          <w:szCs w:val="20"/>
          <w:lang w:val="en-GB"/>
        </w:rPr>
        <w:t xml:space="preserve"> groups.  </w:t>
      </w:r>
    </w:p>
    <w:p w14:paraId="7AC50375" w14:textId="3ABA64E6" w:rsidR="003D6244" w:rsidRPr="003D1A31" w:rsidRDefault="003D6244" w:rsidP="002C5604">
      <w:pPr>
        <w:spacing w:after="120"/>
        <w:rPr>
          <w:rFonts w:cstheme="minorHAnsi"/>
          <w:bCs/>
          <w:iCs/>
          <w:color w:val="000000"/>
          <w:sz w:val="20"/>
          <w:szCs w:val="20"/>
          <w:lang w:val="en-GB"/>
        </w:rPr>
      </w:pPr>
      <w:r>
        <w:rPr>
          <w:b/>
          <w:iCs/>
          <w:color w:val="000000"/>
          <w:sz w:val="20"/>
          <w:szCs w:val="20"/>
          <w:lang w:val="en-GB"/>
        </w:rPr>
        <w:t xml:space="preserve">Discussion: </w:t>
      </w:r>
      <w:r w:rsidR="003D1A31">
        <w:rPr>
          <w:rFonts w:cstheme="minorHAnsi"/>
          <w:bCs/>
          <w:iCs/>
          <w:color w:val="000000"/>
          <w:sz w:val="20"/>
          <w:szCs w:val="20"/>
        </w:rPr>
        <w:t>P</w:t>
      </w:r>
      <w:r w:rsidR="003D1A31" w:rsidRPr="00DF098A">
        <w:rPr>
          <w:rFonts w:cstheme="minorHAnsi"/>
          <w:bCs/>
          <w:iCs/>
          <w:color w:val="000000"/>
          <w:sz w:val="20"/>
          <w:szCs w:val="20"/>
        </w:rPr>
        <w:t>hysical activity may have a stronger influence than obesity on cognitive function related to AD in individuals with DS. Future research should prioritize physical activity as a potential intervention to prevent</w:t>
      </w:r>
      <w:r w:rsidR="003D1A31">
        <w:rPr>
          <w:rFonts w:cstheme="minorHAnsi"/>
          <w:bCs/>
          <w:iCs/>
          <w:color w:val="000000"/>
          <w:sz w:val="20"/>
          <w:szCs w:val="20"/>
        </w:rPr>
        <w:t xml:space="preserve"> or delay</w:t>
      </w:r>
      <w:r w:rsidR="003D1A31" w:rsidRPr="00DF098A">
        <w:rPr>
          <w:rFonts w:cstheme="minorHAnsi"/>
          <w:bCs/>
          <w:iCs/>
          <w:color w:val="000000"/>
          <w:sz w:val="20"/>
          <w:szCs w:val="20"/>
        </w:rPr>
        <w:t xml:space="preserve"> AD in this population.</w:t>
      </w:r>
    </w:p>
    <w:p w14:paraId="2CA8289A" w14:textId="402903C1" w:rsidR="003D1A31" w:rsidRPr="003D1A31" w:rsidRDefault="003D6244" w:rsidP="003D1A31">
      <w:pPr>
        <w:spacing w:after="0" w:line="240" w:lineRule="auto"/>
        <w:rPr>
          <w:color w:val="000000"/>
          <w:sz w:val="20"/>
          <w:szCs w:val="20"/>
        </w:rPr>
      </w:pPr>
      <w:r w:rsidRPr="00514B99">
        <w:rPr>
          <w:b/>
          <w:color w:val="000000"/>
          <w:sz w:val="20"/>
          <w:szCs w:val="20"/>
          <w:lang w:val="en-GB"/>
        </w:rPr>
        <w:t>References</w:t>
      </w:r>
      <w:r>
        <w:rPr>
          <w:b/>
          <w:color w:val="000000"/>
          <w:sz w:val="20"/>
          <w:szCs w:val="20"/>
          <w:lang w:val="en-GB"/>
        </w:rPr>
        <w:t xml:space="preserve">: </w:t>
      </w:r>
      <w:r w:rsidR="003D1A31" w:rsidRPr="003D1A31">
        <w:rPr>
          <w:color w:val="000000"/>
          <w:sz w:val="20"/>
          <w:szCs w:val="20"/>
        </w:rPr>
        <w:t>1.</w:t>
      </w:r>
      <w:r w:rsidR="003D1A31">
        <w:rPr>
          <w:color w:val="000000"/>
          <w:sz w:val="20"/>
          <w:szCs w:val="20"/>
        </w:rPr>
        <w:t xml:space="preserve"> </w:t>
      </w:r>
      <w:proofErr w:type="spellStart"/>
      <w:r w:rsidR="003D1A31" w:rsidRPr="003D1A31">
        <w:rPr>
          <w:color w:val="000000"/>
          <w:sz w:val="20"/>
          <w:szCs w:val="20"/>
        </w:rPr>
        <w:t>Fortea</w:t>
      </w:r>
      <w:proofErr w:type="spellEnd"/>
      <w:r w:rsidR="003D1A31" w:rsidRPr="003D1A31">
        <w:rPr>
          <w:color w:val="000000"/>
          <w:sz w:val="20"/>
          <w:szCs w:val="20"/>
        </w:rPr>
        <w:t xml:space="preserve"> J, </w:t>
      </w:r>
      <w:proofErr w:type="spellStart"/>
      <w:r w:rsidR="003D1A31" w:rsidRPr="003D1A31">
        <w:rPr>
          <w:color w:val="000000"/>
          <w:sz w:val="20"/>
          <w:szCs w:val="20"/>
        </w:rPr>
        <w:t>Vilaplana</w:t>
      </w:r>
      <w:proofErr w:type="spellEnd"/>
      <w:r w:rsidR="003D1A31" w:rsidRPr="003D1A31">
        <w:rPr>
          <w:color w:val="000000"/>
          <w:sz w:val="20"/>
          <w:szCs w:val="20"/>
        </w:rPr>
        <w:t xml:space="preserve"> E, Carmona-</w:t>
      </w:r>
      <w:proofErr w:type="spellStart"/>
      <w:r w:rsidR="003D1A31" w:rsidRPr="003D1A31">
        <w:rPr>
          <w:color w:val="000000"/>
          <w:sz w:val="20"/>
          <w:szCs w:val="20"/>
        </w:rPr>
        <w:t>Iragui</w:t>
      </w:r>
      <w:proofErr w:type="spellEnd"/>
      <w:r w:rsidR="003D1A31" w:rsidRPr="003D1A31">
        <w:rPr>
          <w:color w:val="000000"/>
          <w:sz w:val="20"/>
          <w:szCs w:val="20"/>
        </w:rPr>
        <w:t xml:space="preserve"> M, et al. Clinical and biomarker changes of Alzheimer's disease in adults with Down syndrome: a cross-sectional study. The Lancet. 2020;395(10242):1988-1997. doi:10.1016/S0140-6736(20)30689-9</w:t>
      </w:r>
    </w:p>
    <w:p w14:paraId="4A2A5E2E" w14:textId="0E854B28" w:rsidR="003D1A31" w:rsidRPr="003D1A31" w:rsidRDefault="003D1A31" w:rsidP="003D1A31">
      <w:pPr>
        <w:spacing w:after="0" w:line="240" w:lineRule="auto"/>
        <w:rPr>
          <w:color w:val="000000"/>
          <w:sz w:val="20"/>
          <w:szCs w:val="20"/>
        </w:rPr>
      </w:pPr>
      <w:r w:rsidRPr="003D1A31">
        <w:rPr>
          <w:color w:val="000000"/>
          <w:sz w:val="20"/>
          <w:szCs w:val="20"/>
        </w:rPr>
        <w:t>2.</w:t>
      </w:r>
      <w:r>
        <w:rPr>
          <w:color w:val="000000"/>
          <w:sz w:val="20"/>
          <w:szCs w:val="20"/>
        </w:rPr>
        <w:t xml:space="preserve"> </w:t>
      </w:r>
      <w:proofErr w:type="spellStart"/>
      <w:r w:rsidRPr="003D1A31">
        <w:rPr>
          <w:color w:val="000000"/>
          <w:sz w:val="20"/>
          <w:szCs w:val="20"/>
        </w:rPr>
        <w:t>Iulita</w:t>
      </w:r>
      <w:proofErr w:type="spellEnd"/>
      <w:r w:rsidRPr="003D1A31">
        <w:rPr>
          <w:color w:val="000000"/>
          <w:sz w:val="20"/>
          <w:szCs w:val="20"/>
        </w:rPr>
        <w:t xml:space="preserve"> MF, Garzón Chavez D, </w:t>
      </w:r>
      <w:proofErr w:type="spellStart"/>
      <w:r w:rsidRPr="003D1A31">
        <w:rPr>
          <w:color w:val="000000"/>
          <w:sz w:val="20"/>
          <w:szCs w:val="20"/>
        </w:rPr>
        <w:t>Klitgaard</w:t>
      </w:r>
      <w:proofErr w:type="spellEnd"/>
      <w:r w:rsidRPr="003D1A31">
        <w:rPr>
          <w:color w:val="000000"/>
          <w:sz w:val="20"/>
          <w:szCs w:val="20"/>
        </w:rPr>
        <w:t xml:space="preserve"> Christensen M, et al. Association of Alzheimer Disease </w:t>
      </w:r>
      <w:proofErr w:type="gramStart"/>
      <w:r w:rsidRPr="003D1A31">
        <w:rPr>
          <w:color w:val="000000"/>
          <w:sz w:val="20"/>
          <w:szCs w:val="20"/>
        </w:rPr>
        <w:t>With</w:t>
      </w:r>
      <w:proofErr w:type="gramEnd"/>
      <w:r w:rsidRPr="003D1A31">
        <w:rPr>
          <w:color w:val="000000"/>
          <w:sz w:val="20"/>
          <w:szCs w:val="20"/>
        </w:rPr>
        <w:t xml:space="preserve"> Life Expectancy in People With Down Syndrome. JAMA Network Open. 2022;5(5</w:t>
      </w:r>
      <w:proofErr w:type="gramStart"/>
      <w:r w:rsidRPr="003D1A31">
        <w:rPr>
          <w:color w:val="000000"/>
          <w:sz w:val="20"/>
          <w:szCs w:val="20"/>
        </w:rPr>
        <w:t>):e</w:t>
      </w:r>
      <w:proofErr w:type="gramEnd"/>
      <w:r w:rsidRPr="003D1A31">
        <w:rPr>
          <w:color w:val="000000"/>
          <w:sz w:val="20"/>
          <w:szCs w:val="20"/>
        </w:rPr>
        <w:t>2212910-e2212910. doi:10.1001/jamanetworkopen.2022.12910</w:t>
      </w:r>
    </w:p>
    <w:p w14:paraId="566BFA6E" w14:textId="7AF75AA6" w:rsidR="003D1A31" w:rsidRPr="003D1A31" w:rsidRDefault="003D1A31" w:rsidP="003D1A31">
      <w:pPr>
        <w:spacing w:after="0" w:line="240" w:lineRule="auto"/>
        <w:rPr>
          <w:color w:val="000000"/>
          <w:sz w:val="20"/>
          <w:szCs w:val="20"/>
        </w:rPr>
      </w:pPr>
      <w:r w:rsidRPr="003D1A31">
        <w:rPr>
          <w:color w:val="000000"/>
          <w:sz w:val="20"/>
          <w:szCs w:val="20"/>
        </w:rPr>
        <w:t>3.</w:t>
      </w:r>
      <w:r>
        <w:rPr>
          <w:color w:val="000000"/>
          <w:sz w:val="20"/>
          <w:szCs w:val="20"/>
        </w:rPr>
        <w:t xml:space="preserve"> </w:t>
      </w:r>
      <w:r w:rsidRPr="003D1A31">
        <w:rPr>
          <w:color w:val="000000"/>
          <w:sz w:val="20"/>
          <w:szCs w:val="20"/>
        </w:rPr>
        <w:t xml:space="preserve">Fleming V, </w:t>
      </w:r>
      <w:proofErr w:type="spellStart"/>
      <w:r w:rsidRPr="003D1A31">
        <w:rPr>
          <w:color w:val="000000"/>
          <w:sz w:val="20"/>
          <w:szCs w:val="20"/>
        </w:rPr>
        <w:t>Piro-Gambetti</w:t>
      </w:r>
      <w:proofErr w:type="spellEnd"/>
      <w:r w:rsidRPr="003D1A31">
        <w:rPr>
          <w:color w:val="000000"/>
          <w:sz w:val="20"/>
          <w:szCs w:val="20"/>
        </w:rPr>
        <w:t xml:space="preserve"> B, Patrick A, et al. Physical </w:t>
      </w:r>
      <w:proofErr w:type="gramStart"/>
      <w:r w:rsidRPr="003D1A31">
        <w:rPr>
          <w:color w:val="000000"/>
          <w:sz w:val="20"/>
          <w:szCs w:val="20"/>
        </w:rPr>
        <w:t>activity</w:t>
      </w:r>
      <w:proofErr w:type="gramEnd"/>
      <w:r w:rsidRPr="003D1A31">
        <w:rPr>
          <w:color w:val="000000"/>
          <w:sz w:val="20"/>
          <w:szCs w:val="20"/>
        </w:rPr>
        <w:t xml:space="preserve"> and cognitive and imaging biomarkers of Alzheimer's disease in Down syndrome. Neurobiology of aging. </w:t>
      </w:r>
      <w:proofErr w:type="gramStart"/>
      <w:r w:rsidRPr="003D1A31">
        <w:rPr>
          <w:color w:val="000000"/>
          <w:sz w:val="20"/>
          <w:szCs w:val="20"/>
        </w:rPr>
        <w:t>2021;107:118</w:t>
      </w:r>
      <w:proofErr w:type="gramEnd"/>
      <w:r w:rsidRPr="003D1A31">
        <w:rPr>
          <w:color w:val="000000"/>
          <w:sz w:val="20"/>
          <w:szCs w:val="20"/>
        </w:rPr>
        <w:t xml:space="preserve">-127. </w:t>
      </w:r>
    </w:p>
    <w:p w14:paraId="07732123" w14:textId="63D4E903" w:rsidR="003D1A31" w:rsidRPr="003D1A31" w:rsidRDefault="003D1A31" w:rsidP="003D1A31">
      <w:pPr>
        <w:spacing w:after="0" w:line="240" w:lineRule="auto"/>
        <w:rPr>
          <w:color w:val="000000"/>
          <w:sz w:val="20"/>
          <w:szCs w:val="20"/>
        </w:rPr>
      </w:pPr>
      <w:r w:rsidRPr="003D1A31">
        <w:rPr>
          <w:color w:val="000000"/>
          <w:sz w:val="20"/>
          <w:szCs w:val="20"/>
        </w:rPr>
        <w:t>4.</w:t>
      </w:r>
      <w:r>
        <w:rPr>
          <w:color w:val="000000"/>
          <w:sz w:val="20"/>
          <w:szCs w:val="20"/>
        </w:rPr>
        <w:t xml:space="preserve"> </w:t>
      </w:r>
      <w:r w:rsidRPr="003D1A31">
        <w:rPr>
          <w:color w:val="000000"/>
          <w:sz w:val="20"/>
          <w:szCs w:val="20"/>
        </w:rPr>
        <w:t xml:space="preserve">Edwards III GA, </w:t>
      </w:r>
      <w:proofErr w:type="spellStart"/>
      <w:r w:rsidRPr="003D1A31">
        <w:rPr>
          <w:color w:val="000000"/>
          <w:sz w:val="20"/>
          <w:szCs w:val="20"/>
        </w:rPr>
        <w:t>Gamez</w:t>
      </w:r>
      <w:proofErr w:type="spellEnd"/>
      <w:r w:rsidRPr="003D1A31">
        <w:rPr>
          <w:color w:val="000000"/>
          <w:sz w:val="20"/>
          <w:szCs w:val="20"/>
        </w:rPr>
        <w:t xml:space="preserve"> N, Escobedo Jr G, Calderon O, Moreno-Gonzalez I. Modifiable risk factors for Alzheimer’s disease. Frontiers in aging neuroscience. </w:t>
      </w:r>
      <w:proofErr w:type="gramStart"/>
      <w:r w:rsidRPr="003D1A31">
        <w:rPr>
          <w:color w:val="000000"/>
          <w:sz w:val="20"/>
          <w:szCs w:val="20"/>
        </w:rPr>
        <w:t>2019;11:146</w:t>
      </w:r>
      <w:proofErr w:type="gramEnd"/>
      <w:r w:rsidRPr="003D1A31">
        <w:rPr>
          <w:color w:val="000000"/>
          <w:sz w:val="20"/>
          <w:szCs w:val="20"/>
        </w:rPr>
        <w:t xml:space="preserve">. </w:t>
      </w:r>
    </w:p>
    <w:p w14:paraId="66CAE0A7" w14:textId="53B62F86" w:rsidR="003D1A31" w:rsidRPr="003D1A31" w:rsidRDefault="003D1A31" w:rsidP="003D1A31">
      <w:pPr>
        <w:spacing w:after="0" w:line="240" w:lineRule="auto"/>
        <w:rPr>
          <w:color w:val="000000"/>
          <w:sz w:val="20"/>
          <w:szCs w:val="20"/>
        </w:rPr>
      </w:pPr>
      <w:r w:rsidRPr="003D1A31">
        <w:rPr>
          <w:color w:val="000000"/>
          <w:sz w:val="20"/>
          <w:szCs w:val="20"/>
        </w:rPr>
        <w:t>5.</w:t>
      </w:r>
      <w:r>
        <w:rPr>
          <w:color w:val="000000"/>
          <w:sz w:val="20"/>
          <w:szCs w:val="20"/>
        </w:rPr>
        <w:t xml:space="preserve"> </w:t>
      </w:r>
      <w:r w:rsidRPr="003D1A31">
        <w:rPr>
          <w:color w:val="000000"/>
          <w:sz w:val="20"/>
          <w:szCs w:val="20"/>
        </w:rPr>
        <w:t xml:space="preserve">Ortega FB, Ruiz JR, </w:t>
      </w:r>
      <w:proofErr w:type="spellStart"/>
      <w:r w:rsidRPr="003D1A31">
        <w:rPr>
          <w:color w:val="000000"/>
          <w:sz w:val="20"/>
          <w:szCs w:val="20"/>
        </w:rPr>
        <w:t>Labayen</w:t>
      </w:r>
      <w:proofErr w:type="spellEnd"/>
      <w:r w:rsidRPr="003D1A31">
        <w:rPr>
          <w:color w:val="000000"/>
          <w:sz w:val="20"/>
          <w:szCs w:val="20"/>
        </w:rPr>
        <w:t xml:space="preserve"> I, </w:t>
      </w:r>
      <w:proofErr w:type="spellStart"/>
      <w:r w:rsidRPr="003D1A31">
        <w:rPr>
          <w:color w:val="000000"/>
          <w:sz w:val="20"/>
          <w:szCs w:val="20"/>
        </w:rPr>
        <w:t>Lavie</w:t>
      </w:r>
      <w:proofErr w:type="spellEnd"/>
      <w:r w:rsidRPr="003D1A31">
        <w:rPr>
          <w:color w:val="000000"/>
          <w:sz w:val="20"/>
          <w:szCs w:val="20"/>
        </w:rPr>
        <w:t xml:space="preserve"> CJ, Blair SN. The Fat but Fit paradox: what we know and don’t know about it. BMJ Publishing Group Ltd and British Association of Sport and Exercise Medicine; 2018. p. 151-153.</w:t>
      </w:r>
    </w:p>
    <w:p w14:paraId="1EEC08F1" w14:textId="77777777" w:rsidR="003D1A31" w:rsidRDefault="003D1A31" w:rsidP="003D1A31">
      <w:pPr>
        <w:pStyle w:val="FootnoteText"/>
        <w:rPr>
          <w:rFonts w:asciiTheme="minorHAnsi" w:hAnsiTheme="minorHAnsi" w:cstheme="minorHAnsi"/>
        </w:rPr>
      </w:pPr>
    </w:p>
    <w:p w14:paraId="35B2AD85" w14:textId="4235A447" w:rsidR="003D1A31" w:rsidRPr="00A904ED" w:rsidRDefault="003D1A31" w:rsidP="003D1A31">
      <w:pPr>
        <w:pStyle w:val="FootnoteText"/>
        <w:rPr>
          <w:rFonts w:asciiTheme="minorHAnsi" w:hAnsiTheme="minorHAnsi" w:cstheme="minorHAnsi"/>
          <w:lang w:val="en-CA"/>
        </w:rPr>
      </w:pPr>
      <w:r w:rsidRPr="00A904ED">
        <w:rPr>
          <w:rStyle w:val="FootnoteReference"/>
          <w:rFonts w:asciiTheme="minorHAnsi" w:hAnsiTheme="minorHAnsi" w:cstheme="minorHAnsi"/>
        </w:rPr>
        <w:footnoteRef/>
      </w:r>
      <w:r w:rsidRPr="00A904ED">
        <w:rPr>
          <w:rFonts w:asciiTheme="minorHAnsi" w:hAnsiTheme="minorHAnsi" w:cstheme="minorHAnsi"/>
        </w:rPr>
        <w:t xml:space="preserve"> </w:t>
      </w:r>
      <w:r>
        <w:rPr>
          <w:rFonts w:asciiTheme="minorHAnsi" w:hAnsiTheme="minorHAnsi" w:cstheme="minorHAnsi"/>
          <w:lang w:val="en-CA"/>
        </w:rPr>
        <w:t xml:space="preserve">University of Kansas Medical Center </w:t>
      </w:r>
    </w:p>
    <w:p w14:paraId="7AC5037A" w14:textId="1E3452BD" w:rsidR="001C735E" w:rsidRPr="00A91791" w:rsidRDefault="003D1A31" w:rsidP="00A91791">
      <w:pPr>
        <w:pStyle w:val="FootnoteText"/>
        <w:rPr>
          <w:rFonts w:asciiTheme="minorHAnsi" w:hAnsiTheme="minorHAnsi" w:cstheme="minorHAnsi"/>
          <w:lang w:val="en-CA"/>
        </w:rPr>
      </w:pPr>
      <w:r w:rsidRPr="00A904ED">
        <w:rPr>
          <w:rStyle w:val="FootnoteReference"/>
          <w:rFonts w:asciiTheme="minorHAnsi" w:hAnsiTheme="minorHAnsi" w:cstheme="minorHAnsi"/>
        </w:rPr>
        <w:t>2</w:t>
      </w:r>
      <w:r w:rsidRPr="00A904ED">
        <w:rPr>
          <w:rFonts w:asciiTheme="minorHAnsi" w:hAnsiTheme="minorHAnsi" w:cstheme="minorHAnsi"/>
        </w:rPr>
        <w:t xml:space="preserve"> </w:t>
      </w:r>
      <w:r>
        <w:rPr>
          <w:rFonts w:asciiTheme="minorHAnsi" w:hAnsiTheme="minorHAnsi" w:cstheme="minorHAnsi"/>
          <w:lang w:val="en-CA"/>
        </w:rPr>
        <w:t>University of Wisconsin, Madison</w:t>
      </w:r>
    </w:p>
    <w:sectPr w:rsidR="001C735E" w:rsidRPr="00A91791"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833D" w14:textId="77777777" w:rsidR="00985442" w:rsidRDefault="00985442" w:rsidP="00A16498">
      <w:pPr>
        <w:spacing w:after="0" w:line="240" w:lineRule="auto"/>
      </w:pPr>
      <w:r>
        <w:separator/>
      </w:r>
    </w:p>
  </w:endnote>
  <w:endnote w:type="continuationSeparator" w:id="0">
    <w:p w14:paraId="2C1A8902" w14:textId="77777777" w:rsidR="00985442" w:rsidRDefault="00985442"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3B13" w14:textId="77777777" w:rsidR="00985442" w:rsidRDefault="00985442" w:rsidP="00A16498">
      <w:pPr>
        <w:spacing w:after="0" w:line="240" w:lineRule="auto"/>
      </w:pPr>
      <w:r>
        <w:separator/>
      </w:r>
    </w:p>
  </w:footnote>
  <w:footnote w:type="continuationSeparator" w:id="0">
    <w:p w14:paraId="6792A6FD" w14:textId="77777777" w:rsidR="00985442" w:rsidRDefault="00985442"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869F2"/>
    <w:rsid w:val="000C47BA"/>
    <w:rsid w:val="000D0162"/>
    <w:rsid w:val="000E5D80"/>
    <w:rsid w:val="000F6096"/>
    <w:rsid w:val="001A191F"/>
    <w:rsid w:val="001C5EBF"/>
    <w:rsid w:val="001C735E"/>
    <w:rsid w:val="00210AB0"/>
    <w:rsid w:val="00226854"/>
    <w:rsid w:val="00244C29"/>
    <w:rsid w:val="00266275"/>
    <w:rsid w:val="002872AA"/>
    <w:rsid w:val="002C5604"/>
    <w:rsid w:val="00300310"/>
    <w:rsid w:val="00312417"/>
    <w:rsid w:val="00314536"/>
    <w:rsid w:val="00316B3B"/>
    <w:rsid w:val="0032171F"/>
    <w:rsid w:val="003219B1"/>
    <w:rsid w:val="00324E6F"/>
    <w:rsid w:val="0033415B"/>
    <w:rsid w:val="0035521D"/>
    <w:rsid w:val="00394E2C"/>
    <w:rsid w:val="003B0285"/>
    <w:rsid w:val="003C2A0A"/>
    <w:rsid w:val="003C4D59"/>
    <w:rsid w:val="003D1A31"/>
    <w:rsid w:val="003D61FA"/>
    <w:rsid w:val="003D6244"/>
    <w:rsid w:val="003E0B1A"/>
    <w:rsid w:val="003F558A"/>
    <w:rsid w:val="00412A17"/>
    <w:rsid w:val="00444D82"/>
    <w:rsid w:val="004473AC"/>
    <w:rsid w:val="00452576"/>
    <w:rsid w:val="0045428A"/>
    <w:rsid w:val="004C4504"/>
    <w:rsid w:val="00550360"/>
    <w:rsid w:val="00577DC4"/>
    <w:rsid w:val="0059045E"/>
    <w:rsid w:val="0059601C"/>
    <w:rsid w:val="005E73B2"/>
    <w:rsid w:val="005F1432"/>
    <w:rsid w:val="005F3158"/>
    <w:rsid w:val="00625543"/>
    <w:rsid w:val="006535AF"/>
    <w:rsid w:val="006637E7"/>
    <w:rsid w:val="0069448E"/>
    <w:rsid w:val="006C05DD"/>
    <w:rsid w:val="00734E75"/>
    <w:rsid w:val="00751FEE"/>
    <w:rsid w:val="007722E4"/>
    <w:rsid w:val="0077649B"/>
    <w:rsid w:val="00777D73"/>
    <w:rsid w:val="007A6602"/>
    <w:rsid w:val="007B4CE7"/>
    <w:rsid w:val="00801D2A"/>
    <w:rsid w:val="00817FE3"/>
    <w:rsid w:val="008449DE"/>
    <w:rsid w:val="0087492A"/>
    <w:rsid w:val="008938D8"/>
    <w:rsid w:val="008D1303"/>
    <w:rsid w:val="00930167"/>
    <w:rsid w:val="009462E3"/>
    <w:rsid w:val="00985442"/>
    <w:rsid w:val="009B1DAB"/>
    <w:rsid w:val="009E1B56"/>
    <w:rsid w:val="00A16498"/>
    <w:rsid w:val="00A91791"/>
    <w:rsid w:val="00AB7B37"/>
    <w:rsid w:val="00AE4ADB"/>
    <w:rsid w:val="00B226B4"/>
    <w:rsid w:val="00B71AFF"/>
    <w:rsid w:val="00BA2D2D"/>
    <w:rsid w:val="00BD4FBD"/>
    <w:rsid w:val="00C6243D"/>
    <w:rsid w:val="00C80718"/>
    <w:rsid w:val="00CC62DA"/>
    <w:rsid w:val="00CF3CDF"/>
    <w:rsid w:val="00D46241"/>
    <w:rsid w:val="00D60D08"/>
    <w:rsid w:val="00DB4EBD"/>
    <w:rsid w:val="00DC15FA"/>
    <w:rsid w:val="00E15391"/>
    <w:rsid w:val="00E252AD"/>
    <w:rsid w:val="00E34365"/>
    <w:rsid w:val="00EC1345"/>
    <w:rsid w:val="00EE37BF"/>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table" w:styleId="TableGrid">
    <w:name w:val="Table Grid"/>
    <w:basedOn w:val="TableNormal"/>
    <w:uiPriority w:val="59"/>
    <w:rsid w:val="003D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1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Julianne Clina</cp:lastModifiedBy>
  <cp:revision>30</cp:revision>
  <dcterms:created xsi:type="dcterms:W3CDTF">2024-10-24T14:29:00Z</dcterms:created>
  <dcterms:modified xsi:type="dcterms:W3CDTF">2024-10-24T15:11:00Z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