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3B9FC8CD" w:rsidR="003D6244" w:rsidRPr="00D90C9E" w:rsidRDefault="003D6244" w:rsidP="003D6244">
      <w:r w:rsidRPr="009E00A7">
        <w:rPr>
          <w:b/>
          <w:sz w:val="20"/>
          <w:szCs w:val="20"/>
        </w:rPr>
        <w:t>Title</w:t>
      </w:r>
      <w:r w:rsidRPr="009E00A7">
        <w:rPr>
          <w:sz w:val="20"/>
          <w:szCs w:val="20"/>
        </w:rPr>
        <w:t xml:space="preserve">: </w:t>
      </w:r>
      <w:r w:rsidR="00D90C9E" w:rsidRPr="00D90C9E">
        <w:rPr>
          <w:sz w:val="20"/>
          <w:szCs w:val="20"/>
        </w:rPr>
        <w:t>Predictors of Paid Employment for Autistic Young Adult</w:t>
      </w:r>
      <w:r w:rsidR="00267B8E">
        <w:rPr>
          <w:sz w:val="20"/>
          <w:szCs w:val="20"/>
        </w:rPr>
        <w:t>s</w:t>
      </w:r>
    </w:p>
    <w:p w14:paraId="7AC50371" w14:textId="30DA5BEF"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D90C9E">
        <w:rPr>
          <w:sz w:val="20"/>
          <w:szCs w:val="20"/>
        </w:rPr>
        <w:t>Giselle B. Salinas</w:t>
      </w:r>
      <w:r w:rsidRPr="009E00A7">
        <w:rPr>
          <w:sz w:val="20"/>
          <w:szCs w:val="20"/>
        </w:rPr>
        <w:t>,</w:t>
      </w:r>
      <w:r w:rsidR="00267F62">
        <w:rPr>
          <w:sz w:val="20"/>
          <w:szCs w:val="20"/>
        </w:rPr>
        <w:t xml:space="preserve"> </w:t>
      </w:r>
      <w:r w:rsidR="00D90C9E">
        <w:rPr>
          <w:sz w:val="20"/>
          <w:szCs w:val="20"/>
        </w:rPr>
        <w:t>Ph.D.</w:t>
      </w:r>
      <w:r w:rsidR="00D90C9E">
        <w:rPr>
          <w:sz w:val="20"/>
          <w:szCs w:val="20"/>
          <w:vertAlign w:val="superscript"/>
        </w:rPr>
        <w:t>1</w:t>
      </w:r>
      <w:r w:rsidR="00D90C9E">
        <w:rPr>
          <w:sz w:val="20"/>
          <w:szCs w:val="20"/>
        </w:rPr>
        <w:t>, James Yang, Ph.D.</w:t>
      </w:r>
      <w:r w:rsidR="00D90C9E">
        <w:rPr>
          <w:sz w:val="20"/>
          <w:szCs w:val="20"/>
          <w:vertAlign w:val="superscript"/>
        </w:rPr>
        <w:t>1</w:t>
      </w:r>
      <w:r w:rsidR="00D90C9E">
        <w:rPr>
          <w:sz w:val="20"/>
          <w:szCs w:val="20"/>
        </w:rPr>
        <w:t>, Christine Moody, Ph.D.</w:t>
      </w:r>
      <w:r w:rsidR="00D90C9E">
        <w:rPr>
          <w:sz w:val="20"/>
          <w:szCs w:val="20"/>
          <w:vertAlign w:val="superscript"/>
        </w:rPr>
        <w:t>1</w:t>
      </w:r>
      <w:r w:rsidR="00D90C9E">
        <w:rPr>
          <w:sz w:val="20"/>
          <w:szCs w:val="20"/>
        </w:rPr>
        <w:t xml:space="preserve">, Amanda </w:t>
      </w:r>
      <w:proofErr w:type="spellStart"/>
      <w:r w:rsidR="00D90C9E">
        <w:rPr>
          <w:sz w:val="20"/>
          <w:szCs w:val="20"/>
        </w:rPr>
        <w:t>Gulsrud</w:t>
      </w:r>
      <w:proofErr w:type="spellEnd"/>
      <w:r w:rsidR="00D90C9E">
        <w:rPr>
          <w:sz w:val="20"/>
          <w:szCs w:val="20"/>
        </w:rPr>
        <w:t>, Ph.D.</w:t>
      </w:r>
      <w:r w:rsidR="00D90C9E">
        <w:rPr>
          <w:sz w:val="20"/>
          <w:szCs w:val="20"/>
          <w:vertAlign w:val="superscript"/>
        </w:rPr>
        <w:t>1</w:t>
      </w:r>
      <w:r w:rsidR="00D90C9E">
        <w:rPr>
          <w:sz w:val="20"/>
          <w:szCs w:val="20"/>
        </w:rPr>
        <w:t>, &amp; Elizabeth Laugeson, Psy.D.</w:t>
      </w:r>
      <w:r w:rsidR="00D90C9E">
        <w:rPr>
          <w:sz w:val="20"/>
          <w:szCs w:val="20"/>
          <w:vertAlign w:val="superscript"/>
        </w:rPr>
        <w:t>1</w:t>
      </w:r>
    </w:p>
    <w:p w14:paraId="28BE6144" w14:textId="4F6BC03A" w:rsidR="00FB2D86" w:rsidRDefault="003D6244" w:rsidP="003D6244">
      <w:pPr>
        <w:rPr>
          <w:iCs/>
          <w:color w:val="000000"/>
          <w:sz w:val="20"/>
          <w:szCs w:val="20"/>
        </w:rPr>
      </w:pPr>
      <w:r w:rsidRPr="009E00A7">
        <w:rPr>
          <w:b/>
          <w:sz w:val="20"/>
          <w:szCs w:val="20"/>
        </w:rPr>
        <w:t>Introduction</w:t>
      </w:r>
      <w:r w:rsidRPr="009E00A7">
        <w:rPr>
          <w:sz w:val="20"/>
          <w:szCs w:val="20"/>
        </w:rPr>
        <w:t xml:space="preserve">: </w:t>
      </w:r>
      <w:r w:rsidR="00131EA0" w:rsidRPr="00131EA0">
        <w:rPr>
          <w:iCs/>
          <w:color w:val="000000"/>
          <w:sz w:val="20"/>
          <w:szCs w:val="20"/>
        </w:rPr>
        <w:t xml:space="preserve">Prior research has identified the challenges in </w:t>
      </w:r>
      <w:r w:rsidR="006A556B">
        <w:rPr>
          <w:iCs/>
          <w:color w:val="000000"/>
          <w:sz w:val="20"/>
          <w:szCs w:val="20"/>
        </w:rPr>
        <w:t>obtaining</w:t>
      </w:r>
      <w:r w:rsidR="00131EA0" w:rsidRPr="00131EA0">
        <w:rPr>
          <w:iCs/>
          <w:color w:val="000000"/>
          <w:sz w:val="20"/>
          <w:szCs w:val="20"/>
        </w:rPr>
        <w:t xml:space="preserve"> paid employment for autistic young adults. </w:t>
      </w:r>
      <w:r w:rsidR="00C232BD" w:rsidRPr="00C232BD">
        <w:rPr>
          <w:iCs/>
          <w:color w:val="000000"/>
          <w:sz w:val="20"/>
          <w:szCs w:val="20"/>
        </w:rPr>
        <w:t>Paid employment, regardless of wage level, often serves as a source of identity and inclusion for autistic adults. However, many autistic individuals have historically earned significantly lower wages compared to non-autistic adults, impacting their financial independence (Gerhardt et al., 2014).</w:t>
      </w:r>
      <w:r w:rsidR="00C232BD">
        <w:rPr>
          <w:iCs/>
          <w:color w:val="000000"/>
          <w:sz w:val="20"/>
          <w:szCs w:val="20"/>
        </w:rPr>
        <w:t xml:space="preserve"> </w:t>
      </w:r>
      <w:r w:rsidR="00131EA0" w:rsidRPr="00131EA0">
        <w:rPr>
          <w:iCs/>
          <w:color w:val="000000"/>
          <w:sz w:val="20"/>
          <w:szCs w:val="20"/>
        </w:rPr>
        <w:t xml:space="preserve">Research has </w:t>
      </w:r>
      <w:r w:rsidR="00FB2D86">
        <w:rPr>
          <w:iCs/>
          <w:color w:val="000000"/>
          <w:sz w:val="20"/>
          <w:szCs w:val="20"/>
        </w:rPr>
        <w:t>primarily focused on stable</w:t>
      </w:r>
      <w:r w:rsidR="00FB2D86" w:rsidRPr="00131EA0">
        <w:rPr>
          <w:iCs/>
          <w:color w:val="000000"/>
          <w:sz w:val="20"/>
          <w:szCs w:val="20"/>
        </w:rPr>
        <w:t xml:space="preserve"> </w:t>
      </w:r>
      <w:r w:rsidR="00131EA0" w:rsidRPr="00131EA0">
        <w:rPr>
          <w:iCs/>
          <w:color w:val="000000"/>
          <w:sz w:val="20"/>
          <w:szCs w:val="20"/>
        </w:rPr>
        <w:t xml:space="preserve">individual factors </w:t>
      </w:r>
      <w:r w:rsidR="006A556B">
        <w:rPr>
          <w:iCs/>
          <w:color w:val="000000"/>
          <w:sz w:val="20"/>
          <w:szCs w:val="20"/>
        </w:rPr>
        <w:t>s</w:t>
      </w:r>
      <w:r w:rsidR="00131EA0" w:rsidRPr="00131EA0">
        <w:rPr>
          <w:iCs/>
          <w:color w:val="000000"/>
          <w:sz w:val="20"/>
          <w:szCs w:val="20"/>
        </w:rPr>
        <w:t>uch as age</w:t>
      </w:r>
      <w:r w:rsidR="00A8594A">
        <w:rPr>
          <w:iCs/>
          <w:color w:val="000000"/>
          <w:sz w:val="20"/>
          <w:szCs w:val="20"/>
        </w:rPr>
        <w:t xml:space="preserve"> (</w:t>
      </w:r>
      <w:r w:rsidR="00D90DDE">
        <w:rPr>
          <w:iCs/>
          <w:color w:val="000000"/>
          <w:sz w:val="20"/>
          <w:szCs w:val="20"/>
        </w:rPr>
        <w:t xml:space="preserve">being </w:t>
      </w:r>
      <w:r w:rsidR="00A8594A">
        <w:rPr>
          <w:iCs/>
          <w:color w:val="000000"/>
          <w:sz w:val="20"/>
          <w:szCs w:val="20"/>
        </w:rPr>
        <w:t>older)</w:t>
      </w:r>
      <w:r w:rsidR="00131EA0" w:rsidRPr="00131EA0">
        <w:rPr>
          <w:iCs/>
          <w:color w:val="000000"/>
          <w:sz w:val="20"/>
          <w:szCs w:val="20"/>
        </w:rPr>
        <w:t>, gender</w:t>
      </w:r>
      <w:r w:rsidR="00D90DDE">
        <w:rPr>
          <w:iCs/>
          <w:color w:val="000000"/>
          <w:sz w:val="20"/>
          <w:szCs w:val="20"/>
        </w:rPr>
        <w:t xml:space="preserve"> (being male)</w:t>
      </w:r>
      <w:r w:rsidR="00131EA0" w:rsidRPr="00131EA0">
        <w:rPr>
          <w:iCs/>
          <w:color w:val="000000"/>
          <w:sz w:val="20"/>
          <w:szCs w:val="20"/>
        </w:rPr>
        <w:t>, race/ethnicity</w:t>
      </w:r>
      <w:r w:rsidR="00D90DDE">
        <w:rPr>
          <w:iCs/>
          <w:color w:val="000000"/>
          <w:sz w:val="20"/>
          <w:szCs w:val="20"/>
        </w:rPr>
        <w:t xml:space="preserve"> (being White)</w:t>
      </w:r>
      <w:r w:rsidR="00131EA0" w:rsidRPr="00131EA0">
        <w:rPr>
          <w:iCs/>
          <w:color w:val="000000"/>
          <w:sz w:val="20"/>
          <w:szCs w:val="20"/>
        </w:rPr>
        <w:t xml:space="preserve">, and </w:t>
      </w:r>
      <w:r w:rsidR="00D90DDE">
        <w:rPr>
          <w:iCs/>
          <w:color w:val="000000"/>
          <w:sz w:val="20"/>
          <w:szCs w:val="20"/>
        </w:rPr>
        <w:t xml:space="preserve">higher </w:t>
      </w:r>
      <w:r w:rsidR="00131EA0" w:rsidRPr="00131EA0">
        <w:rPr>
          <w:iCs/>
          <w:color w:val="000000"/>
          <w:sz w:val="20"/>
          <w:szCs w:val="20"/>
        </w:rPr>
        <w:t xml:space="preserve">cognitive ability </w:t>
      </w:r>
      <w:r w:rsidR="00A8594A">
        <w:rPr>
          <w:iCs/>
          <w:color w:val="000000"/>
          <w:sz w:val="20"/>
          <w:szCs w:val="20"/>
        </w:rPr>
        <w:t xml:space="preserve">as predictors of employment </w:t>
      </w:r>
      <w:r w:rsidR="00131EA0" w:rsidRPr="00131EA0">
        <w:rPr>
          <w:iCs/>
          <w:color w:val="000000"/>
          <w:sz w:val="20"/>
          <w:szCs w:val="20"/>
        </w:rPr>
        <w:t>(</w:t>
      </w:r>
      <w:r w:rsidR="00D90DDE">
        <w:rPr>
          <w:iCs/>
          <w:color w:val="000000"/>
          <w:sz w:val="20"/>
          <w:szCs w:val="20"/>
        </w:rPr>
        <w:t xml:space="preserve">e.g., Eilenberg et al., 2019; </w:t>
      </w:r>
      <w:proofErr w:type="spellStart"/>
      <w:r w:rsidR="00D90DDE">
        <w:rPr>
          <w:iCs/>
          <w:color w:val="000000"/>
          <w:sz w:val="20"/>
          <w:szCs w:val="20"/>
        </w:rPr>
        <w:t>Schall</w:t>
      </w:r>
      <w:proofErr w:type="spellEnd"/>
      <w:r w:rsidR="00D90DDE">
        <w:rPr>
          <w:iCs/>
          <w:color w:val="000000"/>
          <w:sz w:val="20"/>
          <w:szCs w:val="20"/>
        </w:rPr>
        <w:t xml:space="preserve"> et al., 2014</w:t>
      </w:r>
      <w:r w:rsidR="00131EA0" w:rsidRPr="00131EA0">
        <w:rPr>
          <w:iCs/>
          <w:color w:val="000000"/>
          <w:sz w:val="20"/>
          <w:szCs w:val="20"/>
        </w:rPr>
        <w:t xml:space="preserve">). </w:t>
      </w:r>
      <w:r w:rsidR="00FB2D86" w:rsidRPr="00FB2D86">
        <w:rPr>
          <w:iCs/>
          <w:color w:val="000000"/>
          <w:sz w:val="20"/>
          <w:szCs w:val="20"/>
        </w:rPr>
        <w:t>While these factors offer important insights, they are largely inherent characteristics that cannot be changed. This highlights the need to explore skills-based factors, such as executive functioning and employment-related social skills, which can be improved through interventions and may directly affect workplace success for autistic individuals.</w:t>
      </w:r>
      <w:r w:rsidR="00FB2D86">
        <w:rPr>
          <w:iCs/>
          <w:color w:val="000000"/>
          <w:sz w:val="20"/>
          <w:szCs w:val="20"/>
        </w:rPr>
        <w:t xml:space="preserve"> </w:t>
      </w:r>
      <w:r w:rsidR="00FB2D86" w:rsidRPr="00FB2D86">
        <w:rPr>
          <w:iCs/>
          <w:color w:val="000000"/>
          <w:sz w:val="20"/>
          <w:szCs w:val="20"/>
        </w:rPr>
        <w:t>Given these considerations, this study aims to examine both demographic factors and skills-based predictors of paid employment experiences in autistic young adults.</w:t>
      </w:r>
    </w:p>
    <w:p w14:paraId="7425C59C" w14:textId="5EE45378" w:rsidR="00131EA0" w:rsidRDefault="003D6244" w:rsidP="003D6244">
      <w:pPr>
        <w:rPr>
          <w:color w:val="000000"/>
          <w:sz w:val="20"/>
          <w:szCs w:val="20"/>
        </w:rPr>
      </w:pPr>
      <w:r>
        <w:rPr>
          <w:b/>
          <w:color w:val="000000"/>
          <w:sz w:val="20"/>
          <w:szCs w:val="20"/>
          <w:lang w:val="en-GB"/>
        </w:rPr>
        <w:t>Method</w:t>
      </w:r>
      <w:r>
        <w:rPr>
          <w:color w:val="000000"/>
          <w:sz w:val="20"/>
          <w:szCs w:val="20"/>
          <w:lang w:val="en-GB"/>
        </w:rPr>
        <w:t xml:space="preserve">: </w:t>
      </w:r>
      <w:r w:rsidR="00131EA0" w:rsidRPr="00131EA0">
        <w:rPr>
          <w:color w:val="000000"/>
          <w:sz w:val="20"/>
          <w:szCs w:val="20"/>
        </w:rPr>
        <w:t xml:space="preserve">Data was collected at baseline to determine eligibility for </w:t>
      </w:r>
      <w:r w:rsidR="00911B00">
        <w:rPr>
          <w:color w:val="000000"/>
          <w:sz w:val="20"/>
          <w:szCs w:val="20"/>
        </w:rPr>
        <w:t xml:space="preserve">a randomized controlled trial examining the efficacy of </w:t>
      </w:r>
      <w:r w:rsidR="00131EA0" w:rsidRPr="00131EA0">
        <w:rPr>
          <w:color w:val="000000"/>
          <w:sz w:val="20"/>
          <w:szCs w:val="20"/>
        </w:rPr>
        <w:t xml:space="preserve">a </w:t>
      </w:r>
      <w:r w:rsidR="00FB3DA7">
        <w:rPr>
          <w:color w:val="000000"/>
          <w:sz w:val="20"/>
          <w:szCs w:val="20"/>
        </w:rPr>
        <w:t>20</w:t>
      </w:r>
      <w:r w:rsidR="00131EA0" w:rsidRPr="00131EA0">
        <w:rPr>
          <w:color w:val="000000"/>
          <w:sz w:val="20"/>
          <w:szCs w:val="20"/>
        </w:rPr>
        <w:t xml:space="preserve">-week employment social skills program, PEERS® for Careers, which focuses on teaching employment-related soft skills </w:t>
      </w:r>
      <w:r w:rsidR="00FB3DA7">
        <w:rPr>
          <w:color w:val="000000"/>
          <w:sz w:val="20"/>
          <w:szCs w:val="20"/>
        </w:rPr>
        <w:t xml:space="preserve">(e.g., </w:t>
      </w:r>
      <w:r w:rsidR="00131EA0" w:rsidRPr="00131EA0">
        <w:rPr>
          <w:color w:val="000000"/>
          <w:sz w:val="20"/>
          <w:szCs w:val="20"/>
        </w:rPr>
        <w:t>resume writing</w:t>
      </w:r>
      <w:r w:rsidR="00FB3DA7">
        <w:rPr>
          <w:color w:val="000000"/>
          <w:sz w:val="20"/>
          <w:szCs w:val="20"/>
        </w:rPr>
        <w:t xml:space="preserve">, </w:t>
      </w:r>
      <w:r w:rsidR="00131EA0" w:rsidRPr="00131EA0">
        <w:rPr>
          <w:color w:val="000000"/>
          <w:sz w:val="20"/>
          <w:szCs w:val="20"/>
        </w:rPr>
        <w:t>interview</w:t>
      </w:r>
      <w:r w:rsidR="00FB3DA7">
        <w:rPr>
          <w:color w:val="000000"/>
          <w:sz w:val="20"/>
          <w:szCs w:val="20"/>
        </w:rPr>
        <w:t>ing skills, requesting accommodations)</w:t>
      </w:r>
      <w:r w:rsidR="00131EA0" w:rsidRPr="00131EA0">
        <w:rPr>
          <w:color w:val="000000"/>
          <w:sz w:val="20"/>
          <w:szCs w:val="20"/>
        </w:rPr>
        <w:t>.</w:t>
      </w:r>
      <w:r w:rsidR="00131EA0">
        <w:rPr>
          <w:color w:val="000000"/>
          <w:sz w:val="20"/>
          <w:szCs w:val="20"/>
        </w:rPr>
        <w:t xml:space="preserve"> </w:t>
      </w:r>
      <w:r w:rsidR="00131EA0" w:rsidRPr="00131EA0">
        <w:rPr>
          <w:color w:val="000000"/>
          <w:sz w:val="20"/>
          <w:szCs w:val="20"/>
        </w:rPr>
        <w:t>Demographic data</w:t>
      </w:r>
      <w:r w:rsidR="00131EA0">
        <w:rPr>
          <w:color w:val="000000"/>
          <w:sz w:val="20"/>
          <w:szCs w:val="20"/>
        </w:rPr>
        <w:t xml:space="preserve"> </w:t>
      </w:r>
      <w:r w:rsidR="00131EA0" w:rsidRPr="00131EA0">
        <w:rPr>
          <w:color w:val="000000"/>
          <w:sz w:val="20"/>
          <w:szCs w:val="20"/>
        </w:rPr>
        <w:t>such as gender</w:t>
      </w:r>
      <w:r w:rsidR="00131EA0">
        <w:rPr>
          <w:color w:val="000000"/>
          <w:sz w:val="20"/>
          <w:szCs w:val="20"/>
        </w:rPr>
        <w:t xml:space="preserve"> and </w:t>
      </w:r>
      <w:r w:rsidR="00131EA0" w:rsidRPr="00131EA0">
        <w:rPr>
          <w:color w:val="000000"/>
          <w:sz w:val="20"/>
          <w:szCs w:val="20"/>
        </w:rPr>
        <w:t>rac</w:t>
      </w:r>
      <w:r w:rsidR="00131EA0">
        <w:rPr>
          <w:color w:val="000000"/>
          <w:sz w:val="20"/>
          <w:szCs w:val="20"/>
        </w:rPr>
        <w:t>e/</w:t>
      </w:r>
      <w:r w:rsidR="00131EA0" w:rsidRPr="00131EA0">
        <w:rPr>
          <w:color w:val="000000"/>
          <w:sz w:val="20"/>
          <w:szCs w:val="20"/>
        </w:rPr>
        <w:t>ethnicity</w:t>
      </w:r>
      <w:r w:rsidR="00131EA0">
        <w:rPr>
          <w:color w:val="000000"/>
          <w:sz w:val="20"/>
          <w:szCs w:val="20"/>
        </w:rPr>
        <w:t xml:space="preserve"> </w:t>
      </w:r>
      <w:r w:rsidR="00F93E94" w:rsidRPr="00131EA0">
        <w:rPr>
          <w:color w:val="000000"/>
          <w:sz w:val="20"/>
          <w:szCs w:val="20"/>
        </w:rPr>
        <w:t>were</w:t>
      </w:r>
      <w:r w:rsidR="00131EA0" w:rsidRPr="00131EA0">
        <w:rPr>
          <w:color w:val="000000"/>
          <w:sz w:val="20"/>
          <w:szCs w:val="20"/>
        </w:rPr>
        <w:t xml:space="preserve"> </w:t>
      </w:r>
      <w:r w:rsidR="00131EA0">
        <w:rPr>
          <w:color w:val="000000"/>
          <w:sz w:val="20"/>
          <w:szCs w:val="20"/>
        </w:rPr>
        <w:t>gathered</w:t>
      </w:r>
      <w:r w:rsidR="00131EA0" w:rsidRPr="00131EA0">
        <w:rPr>
          <w:color w:val="000000"/>
          <w:sz w:val="20"/>
          <w:szCs w:val="20"/>
        </w:rPr>
        <w:t>. The Wechsler Abbreviated Scales of Intelligence, 2nd edition (Wechsler, 2011) was used to estimate full-scale IQ</w:t>
      </w:r>
      <w:r w:rsidR="004C2C2C">
        <w:rPr>
          <w:color w:val="000000"/>
          <w:sz w:val="20"/>
          <w:szCs w:val="20"/>
        </w:rPr>
        <w:t xml:space="preserve"> (FSIQ)</w:t>
      </w:r>
      <w:r w:rsidR="00FB3DA7">
        <w:rPr>
          <w:color w:val="000000"/>
          <w:sz w:val="20"/>
          <w:szCs w:val="20"/>
        </w:rPr>
        <w:t xml:space="preserve">. </w:t>
      </w:r>
      <w:r w:rsidR="00131EA0" w:rsidRPr="00131EA0">
        <w:rPr>
          <w:color w:val="000000"/>
          <w:sz w:val="20"/>
          <w:szCs w:val="20"/>
        </w:rPr>
        <w:t>Employment-related social skills were assessed using the Test of Employment Social Skills (Moody et al., 2022), while executive functioning and abstraction were measured with the Delis–Kaplan Executive Function System (Delis, 2001) 20-question</w:t>
      </w:r>
      <w:r w:rsidR="00FB2D86">
        <w:rPr>
          <w:color w:val="000000"/>
          <w:sz w:val="20"/>
          <w:szCs w:val="20"/>
        </w:rPr>
        <w:t>s</w:t>
      </w:r>
      <w:r w:rsidR="00131EA0" w:rsidRPr="00131EA0">
        <w:rPr>
          <w:color w:val="000000"/>
          <w:sz w:val="20"/>
          <w:szCs w:val="20"/>
        </w:rPr>
        <w:t xml:space="preserve"> subtest. The sample </w:t>
      </w:r>
      <w:r w:rsidR="002241F9">
        <w:rPr>
          <w:color w:val="000000"/>
          <w:sz w:val="20"/>
          <w:szCs w:val="20"/>
        </w:rPr>
        <w:t>consisted of</w:t>
      </w:r>
      <w:r w:rsidR="002241F9" w:rsidRPr="00131EA0">
        <w:rPr>
          <w:color w:val="000000"/>
          <w:sz w:val="20"/>
          <w:szCs w:val="20"/>
        </w:rPr>
        <w:t xml:space="preserve"> </w:t>
      </w:r>
      <w:r w:rsidR="00131EA0" w:rsidRPr="00131EA0">
        <w:rPr>
          <w:color w:val="000000"/>
          <w:sz w:val="20"/>
          <w:szCs w:val="20"/>
        </w:rPr>
        <w:t>102 autistic adults (81% male, 48% White</w:t>
      </w:r>
      <w:r w:rsidR="004C2C2C">
        <w:rPr>
          <w:color w:val="000000"/>
          <w:sz w:val="20"/>
          <w:szCs w:val="20"/>
        </w:rPr>
        <w:t xml:space="preserve">; </w:t>
      </w:r>
      <w:r w:rsidR="004C2C2C" w:rsidRPr="004C2C2C">
        <w:rPr>
          <w:i/>
          <w:iCs/>
          <w:color w:val="000000"/>
          <w:sz w:val="20"/>
          <w:szCs w:val="20"/>
        </w:rPr>
        <w:t>M</w:t>
      </w:r>
      <w:r w:rsidR="00131EA0" w:rsidRPr="004C2C2C">
        <w:rPr>
          <w:color w:val="000000"/>
          <w:sz w:val="20"/>
          <w:szCs w:val="20"/>
          <w:vertAlign w:val="subscript"/>
        </w:rPr>
        <w:t>age</w:t>
      </w:r>
      <w:r w:rsidR="004C2C2C">
        <w:rPr>
          <w:color w:val="000000"/>
          <w:sz w:val="20"/>
          <w:szCs w:val="20"/>
        </w:rPr>
        <w:t xml:space="preserve"> =</w:t>
      </w:r>
      <w:r w:rsidR="00131EA0" w:rsidRPr="00131EA0">
        <w:rPr>
          <w:color w:val="000000"/>
          <w:sz w:val="20"/>
          <w:szCs w:val="20"/>
        </w:rPr>
        <w:t xml:space="preserve"> 23.5 years, </w:t>
      </w:r>
      <w:r w:rsidR="00131EA0" w:rsidRPr="004C2C2C">
        <w:rPr>
          <w:i/>
          <w:iCs/>
          <w:color w:val="000000"/>
          <w:sz w:val="20"/>
          <w:szCs w:val="20"/>
        </w:rPr>
        <w:t>SD</w:t>
      </w:r>
      <w:r w:rsidR="00131EA0" w:rsidRPr="00131EA0">
        <w:rPr>
          <w:color w:val="000000"/>
          <w:sz w:val="20"/>
          <w:szCs w:val="20"/>
        </w:rPr>
        <w:t xml:space="preserve"> = 3.6; </w:t>
      </w:r>
      <w:r w:rsidR="004C2C2C" w:rsidRPr="004C2C2C">
        <w:rPr>
          <w:i/>
          <w:iCs/>
          <w:color w:val="000000"/>
          <w:sz w:val="20"/>
          <w:szCs w:val="20"/>
        </w:rPr>
        <w:t>M</w:t>
      </w:r>
      <w:r w:rsidR="004C2C2C" w:rsidRPr="004C2C2C">
        <w:rPr>
          <w:color w:val="000000"/>
          <w:sz w:val="20"/>
          <w:szCs w:val="20"/>
          <w:vertAlign w:val="subscript"/>
        </w:rPr>
        <w:t>FS</w:t>
      </w:r>
      <w:r w:rsidR="00131EA0" w:rsidRPr="004C2C2C">
        <w:rPr>
          <w:color w:val="000000"/>
          <w:sz w:val="20"/>
          <w:szCs w:val="20"/>
          <w:vertAlign w:val="subscript"/>
        </w:rPr>
        <w:t>IQ</w:t>
      </w:r>
      <w:r w:rsidR="004C2C2C" w:rsidRPr="004C2C2C">
        <w:rPr>
          <w:color w:val="000000"/>
          <w:sz w:val="20"/>
          <w:szCs w:val="20"/>
          <w:vertAlign w:val="subscript"/>
        </w:rPr>
        <w:t xml:space="preserve">-2 </w:t>
      </w:r>
      <w:r w:rsidR="004C2C2C">
        <w:rPr>
          <w:color w:val="000000"/>
          <w:sz w:val="20"/>
          <w:szCs w:val="20"/>
        </w:rPr>
        <w:t>=</w:t>
      </w:r>
      <w:r w:rsidR="00131EA0" w:rsidRPr="00131EA0">
        <w:rPr>
          <w:color w:val="000000"/>
          <w:sz w:val="20"/>
          <w:szCs w:val="20"/>
        </w:rPr>
        <w:t xml:space="preserve"> 109, </w:t>
      </w:r>
      <w:r w:rsidR="00131EA0" w:rsidRPr="004C2C2C">
        <w:rPr>
          <w:i/>
          <w:iCs/>
          <w:color w:val="000000"/>
          <w:sz w:val="20"/>
          <w:szCs w:val="20"/>
        </w:rPr>
        <w:t>SD</w:t>
      </w:r>
      <w:r w:rsidR="00131EA0" w:rsidRPr="00131EA0">
        <w:rPr>
          <w:color w:val="000000"/>
          <w:sz w:val="20"/>
          <w:szCs w:val="20"/>
        </w:rPr>
        <w:t xml:space="preserve"> = 13). Of these, 52.9% reported previous paid employment experience, including paid internships, while 47.1% had no experience.</w:t>
      </w:r>
    </w:p>
    <w:p w14:paraId="7AC50374" w14:textId="2F3E4894"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131EA0" w:rsidRPr="00131EA0">
        <w:rPr>
          <w:color w:val="000000"/>
          <w:sz w:val="20"/>
          <w:szCs w:val="20"/>
        </w:rPr>
        <w:t>A binomial logistic regression was conducted to examine the influence of age, gender, race/ethnicity, employment</w:t>
      </w:r>
      <w:r w:rsidR="00FB3DA7">
        <w:rPr>
          <w:color w:val="000000"/>
          <w:sz w:val="20"/>
          <w:szCs w:val="20"/>
        </w:rPr>
        <w:t>-related social skills</w:t>
      </w:r>
      <w:r w:rsidR="00131EA0" w:rsidRPr="00131EA0">
        <w:rPr>
          <w:color w:val="000000"/>
          <w:sz w:val="20"/>
          <w:szCs w:val="20"/>
        </w:rPr>
        <w:t xml:space="preserve"> knowledge, IQ, and executive functioning on prior paid employment experiences. The regression model was statistically significant, </w:t>
      </w:r>
      <w:r w:rsidR="00131EA0" w:rsidRPr="00E575AC">
        <w:rPr>
          <w:i/>
          <w:iCs/>
          <w:color w:val="000000"/>
          <w:sz w:val="20"/>
          <w:szCs w:val="20"/>
        </w:rPr>
        <w:t>χ</w:t>
      </w:r>
      <w:r w:rsidR="00131EA0" w:rsidRPr="00E575AC">
        <w:rPr>
          <w:color w:val="000000"/>
          <w:sz w:val="20"/>
          <w:szCs w:val="20"/>
          <w:vertAlign w:val="superscript"/>
        </w:rPr>
        <w:t>2</w:t>
      </w:r>
      <w:r w:rsidR="00131EA0" w:rsidRPr="00131EA0">
        <w:rPr>
          <w:color w:val="000000"/>
          <w:sz w:val="20"/>
          <w:szCs w:val="20"/>
        </w:rPr>
        <w:t xml:space="preserve">(6) = 14.71, </w:t>
      </w:r>
      <w:r w:rsidR="00131EA0" w:rsidRPr="00A35F75">
        <w:rPr>
          <w:i/>
          <w:iCs/>
          <w:color w:val="000000"/>
          <w:sz w:val="20"/>
          <w:szCs w:val="20"/>
        </w:rPr>
        <w:t>p</w:t>
      </w:r>
      <w:r w:rsidR="00131EA0" w:rsidRPr="00131EA0">
        <w:rPr>
          <w:color w:val="000000"/>
          <w:sz w:val="20"/>
          <w:szCs w:val="20"/>
        </w:rPr>
        <w:t xml:space="preserve"> &lt; .023, explaining 20.5% of the variance (</w:t>
      </w:r>
      <w:proofErr w:type="spellStart"/>
      <w:r w:rsidR="00131EA0" w:rsidRPr="00131EA0">
        <w:rPr>
          <w:color w:val="000000"/>
          <w:sz w:val="20"/>
          <w:szCs w:val="20"/>
        </w:rPr>
        <w:t>Nagelkerke</w:t>
      </w:r>
      <w:proofErr w:type="spellEnd"/>
      <w:r w:rsidR="00131EA0" w:rsidRPr="00131EA0">
        <w:rPr>
          <w:color w:val="000000"/>
          <w:sz w:val="20"/>
          <w:szCs w:val="20"/>
        </w:rPr>
        <w:t xml:space="preserve"> </w:t>
      </w:r>
      <w:r w:rsidR="00131EA0" w:rsidRPr="00776260">
        <w:rPr>
          <w:i/>
          <w:iCs/>
        </w:rPr>
        <w:t>R</w:t>
      </w:r>
      <w:r w:rsidR="00131EA0" w:rsidRPr="00776260">
        <w:rPr>
          <w:i/>
          <w:iCs/>
          <w:vertAlign w:val="superscript"/>
        </w:rPr>
        <w:t>2</w:t>
      </w:r>
      <w:r w:rsidR="00131EA0" w:rsidRPr="00131EA0">
        <w:rPr>
          <w:color w:val="000000"/>
          <w:sz w:val="20"/>
          <w:szCs w:val="20"/>
        </w:rPr>
        <w:t>) and correctly classifying 70.5% of cases. Three predictor variables were statistically significant</w:t>
      </w:r>
      <w:r w:rsidR="00E575AC">
        <w:rPr>
          <w:color w:val="000000"/>
          <w:sz w:val="20"/>
          <w:szCs w:val="20"/>
        </w:rPr>
        <w:t xml:space="preserve"> over and above all other predictors</w:t>
      </w:r>
      <w:r w:rsidR="00131EA0" w:rsidRPr="00131EA0">
        <w:rPr>
          <w:color w:val="000000"/>
          <w:sz w:val="20"/>
          <w:szCs w:val="20"/>
        </w:rPr>
        <w:t>: age, gender, and race/ethnicity. Increasing age was associated with a higher likelihood of having paid employment experience (</w:t>
      </w:r>
      <w:r w:rsidR="00131EA0" w:rsidRPr="002224DA">
        <w:rPr>
          <w:i/>
          <w:iCs/>
          <w:color w:val="000000"/>
          <w:sz w:val="20"/>
          <w:szCs w:val="20"/>
        </w:rPr>
        <w:t>p</w:t>
      </w:r>
      <w:r w:rsidR="00131EA0" w:rsidRPr="00131EA0">
        <w:rPr>
          <w:color w:val="000000"/>
          <w:sz w:val="20"/>
          <w:szCs w:val="20"/>
        </w:rPr>
        <w:t xml:space="preserve"> &lt; .029). </w:t>
      </w:r>
      <w:r w:rsidR="00E575AC">
        <w:rPr>
          <w:color w:val="000000"/>
          <w:sz w:val="20"/>
          <w:szCs w:val="20"/>
        </w:rPr>
        <w:t>Females</w:t>
      </w:r>
      <w:r w:rsidR="00FB2D86" w:rsidRPr="00131EA0">
        <w:rPr>
          <w:color w:val="000000"/>
          <w:sz w:val="20"/>
          <w:szCs w:val="20"/>
        </w:rPr>
        <w:t xml:space="preserve"> </w:t>
      </w:r>
      <w:r w:rsidR="00131EA0" w:rsidRPr="00131EA0">
        <w:rPr>
          <w:color w:val="000000"/>
          <w:sz w:val="20"/>
          <w:szCs w:val="20"/>
        </w:rPr>
        <w:t>were less likely to have had employment experiences than males (</w:t>
      </w:r>
      <w:r w:rsidR="00131EA0" w:rsidRPr="002224DA">
        <w:rPr>
          <w:i/>
          <w:iCs/>
          <w:color w:val="000000"/>
          <w:sz w:val="20"/>
          <w:szCs w:val="20"/>
        </w:rPr>
        <w:t>p</w:t>
      </w:r>
      <w:r w:rsidR="00131EA0" w:rsidRPr="00131EA0">
        <w:rPr>
          <w:color w:val="000000"/>
          <w:sz w:val="20"/>
          <w:szCs w:val="20"/>
        </w:rPr>
        <w:t xml:space="preserve"> &lt; .028). Additionally, being a person of color was </w:t>
      </w:r>
      <w:r w:rsidR="00131EA0">
        <w:rPr>
          <w:color w:val="000000"/>
          <w:sz w:val="20"/>
          <w:szCs w:val="20"/>
        </w:rPr>
        <w:t>associated</w:t>
      </w:r>
      <w:r w:rsidR="00131EA0" w:rsidRPr="00131EA0">
        <w:rPr>
          <w:color w:val="000000"/>
          <w:sz w:val="20"/>
          <w:szCs w:val="20"/>
        </w:rPr>
        <w:t xml:space="preserve"> </w:t>
      </w:r>
      <w:r w:rsidR="00131EA0">
        <w:rPr>
          <w:color w:val="000000"/>
          <w:sz w:val="20"/>
          <w:szCs w:val="20"/>
        </w:rPr>
        <w:t>with</w:t>
      </w:r>
      <w:r w:rsidR="00131EA0" w:rsidRPr="00131EA0">
        <w:rPr>
          <w:color w:val="000000"/>
          <w:sz w:val="20"/>
          <w:szCs w:val="20"/>
        </w:rPr>
        <w:t xml:space="preserve"> a lower likelihood of paid employment experience compared to White participants (</w:t>
      </w:r>
      <w:r w:rsidR="00131EA0" w:rsidRPr="002224DA">
        <w:rPr>
          <w:i/>
          <w:iCs/>
          <w:color w:val="000000"/>
          <w:sz w:val="20"/>
          <w:szCs w:val="20"/>
        </w:rPr>
        <w:t>p</w:t>
      </w:r>
      <w:r w:rsidR="00131EA0" w:rsidRPr="00131EA0">
        <w:rPr>
          <w:color w:val="000000"/>
          <w:sz w:val="20"/>
          <w:szCs w:val="20"/>
        </w:rPr>
        <w:t xml:space="preserve"> &lt; .045).</w:t>
      </w:r>
    </w:p>
    <w:p w14:paraId="2AC45FF0" w14:textId="06EC1732" w:rsidR="00C9590F" w:rsidRPr="00D433F1" w:rsidRDefault="003D6244" w:rsidP="00D433F1">
      <w:pPr>
        <w:rPr>
          <w:bCs/>
          <w:iCs/>
          <w:color w:val="000000"/>
          <w:sz w:val="20"/>
          <w:szCs w:val="20"/>
        </w:rPr>
      </w:pPr>
      <w:r>
        <w:rPr>
          <w:b/>
          <w:iCs/>
          <w:color w:val="000000"/>
          <w:sz w:val="20"/>
          <w:szCs w:val="20"/>
          <w:lang w:val="en-GB"/>
        </w:rPr>
        <w:t>Discussion</w:t>
      </w:r>
      <w:r w:rsidRPr="00F55713">
        <w:rPr>
          <w:bCs/>
          <w:iCs/>
          <w:color w:val="000000"/>
          <w:sz w:val="20"/>
          <w:szCs w:val="20"/>
          <w:lang w:val="en-GB"/>
        </w:rPr>
        <w:t xml:space="preserve">: </w:t>
      </w:r>
      <w:r w:rsidR="001405F4" w:rsidRPr="001405F4">
        <w:rPr>
          <w:bCs/>
          <w:iCs/>
          <w:color w:val="000000"/>
          <w:sz w:val="20"/>
          <w:szCs w:val="20"/>
        </w:rPr>
        <w:t>The findings of this study largely replicate previous research, emphasizing demographic disparities in employment outcomes for autistic young adults. Notably, executive functioning and employment-related social skills were not significantly associated with paid employment outcomes. One hypothesis is that while these skills are essential, they may not be enough to overcome external barriers like stigma and limited opportunities. Th</w:t>
      </w:r>
      <w:r w:rsidR="006453DA">
        <w:rPr>
          <w:bCs/>
          <w:iCs/>
          <w:color w:val="000000"/>
          <w:sz w:val="20"/>
          <w:szCs w:val="20"/>
        </w:rPr>
        <w:t xml:space="preserve">erefore, </w:t>
      </w:r>
      <w:r w:rsidR="001405F4">
        <w:rPr>
          <w:bCs/>
          <w:iCs/>
          <w:color w:val="000000"/>
          <w:sz w:val="20"/>
          <w:szCs w:val="20"/>
        </w:rPr>
        <w:t>addressing</w:t>
      </w:r>
      <w:r w:rsidR="001405F4" w:rsidRPr="001405F4">
        <w:rPr>
          <w:bCs/>
          <w:iCs/>
          <w:color w:val="000000"/>
          <w:sz w:val="20"/>
          <w:szCs w:val="20"/>
        </w:rPr>
        <w:t xml:space="preserve"> employer </w:t>
      </w:r>
      <w:r w:rsidR="006453DA">
        <w:rPr>
          <w:bCs/>
          <w:iCs/>
          <w:color w:val="000000"/>
          <w:sz w:val="20"/>
          <w:szCs w:val="20"/>
        </w:rPr>
        <w:t>bias</w:t>
      </w:r>
      <w:r w:rsidR="006453DA" w:rsidRPr="001405F4">
        <w:rPr>
          <w:bCs/>
          <w:iCs/>
          <w:color w:val="000000"/>
          <w:sz w:val="20"/>
          <w:szCs w:val="20"/>
        </w:rPr>
        <w:t xml:space="preserve"> </w:t>
      </w:r>
      <w:r w:rsidR="001405F4" w:rsidRPr="001405F4">
        <w:rPr>
          <w:bCs/>
          <w:iCs/>
          <w:color w:val="000000"/>
          <w:sz w:val="20"/>
          <w:szCs w:val="20"/>
        </w:rPr>
        <w:t>and promoting equitable access are key to ensuring that all individuals can benefit from these opportunities.</w:t>
      </w:r>
      <w:r w:rsidR="003523A0">
        <w:rPr>
          <w:bCs/>
          <w:iCs/>
          <w:color w:val="000000"/>
          <w:sz w:val="20"/>
          <w:szCs w:val="20"/>
        </w:rPr>
        <w:t xml:space="preserve"> </w:t>
      </w:r>
      <w:r w:rsidR="001405F4" w:rsidRPr="001405F4">
        <w:rPr>
          <w:bCs/>
          <w:iCs/>
          <w:color w:val="000000"/>
          <w:sz w:val="20"/>
          <w:szCs w:val="20"/>
        </w:rPr>
        <w:t>Earlier exposure to job-related activities remains crucial for positive employment trajectories (</w:t>
      </w:r>
      <w:proofErr w:type="spellStart"/>
      <w:r w:rsidR="001405F4" w:rsidRPr="001405F4">
        <w:rPr>
          <w:bCs/>
          <w:iCs/>
          <w:color w:val="000000"/>
          <w:sz w:val="20"/>
          <w:szCs w:val="20"/>
        </w:rPr>
        <w:t>Wehman</w:t>
      </w:r>
      <w:proofErr w:type="spellEnd"/>
      <w:r w:rsidR="001405F4" w:rsidRPr="001405F4">
        <w:rPr>
          <w:bCs/>
          <w:iCs/>
          <w:color w:val="000000"/>
          <w:sz w:val="20"/>
          <w:szCs w:val="20"/>
        </w:rPr>
        <w:t xml:space="preserve"> et al., 2020), particularly considering the well-documented service cliff many autistic individuals face after age 18.</w:t>
      </w:r>
      <w:r w:rsidR="001405F4">
        <w:rPr>
          <w:bCs/>
          <w:iCs/>
          <w:color w:val="000000"/>
          <w:sz w:val="20"/>
          <w:szCs w:val="20"/>
        </w:rPr>
        <w:t xml:space="preserve"> </w:t>
      </w:r>
      <w:r w:rsidR="006453DA" w:rsidRPr="006453DA">
        <w:rPr>
          <w:bCs/>
          <w:iCs/>
          <w:color w:val="000000"/>
          <w:sz w:val="20"/>
          <w:szCs w:val="20"/>
        </w:rPr>
        <w:t xml:space="preserve">Gender and race/ethnicity disparities also emerged, indicating that these groups may encounter additional barriers beyond skill deficits. Targeted efforts, such as reducing employer stigma and improving access for autistic women and individuals of color, will be vital. </w:t>
      </w:r>
      <w:r w:rsidR="00D433F1">
        <w:rPr>
          <w:bCs/>
          <w:iCs/>
          <w:color w:val="000000"/>
          <w:sz w:val="20"/>
          <w:szCs w:val="20"/>
        </w:rPr>
        <w:t xml:space="preserve"> </w:t>
      </w:r>
      <w:r w:rsidR="00D433F1" w:rsidRPr="00D433F1">
        <w:rPr>
          <w:bCs/>
          <w:iCs/>
          <w:color w:val="000000"/>
          <w:sz w:val="20"/>
          <w:szCs w:val="20"/>
        </w:rPr>
        <w:t xml:space="preserve">While skills-based programs are essential, addressing </w:t>
      </w:r>
      <w:r w:rsidR="00D433F1">
        <w:rPr>
          <w:bCs/>
          <w:iCs/>
          <w:color w:val="000000"/>
          <w:sz w:val="20"/>
          <w:szCs w:val="20"/>
        </w:rPr>
        <w:t>implicit bias and employer perception disparitie</w:t>
      </w:r>
      <w:r w:rsidR="00D433F1" w:rsidRPr="00D433F1">
        <w:rPr>
          <w:bCs/>
          <w:iCs/>
          <w:color w:val="000000"/>
          <w:sz w:val="20"/>
          <w:szCs w:val="20"/>
        </w:rPr>
        <w:t>s will ensure that all individuals, regardless of gender or race</w:t>
      </w:r>
      <w:r w:rsidR="006A0ACA">
        <w:rPr>
          <w:bCs/>
          <w:iCs/>
          <w:color w:val="000000"/>
          <w:sz w:val="20"/>
          <w:szCs w:val="20"/>
        </w:rPr>
        <w:t>/ethnicity</w:t>
      </w:r>
      <w:r w:rsidR="008F1185">
        <w:rPr>
          <w:bCs/>
          <w:iCs/>
          <w:color w:val="000000"/>
          <w:sz w:val="20"/>
          <w:szCs w:val="20"/>
        </w:rPr>
        <w:t>, can fully benefit from these opportunities</w:t>
      </w:r>
      <w:r w:rsidR="006453DA">
        <w:rPr>
          <w:bCs/>
          <w:iCs/>
          <w:color w:val="000000"/>
          <w:sz w:val="20"/>
          <w:szCs w:val="20"/>
        </w:rPr>
        <w:t xml:space="preserve">. </w:t>
      </w:r>
      <w:r w:rsidR="00D433F1" w:rsidRPr="00D433F1">
        <w:rPr>
          <w:bCs/>
          <w:iCs/>
          <w:color w:val="000000"/>
          <w:sz w:val="20"/>
          <w:szCs w:val="20"/>
        </w:rPr>
        <w:t>Additionally</w:t>
      </w:r>
      <w:r w:rsidR="00AD36DD">
        <w:rPr>
          <w:bCs/>
          <w:iCs/>
          <w:color w:val="000000"/>
          <w:sz w:val="20"/>
          <w:szCs w:val="20"/>
        </w:rPr>
        <w:t>,</w:t>
      </w:r>
      <w:r w:rsidR="006453DA">
        <w:rPr>
          <w:bCs/>
          <w:iCs/>
          <w:color w:val="000000"/>
          <w:sz w:val="20"/>
          <w:szCs w:val="20"/>
        </w:rPr>
        <w:t xml:space="preserve"> </w:t>
      </w:r>
      <w:r w:rsidR="00D433F1" w:rsidRPr="00D433F1">
        <w:rPr>
          <w:bCs/>
          <w:iCs/>
          <w:color w:val="000000"/>
          <w:sz w:val="20"/>
          <w:szCs w:val="20"/>
        </w:rPr>
        <w:t>the intersectionality of autism, gender, and race/ethnicity</w:t>
      </w:r>
      <w:r w:rsidR="006453DA">
        <w:rPr>
          <w:bCs/>
          <w:iCs/>
          <w:color w:val="000000"/>
          <w:sz w:val="20"/>
          <w:szCs w:val="20"/>
        </w:rPr>
        <w:t xml:space="preserve"> should be further examined in future studies</w:t>
      </w:r>
      <w:r w:rsidR="00D433F1" w:rsidRPr="00D433F1">
        <w:rPr>
          <w:bCs/>
          <w:iCs/>
          <w:color w:val="000000"/>
          <w:sz w:val="20"/>
          <w:szCs w:val="20"/>
        </w:rPr>
        <w:t>. Although executive functioning and knowledge of employment-related social skills were not significant in this study, these remain essential workforce skills and should continue to be explored.</w:t>
      </w:r>
    </w:p>
    <w:p w14:paraId="29311095" w14:textId="7C0A7730" w:rsidR="00773A9A" w:rsidRDefault="003D6244" w:rsidP="00D81605">
      <w:pPr>
        <w:rPr>
          <w:b/>
          <w:color w:val="000000"/>
          <w:sz w:val="20"/>
          <w:szCs w:val="20"/>
          <w:lang w:val="en-GB"/>
        </w:rPr>
      </w:pPr>
      <w:r w:rsidRPr="00514B99">
        <w:rPr>
          <w:b/>
          <w:color w:val="000000"/>
          <w:sz w:val="20"/>
          <w:szCs w:val="20"/>
          <w:lang w:val="en-GB"/>
        </w:rPr>
        <w:lastRenderedPageBreak/>
        <w:t>References</w:t>
      </w:r>
      <w:r>
        <w:rPr>
          <w:b/>
          <w:color w:val="000000"/>
          <w:sz w:val="20"/>
          <w:szCs w:val="20"/>
          <w:lang w:val="en-GB"/>
        </w:rPr>
        <w:t xml:space="preserve">: </w:t>
      </w:r>
    </w:p>
    <w:p w14:paraId="5CBBE50F" w14:textId="4EEE5B4A" w:rsidR="00D81605" w:rsidRDefault="00D81605" w:rsidP="00D81605">
      <w:pPr>
        <w:rPr>
          <w:color w:val="000000"/>
          <w:sz w:val="20"/>
          <w:szCs w:val="20"/>
        </w:rPr>
      </w:pPr>
      <w:r w:rsidRPr="0090314C">
        <w:rPr>
          <w:color w:val="000000"/>
          <w:sz w:val="20"/>
          <w:szCs w:val="20"/>
        </w:rPr>
        <w:t>Delis, D. C. (2001). Delis-Kaplan Executive Function System. The Psychological Corporation.</w:t>
      </w:r>
    </w:p>
    <w:p w14:paraId="7610251E" w14:textId="3A8B85F6" w:rsidR="00D90DDE" w:rsidRDefault="00D90DDE" w:rsidP="00D81605">
      <w:pPr>
        <w:rPr>
          <w:color w:val="000000"/>
          <w:sz w:val="20"/>
          <w:szCs w:val="20"/>
        </w:rPr>
      </w:pPr>
      <w:r w:rsidRPr="00D90DDE">
        <w:rPr>
          <w:color w:val="000000"/>
          <w:sz w:val="20"/>
          <w:szCs w:val="20"/>
        </w:rPr>
        <w:t>Eilenberg, J. S., Paff, M., Harrison, A. J., &amp; Long, K. A. (2019). Disparities based on race, ethnicity, and socioeconomic status over the transition to adulthood among adolescents and young adults on the autism spectrum: A systematic review. </w:t>
      </w:r>
      <w:r w:rsidRPr="00D90DDE">
        <w:rPr>
          <w:i/>
          <w:iCs/>
          <w:color w:val="000000"/>
          <w:sz w:val="20"/>
          <w:szCs w:val="20"/>
        </w:rPr>
        <w:t>Current Psychiatry Reports</w:t>
      </w:r>
      <w:r w:rsidRPr="00D90DDE">
        <w:rPr>
          <w:color w:val="000000"/>
          <w:sz w:val="20"/>
          <w:szCs w:val="20"/>
        </w:rPr>
        <w:t>, </w:t>
      </w:r>
      <w:r w:rsidRPr="00D90DDE">
        <w:rPr>
          <w:i/>
          <w:iCs/>
          <w:color w:val="000000"/>
          <w:sz w:val="20"/>
          <w:szCs w:val="20"/>
        </w:rPr>
        <w:t>21</w:t>
      </w:r>
      <w:r w:rsidRPr="00D90DDE">
        <w:rPr>
          <w:color w:val="000000"/>
          <w:sz w:val="20"/>
          <w:szCs w:val="20"/>
        </w:rPr>
        <w:t>, 1-16.</w:t>
      </w:r>
    </w:p>
    <w:p w14:paraId="6AB30DF4" w14:textId="1B2CB2CD" w:rsidR="00356A3B" w:rsidRPr="0090314C" w:rsidRDefault="00356A3B" w:rsidP="00D81605">
      <w:pPr>
        <w:rPr>
          <w:color w:val="000000"/>
          <w:sz w:val="20"/>
          <w:szCs w:val="20"/>
        </w:rPr>
      </w:pPr>
      <w:r w:rsidRPr="00356A3B">
        <w:rPr>
          <w:color w:val="000000"/>
          <w:sz w:val="20"/>
          <w:szCs w:val="20"/>
        </w:rPr>
        <w:t>Gerhardt, P. F., Cicero, F., &amp; Mayville, E. (2014). Employment and related services for adults with ASD. Handbook of Autism and Pervasive Developmental Disorders, Fourth Edition.</w:t>
      </w:r>
    </w:p>
    <w:p w14:paraId="7AC50376" w14:textId="2F4F5B26" w:rsidR="003D6244" w:rsidRPr="0090314C" w:rsidRDefault="00D81605" w:rsidP="00D81605">
      <w:pPr>
        <w:rPr>
          <w:color w:val="000000"/>
          <w:sz w:val="20"/>
          <w:szCs w:val="20"/>
        </w:rPr>
      </w:pPr>
      <w:r w:rsidRPr="0090314C">
        <w:rPr>
          <w:color w:val="000000"/>
          <w:sz w:val="20"/>
          <w:szCs w:val="20"/>
        </w:rPr>
        <w:t xml:space="preserve">Moody, C. T., Factor, R. S., </w:t>
      </w:r>
      <w:proofErr w:type="spellStart"/>
      <w:r w:rsidRPr="0090314C">
        <w:rPr>
          <w:color w:val="000000"/>
          <w:sz w:val="20"/>
          <w:szCs w:val="20"/>
        </w:rPr>
        <w:t>Gulsrud</w:t>
      </w:r>
      <w:proofErr w:type="spellEnd"/>
      <w:r w:rsidRPr="0090314C">
        <w:rPr>
          <w:color w:val="000000"/>
          <w:sz w:val="20"/>
          <w:szCs w:val="20"/>
        </w:rPr>
        <w:t xml:space="preserve">, A. C., </w:t>
      </w:r>
      <w:proofErr w:type="spellStart"/>
      <w:r w:rsidRPr="0090314C">
        <w:rPr>
          <w:color w:val="000000"/>
          <w:sz w:val="20"/>
          <w:szCs w:val="20"/>
        </w:rPr>
        <w:t>Grantz</w:t>
      </w:r>
      <w:proofErr w:type="spellEnd"/>
      <w:r w:rsidRPr="0090314C">
        <w:rPr>
          <w:color w:val="000000"/>
          <w:sz w:val="20"/>
          <w:szCs w:val="20"/>
        </w:rPr>
        <w:t xml:space="preserve">, C. J., Tsai, K., Jolliffe, M., Rosen, N., McCracken, J.T., &amp; Laugeson, E. A. (2022). A pilot study of PEERS® for Careers: A comprehensive employment-focused social skills intervention for autistic young adults in the United States. </w:t>
      </w:r>
      <w:r w:rsidRPr="0090314C">
        <w:rPr>
          <w:i/>
          <w:iCs/>
          <w:color w:val="000000"/>
          <w:sz w:val="20"/>
          <w:szCs w:val="20"/>
        </w:rPr>
        <w:t>Research in Developmental Disabilities</w:t>
      </w:r>
      <w:r w:rsidRPr="0090314C">
        <w:rPr>
          <w:color w:val="000000"/>
          <w:sz w:val="20"/>
          <w:szCs w:val="20"/>
        </w:rPr>
        <w:t>, 128, 104287.</w:t>
      </w:r>
    </w:p>
    <w:p w14:paraId="711CFF7D" w14:textId="41BD83AC" w:rsidR="00D90DDE" w:rsidRDefault="00D90DDE" w:rsidP="00D81605">
      <w:pPr>
        <w:rPr>
          <w:sz w:val="20"/>
          <w:szCs w:val="20"/>
        </w:rPr>
      </w:pPr>
      <w:r w:rsidRPr="00D90DDE">
        <w:rPr>
          <w:sz w:val="20"/>
          <w:szCs w:val="20"/>
        </w:rPr>
        <w:t>Walsh, L., Lydon, S., &amp; Healy, O. (2014). Employment and vocational skills among individuals with autism spectrum disorder: Predictors, impact, and interventions. </w:t>
      </w:r>
      <w:r w:rsidRPr="00D90DDE">
        <w:rPr>
          <w:i/>
          <w:iCs/>
          <w:sz w:val="20"/>
          <w:szCs w:val="20"/>
        </w:rPr>
        <w:t>Review Journal of Autism and Developmental Disorders</w:t>
      </w:r>
      <w:r w:rsidRPr="00D90DDE">
        <w:rPr>
          <w:sz w:val="20"/>
          <w:szCs w:val="20"/>
        </w:rPr>
        <w:t>, </w:t>
      </w:r>
      <w:r w:rsidRPr="00D90DDE">
        <w:rPr>
          <w:i/>
          <w:iCs/>
          <w:sz w:val="20"/>
          <w:szCs w:val="20"/>
        </w:rPr>
        <w:t>1</w:t>
      </w:r>
      <w:r w:rsidRPr="00D90DDE">
        <w:rPr>
          <w:sz w:val="20"/>
          <w:szCs w:val="20"/>
        </w:rPr>
        <w:t>, 266-275.</w:t>
      </w:r>
    </w:p>
    <w:p w14:paraId="5BC65272" w14:textId="265F088A" w:rsidR="0090314C" w:rsidRPr="0090314C" w:rsidRDefault="0090314C" w:rsidP="00D81605">
      <w:pPr>
        <w:rPr>
          <w:color w:val="000000"/>
          <w:sz w:val="20"/>
          <w:szCs w:val="20"/>
          <w:lang w:val="en-GB"/>
        </w:rPr>
      </w:pPr>
      <w:proofErr w:type="spellStart"/>
      <w:r w:rsidRPr="0090314C">
        <w:rPr>
          <w:color w:val="000000"/>
          <w:sz w:val="20"/>
          <w:szCs w:val="20"/>
        </w:rPr>
        <w:t>Wehman</w:t>
      </w:r>
      <w:proofErr w:type="spellEnd"/>
      <w:r w:rsidRPr="0090314C">
        <w:rPr>
          <w:color w:val="000000"/>
          <w:sz w:val="20"/>
          <w:szCs w:val="20"/>
        </w:rPr>
        <w:t xml:space="preserve">, P., </w:t>
      </w:r>
      <w:proofErr w:type="spellStart"/>
      <w:r w:rsidRPr="0090314C">
        <w:rPr>
          <w:color w:val="000000"/>
          <w:sz w:val="20"/>
          <w:szCs w:val="20"/>
        </w:rPr>
        <w:t>Schall</w:t>
      </w:r>
      <w:proofErr w:type="spellEnd"/>
      <w:r w:rsidRPr="0090314C">
        <w:rPr>
          <w:color w:val="000000"/>
          <w:sz w:val="20"/>
          <w:szCs w:val="20"/>
        </w:rPr>
        <w:t>, C., McDonough, J., Sima, A., Brooke, A., Ham, W., ... &amp; Riehle, E. (2020). Competitive employment for transition-aged youth with significant impact from autism: A multi-site randomized clinical trial. </w:t>
      </w:r>
      <w:r w:rsidRPr="0090314C">
        <w:rPr>
          <w:i/>
          <w:iCs/>
          <w:color w:val="000000"/>
          <w:sz w:val="20"/>
          <w:szCs w:val="20"/>
        </w:rPr>
        <w:t xml:space="preserve">Journal of </w:t>
      </w:r>
      <w:r>
        <w:rPr>
          <w:i/>
          <w:iCs/>
          <w:color w:val="000000"/>
          <w:sz w:val="20"/>
          <w:szCs w:val="20"/>
        </w:rPr>
        <w:t>A</w:t>
      </w:r>
      <w:r w:rsidRPr="0090314C">
        <w:rPr>
          <w:i/>
          <w:iCs/>
          <w:color w:val="000000"/>
          <w:sz w:val="20"/>
          <w:szCs w:val="20"/>
        </w:rPr>
        <w:t xml:space="preserve">utism and </w:t>
      </w:r>
      <w:r>
        <w:rPr>
          <w:i/>
          <w:iCs/>
          <w:color w:val="000000"/>
          <w:sz w:val="20"/>
          <w:szCs w:val="20"/>
        </w:rPr>
        <w:t>D</w:t>
      </w:r>
      <w:r w:rsidRPr="0090314C">
        <w:rPr>
          <w:i/>
          <w:iCs/>
          <w:color w:val="000000"/>
          <w:sz w:val="20"/>
          <w:szCs w:val="20"/>
        </w:rPr>
        <w:t xml:space="preserve">evelopmental </w:t>
      </w:r>
      <w:r>
        <w:rPr>
          <w:i/>
          <w:iCs/>
          <w:color w:val="000000"/>
          <w:sz w:val="20"/>
          <w:szCs w:val="20"/>
        </w:rPr>
        <w:t>D</w:t>
      </w:r>
      <w:r w:rsidRPr="0090314C">
        <w:rPr>
          <w:i/>
          <w:iCs/>
          <w:color w:val="000000"/>
          <w:sz w:val="20"/>
          <w:szCs w:val="20"/>
        </w:rPr>
        <w:t>isorders</w:t>
      </w:r>
      <w:r w:rsidRPr="0090314C">
        <w:rPr>
          <w:color w:val="000000"/>
          <w:sz w:val="20"/>
          <w:szCs w:val="20"/>
        </w:rPr>
        <w:t>, </w:t>
      </w:r>
      <w:r w:rsidRPr="0090314C">
        <w:rPr>
          <w:i/>
          <w:iCs/>
          <w:color w:val="000000"/>
          <w:sz w:val="20"/>
          <w:szCs w:val="20"/>
        </w:rPr>
        <w:t>50</w:t>
      </w:r>
      <w:r w:rsidRPr="0090314C">
        <w:rPr>
          <w:color w:val="000000"/>
          <w:sz w:val="20"/>
          <w:szCs w:val="20"/>
        </w:rPr>
        <w:t>, 1882-1897.</w:t>
      </w:r>
    </w:p>
    <w:p w14:paraId="7AC50379" w14:textId="176A7E8F" w:rsidR="003D6244" w:rsidRPr="008B1E03" w:rsidRDefault="003D6244" w:rsidP="00D90C9E">
      <w:pPr>
        <w:pStyle w:val="FootnoteText"/>
      </w:pPr>
      <w:r w:rsidRPr="008B1E03">
        <w:rPr>
          <w:rStyle w:val="FootnoteReference"/>
        </w:rPr>
        <w:footnoteRef/>
      </w:r>
      <w:r w:rsidRPr="008B1E03">
        <w:t xml:space="preserve"> </w:t>
      </w:r>
      <w:r w:rsidR="00D90C9E">
        <w:rPr>
          <w:lang w:val="en-CA"/>
        </w:rPr>
        <w:t>University of California, Los Angeles</w:t>
      </w:r>
    </w:p>
    <w:p w14:paraId="7AC5037A" w14:textId="77777777" w:rsidR="001C735E" w:rsidRPr="003D6244" w:rsidRDefault="001C735E" w:rsidP="003D6244"/>
    <w:sectPr w:rsidR="001C735E" w:rsidRPr="003D6244"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E4050" w14:textId="77777777" w:rsidR="006A1CCE" w:rsidRDefault="006A1CCE" w:rsidP="00A16498">
      <w:pPr>
        <w:spacing w:after="0" w:line="240" w:lineRule="auto"/>
      </w:pPr>
      <w:r>
        <w:separator/>
      </w:r>
    </w:p>
  </w:endnote>
  <w:endnote w:type="continuationSeparator" w:id="0">
    <w:p w14:paraId="0FB190D4" w14:textId="77777777" w:rsidR="006A1CCE" w:rsidRDefault="006A1CCE"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1F56C" w14:textId="77777777" w:rsidR="006A1CCE" w:rsidRDefault="006A1CCE" w:rsidP="00A16498">
      <w:pPr>
        <w:spacing w:after="0" w:line="240" w:lineRule="auto"/>
      </w:pPr>
      <w:r>
        <w:separator/>
      </w:r>
    </w:p>
  </w:footnote>
  <w:footnote w:type="continuationSeparator" w:id="0">
    <w:p w14:paraId="5A2EE5FA" w14:textId="77777777" w:rsidR="006A1CCE" w:rsidRDefault="006A1CCE"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C5745F9"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D90C9E">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3DDAA23"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5C5745F9"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D90C9E">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3DDAA23"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0083A"/>
    <w:rsid w:val="000109B0"/>
    <w:rsid w:val="000130DA"/>
    <w:rsid w:val="00097377"/>
    <w:rsid w:val="0009796E"/>
    <w:rsid w:val="000D0162"/>
    <w:rsid w:val="000F51AA"/>
    <w:rsid w:val="00131EA0"/>
    <w:rsid w:val="001405F4"/>
    <w:rsid w:val="001B310E"/>
    <w:rsid w:val="001C735E"/>
    <w:rsid w:val="001E5954"/>
    <w:rsid w:val="00200097"/>
    <w:rsid w:val="002224DA"/>
    <w:rsid w:val="002241F9"/>
    <w:rsid w:val="00226854"/>
    <w:rsid w:val="00244C29"/>
    <w:rsid w:val="00267B8E"/>
    <w:rsid w:val="00267F62"/>
    <w:rsid w:val="002872AA"/>
    <w:rsid w:val="00292B2C"/>
    <w:rsid w:val="002A6C91"/>
    <w:rsid w:val="002B12F5"/>
    <w:rsid w:val="00300310"/>
    <w:rsid w:val="00312417"/>
    <w:rsid w:val="00316B3B"/>
    <w:rsid w:val="0032171F"/>
    <w:rsid w:val="00324E6F"/>
    <w:rsid w:val="003333CD"/>
    <w:rsid w:val="0033415B"/>
    <w:rsid w:val="00347032"/>
    <w:rsid w:val="003523A0"/>
    <w:rsid w:val="00356A3B"/>
    <w:rsid w:val="0037702F"/>
    <w:rsid w:val="003855F3"/>
    <w:rsid w:val="00394E2C"/>
    <w:rsid w:val="003B0285"/>
    <w:rsid w:val="003C2A0A"/>
    <w:rsid w:val="003C4D59"/>
    <w:rsid w:val="003D1B9E"/>
    <w:rsid w:val="003D6244"/>
    <w:rsid w:val="003F558A"/>
    <w:rsid w:val="00412A17"/>
    <w:rsid w:val="00422088"/>
    <w:rsid w:val="004329EA"/>
    <w:rsid w:val="004473AC"/>
    <w:rsid w:val="00452576"/>
    <w:rsid w:val="0045428A"/>
    <w:rsid w:val="004C2C2C"/>
    <w:rsid w:val="00521005"/>
    <w:rsid w:val="00544496"/>
    <w:rsid w:val="00550360"/>
    <w:rsid w:val="00570A58"/>
    <w:rsid w:val="005732D7"/>
    <w:rsid w:val="00577DC4"/>
    <w:rsid w:val="005914F4"/>
    <w:rsid w:val="005C57C4"/>
    <w:rsid w:val="005F3158"/>
    <w:rsid w:val="006017AE"/>
    <w:rsid w:val="00625543"/>
    <w:rsid w:val="006453DA"/>
    <w:rsid w:val="006535AF"/>
    <w:rsid w:val="006637E7"/>
    <w:rsid w:val="006A0ACA"/>
    <w:rsid w:val="006A1CCE"/>
    <w:rsid w:val="006A4EC2"/>
    <w:rsid w:val="006A556B"/>
    <w:rsid w:val="006B11D6"/>
    <w:rsid w:val="006C05DD"/>
    <w:rsid w:val="00751FEE"/>
    <w:rsid w:val="007561B3"/>
    <w:rsid w:val="007722E4"/>
    <w:rsid w:val="00773A9A"/>
    <w:rsid w:val="00776468"/>
    <w:rsid w:val="0077649B"/>
    <w:rsid w:val="00777D73"/>
    <w:rsid w:val="00787557"/>
    <w:rsid w:val="007B4CE7"/>
    <w:rsid w:val="00801D2A"/>
    <w:rsid w:val="00803571"/>
    <w:rsid w:val="00817FE3"/>
    <w:rsid w:val="0087492A"/>
    <w:rsid w:val="00886568"/>
    <w:rsid w:val="008938D8"/>
    <w:rsid w:val="00897726"/>
    <w:rsid w:val="008C382D"/>
    <w:rsid w:val="008F1185"/>
    <w:rsid w:val="0090314C"/>
    <w:rsid w:val="00911B00"/>
    <w:rsid w:val="00927E2C"/>
    <w:rsid w:val="009462E3"/>
    <w:rsid w:val="009B1DAB"/>
    <w:rsid w:val="009D5536"/>
    <w:rsid w:val="009E1B56"/>
    <w:rsid w:val="00A12935"/>
    <w:rsid w:val="00A16498"/>
    <w:rsid w:val="00A35F75"/>
    <w:rsid w:val="00A8594A"/>
    <w:rsid w:val="00A93463"/>
    <w:rsid w:val="00AB7B37"/>
    <w:rsid w:val="00AC5465"/>
    <w:rsid w:val="00AD36DD"/>
    <w:rsid w:val="00AD53D1"/>
    <w:rsid w:val="00AE4ADB"/>
    <w:rsid w:val="00B05452"/>
    <w:rsid w:val="00B226B4"/>
    <w:rsid w:val="00B471D1"/>
    <w:rsid w:val="00B672D1"/>
    <w:rsid w:val="00B71AFF"/>
    <w:rsid w:val="00BA2D2D"/>
    <w:rsid w:val="00BE2B98"/>
    <w:rsid w:val="00C232BD"/>
    <w:rsid w:val="00C52B0E"/>
    <w:rsid w:val="00C6243D"/>
    <w:rsid w:val="00C7618A"/>
    <w:rsid w:val="00C80718"/>
    <w:rsid w:val="00C9590F"/>
    <w:rsid w:val="00CD77F9"/>
    <w:rsid w:val="00CF3CDF"/>
    <w:rsid w:val="00D433F1"/>
    <w:rsid w:val="00D46241"/>
    <w:rsid w:val="00D60D08"/>
    <w:rsid w:val="00D619F3"/>
    <w:rsid w:val="00D641E7"/>
    <w:rsid w:val="00D717E8"/>
    <w:rsid w:val="00D81605"/>
    <w:rsid w:val="00D84D8E"/>
    <w:rsid w:val="00D90C9E"/>
    <w:rsid w:val="00D90DDE"/>
    <w:rsid w:val="00DB7258"/>
    <w:rsid w:val="00DC15FA"/>
    <w:rsid w:val="00DC4D6B"/>
    <w:rsid w:val="00DC5FAB"/>
    <w:rsid w:val="00DF4EB3"/>
    <w:rsid w:val="00E15391"/>
    <w:rsid w:val="00E16291"/>
    <w:rsid w:val="00E22002"/>
    <w:rsid w:val="00E4496F"/>
    <w:rsid w:val="00E575AC"/>
    <w:rsid w:val="00E60770"/>
    <w:rsid w:val="00E8567D"/>
    <w:rsid w:val="00EA65E8"/>
    <w:rsid w:val="00EB4BC7"/>
    <w:rsid w:val="00EC1345"/>
    <w:rsid w:val="00EC3CBA"/>
    <w:rsid w:val="00F023E6"/>
    <w:rsid w:val="00F035D2"/>
    <w:rsid w:val="00F115FC"/>
    <w:rsid w:val="00F2162A"/>
    <w:rsid w:val="00F448EF"/>
    <w:rsid w:val="00F55713"/>
    <w:rsid w:val="00F93E94"/>
    <w:rsid w:val="00FB2D86"/>
    <w:rsid w:val="00FB3DA7"/>
    <w:rsid w:val="00FD676D"/>
    <w:rsid w:val="00FF4FA9"/>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Revision">
    <w:name w:val="Revision"/>
    <w:hidden/>
    <w:uiPriority w:val="99"/>
    <w:semiHidden/>
    <w:rsid w:val="00886568"/>
    <w:pPr>
      <w:spacing w:after="0" w:line="240" w:lineRule="auto"/>
    </w:pPr>
  </w:style>
  <w:style w:type="character" w:styleId="CommentReference">
    <w:name w:val="annotation reference"/>
    <w:basedOn w:val="DefaultParagraphFont"/>
    <w:uiPriority w:val="99"/>
    <w:semiHidden/>
    <w:unhideWhenUsed/>
    <w:rsid w:val="000109B0"/>
    <w:rPr>
      <w:sz w:val="16"/>
      <w:szCs w:val="16"/>
    </w:rPr>
  </w:style>
  <w:style w:type="paragraph" w:styleId="CommentText">
    <w:name w:val="annotation text"/>
    <w:basedOn w:val="Normal"/>
    <w:link w:val="CommentTextChar"/>
    <w:uiPriority w:val="99"/>
    <w:semiHidden/>
    <w:unhideWhenUsed/>
    <w:rsid w:val="000109B0"/>
    <w:pPr>
      <w:spacing w:line="240" w:lineRule="auto"/>
    </w:pPr>
    <w:rPr>
      <w:sz w:val="20"/>
      <w:szCs w:val="20"/>
    </w:rPr>
  </w:style>
  <w:style w:type="character" w:customStyle="1" w:styleId="CommentTextChar">
    <w:name w:val="Comment Text Char"/>
    <w:basedOn w:val="DefaultParagraphFont"/>
    <w:link w:val="CommentText"/>
    <w:uiPriority w:val="99"/>
    <w:semiHidden/>
    <w:rsid w:val="000109B0"/>
    <w:rPr>
      <w:sz w:val="20"/>
      <w:szCs w:val="20"/>
    </w:rPr>
  </w:style>
  <w:style w:type="paragraph" w:styleId="CommentSubject">
    <w:name w:val="annotation subject"/>
    <w:basedOn w:val="CommentText"/>
    <w:next w:val="CommentText"/>
    <w:link w:val="CommentSubjectChar"/>
    <w:uiPriority w:val="99"/>
    <w:semiHidden/>
    <w:unhideWhenUsed/>
    <w:rsid w:val="000109B0"/>
    <w:rPr>
      <w:b/>
      <w:bCs/>
    </w:rPr>
  </w:style>
  <w:style w:type="character" w:customStyle="1" w:styleId="CommentSubjectChar">
    <w:name w:val="Comment Subject Char"/>
    <w:basedOn w:val="CommentTextChar"/>
    <w:link w:val="CommentSubject"/>
    <w:uiPriority w:val="99"/>
    <w:semiHidden/>
    <w:rsid w:val="000109B0"/>
    <w:rPr>
      <w:b/>
      <w:bCs/>
      <w:sz w:val="20"/>
      <w:szCs w:val="20"/>
    </w:rPr>
  </w:style>
  <w:style w:type="paragraph" w:styleId="NormalWeb">
    <w:name w:val="Normal (Web)"/>
    <w:basedOn w:val="Normal"/>
    <w:uiPriority w:val="99"/>
    <w:semiHidden/>
    <w:unhideWhenUsed/>
    <w:rsid w:val="00AD53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85930">
      <w:bodyDiv w:val="1"/>
      <w:marLeft w:val="0"/>
      <w:marRight w:val="0"/>
      <w:marTop w:val="0"/>
      <w:marBottom w:val="0"/>
      <w:divBdr>
        <w:top w:val="none" w:sz="0" w:space="0" w:color="auto"/>
        <w:left w:val="none" w:sz="0" w:space="0" w:color="auto"/>
        <w:bottom w:val="none" w:sz="0" w:space="0" w:color="auto"/>
        <w:right w:val="none" w:sz="0" w:space="0" w:color="auto"/>
      </w:divBdr>
    </w:div>
    <w:div w:id="442192345">
      <w:bodyDiv w:val="1"/>
      <w:marLeft w:val="0"/>
      <w:marRight w:val="0"/>
      <w:marTop w:val="0"/>
      <w:marBottom w:val="0"/>
      <w:divBdr>
        <w:top w:val="none" w:sz="0" w:space="0" w:color="auto"/>
        <w:left w:val="none" w:sz="0" w:space="0" w:color="auto"/>
        <w:bottom w:val="none" w:sz="0" w:space="0" w:color="auto"/>
        <w:right w:val="none" w:sz="0" w:space="0" w:color="auto"/>
      </w:divBdr>
    </w:div>
    <w:div w:id="742146796">
      <w:bodyDiv w:val="1"/>
      <w:marLeft w:val="0"/>
      <w:marRight w:val="0"/>
      <w:marTop w:val="0"/>
      <w:marBottom w:val="0"/>
      <w:divBdr>
        <w:top w:val="none" w:sz="0" w:space="0" w:color="auto"/>
        <w:left w:val="none" w:sz="0" w:space="0" w:color="auto"/>
        <w:bottom w:val="none" w:sz="0" w:space="0" w:color="auto"/>
        <w:right w:val="none" w:sz="0" w:space="0" w:color="auto"/>
      </w:divBdr>
    </w:div>
    <w:div w:id="76238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1B133-DA34-C548-B0B3-634D03D07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Salinas, Giselle B.</cp:lastModifiedBy>
  <cp:revision>3</cp:revision>
  <cp:lastPrinted>2024-10-25T00:18:00Z</cp:lastPrinted>
  <dcterms:created xsi:type="dcterms:W3CDTF">2024-10-25T00:18:00Z</dcterms:created>
  <dcterms:modified xsi:type="dcterms:W3CDTF">2024-10-25T00:18:00Z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