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D1B" w:rsidRPr="008061E4" w:rsidRDefault="00851D1B" w:rsidP="00262CE4">
      <w:pPr>
        <w:spacing w:line="240" w:lineRule="auto"/>
        <w:rPr>
          <w:rFonts w:cstheme="minorHAnsi"/>
          <w:sz w:val="24"/>
        </w:rPr>
      </w:pPr>
      <w:r w:rsidRPr="008061E4">
        <w:rPr>
          <w:rFonts w:cstheme="minorHAnsi"/>
          <w:b/>
          <w:sz w:val="24"/>
        </w:rPr>
        <w:t>Title:</w:t>
      </w:r>
      <w:r w:rsidRPr="008061E4">
        <w:rPr>
          <w:rFonts w:cstheme="minorHAnsi"/>
          <w:sz w:val="24"/>
        </w:rPr>
        <w:t xml:space="preserve"> Social </w:t>
      </w:r>
      <w:r w:rsidR="00E53E60" w:rsidRPr="008061E4">
        <w:rPr>
          <w:rFonts w:cstheme="minorHAnsi"/>
          <w:sz w:val="24"/>
        </w:rPr>
        <w:t>s</w:t>
      </w:r>
      <w:r w:rsidRPr="008061E4">
        <w:rPr>
          <w:rFonts w:cstheme="minorHAnsi"/>
          <w:sz w:val="24"/>
        </w:rPr>
        <w:t xml:space="preserve">kills in </w:t>
      </w:r>
      <w:r w:rsidR="00E53E60" w:rsidRPr="008061E4">
        <w:rPr>
          <w:rFonts w:cstheme="minorHAnsi"/>
          <w:sz w:val="24"/>
        </w:rPr>
        <w:t>a</w:t>
      </w:r>
      <w:r w:rsidRPr="008061E4">
        <w:rPr>
          <w:rFonts w:cstheme="minorHAnsi"/>
          <w:sz w:val="24"/>
        </w:rPr>
        <w:t xml:space="preserve">dolescent </w:t>
      </w:r>
      <w:r w:rsidR="00E53E60" w:rsidRPr="008061E4">
        <w:rPr>
          <w:rFonts w:cstheme="minorHAnsi"/>
          <w:sz w:val="24"/>
        </w:rPr>
        <w:t>f</w:t>
      </w:r>
      <w:r w:rsidRPr="008061E4">
        <w:rPr>
          <w:rFonts w:cstheme="minorHAnsi"/>
          <w:sz w:val="24"/>
        </w:rPr>
        <w:t xml:space="preserve">emales with </w:t>
      </w:r>
      <w:r w:rsidR="00E53E60" w:rsidRPr="008061E4">
        <w:rPr>
          <w:rFonts w:cstheme="minorHAnsi"/>
          <w:sz w:val="24"/>
        </w:rPr>
        <w:t>a</w:t>
      </w:r>
      <w:r w:rsidRPr="008061E4">
        <w:rPr>
          <w:rFonts w:cstheme="minorHAnsi"/>
          <w:sz w:val="24"/>
        </w:rPr>
        <w:t>utism</w:t>
      </w:r>
      <w:r w:rsidR="00E53E60" w:rsidRPr="008061E4">
        <w:rPr>
          <w:rFonts w:cstheme="minorHAnsi"/>
          <w:sz w:val="24"/>
        </w:rPr>
        <w:t xml:space="preserve"> </w:t>
      </w:r>
      <w:r w:rsidRPr="008061E4">
        <w:rPr>
          <w:rFonts w:cstheme="minorHAnsi"/>
          <w:sz w:val="24"/>
        </w:rPr>
        <w:t xml:space="preserve">with and without </w:t>
      </w:r>
      <w:r w:rsidR="00E53E60" w:rsidRPr="008061E4">
        <w:rPr>
          <w:rFonts w:cstheme="minorHAnsi"/>
          <w:sz w:val="24"/>
        </w:rPr>
        <w:t>c</w:t>
      </w:r>
      <w:r w:rsidRPr="008061E4">
        <w:rPr>
          <w:rFonts w:cstheme="minorHAnsi"/>
          <w:sz w:val="24"/>
        </w:rPr>
        <w:t xml:space="preserve">o-occurring </w:t>
      </w:r>
      <w:r w:rsidR="00E53E60" w:rsidRPr="008061E4">
        <w:rPr>
          <w:rFonts w:cstheme="minorHAnsi"/>
          <w:sz w:val="24"/>
        </w:rPr>
        <w:t>a</w:t>
      </w:r>
      <w:r w:rsidRPr="008061E4">
        <w:rPr>
          <w:rFonts w:cstheme="minorHAnsi"/>
          <w:sz w:val="24"/>
        </w:rPr>
        <w:t>ttention-</w:t>
      </w:r>
      <w:r w:rsidR="00E53E60" w:rsidRPr="008061E4">
        <w:rPr>
          <w:rFonts w:cstheme="minorHAnsi"/>
          <w:sz w:val="24"/>
        </w:rPr>
        <w:t>d</w:t>
      </w:r>
      <w:r w:rsidRPr="008061E4">
        <w:rPr>
          <w:rFonts w:cstheme="minorHAnsi"/>
          <w:sz w:val="24"/>
        </w:rPr>
        <w:t>eficit/</w:t>
      </w:r>
      <w:r w:rsidR="00E53E60" w:rsidRPr="008061E4">
        <w:rPr>
          <w:rFonts w:cstheme="minorHAnsi"/>
          <w:sz w:val="24"/>
        </w:rPr>
        <w:t>h</w:t>
      </w:r>
      <w:r w:rsidRPr="008061E4">
        <w:rPr>
          <w:rFonts w:cstheme="minorHAnsi"/>
          <w:sz w:val="24"/>
        </w:rPr>
        <w:t xml:space="preserve">yperactivity </w:t>
      </w:r>
      <w:r w:rsidR="00E53E60" w:rsidRPr="008061E4">
        <w:rPr>
          <w:rFonts w:cstheme="minorHAnsi"/>
          <w:sz w:val="24"/>
        </w:rPr>
        <w:t>d</w:t>
      </w:r>
      <w:r w:rsidRPr="008061E4">
        <w:rPr>
          <w:rFonts w:cstheme="minorHAnsi"/>
          <w:sz w:val="24"/>
        </w:rPr>
        <w:t>isorder</w:t>
      </w:r>
    </w:p>
    <w:p w:rsidR="00851D1B" w:rsidRPr="008061E4" w:rsidRDefault="00851D1B" w:rsidP="00262CE4">
      <w:pPr>
        <w:spacing w:line="240" w:lineRule="auto"/>
        <w:rPr>
          <w:rFonts w:cstheme="minorHAnsi"/>
          <w:sz w:val="24"/>
          <w:vertAlign w:val="superscript"/>
        </w:rPr>
      </w:pPr>
      <w:r w:rsidRPr="008061E4">
        <w:rPr>
          <w:rFonts w:cstheme="minorHAnsi"/>
          <w:b/>
          <w:sz w:val="24"/>
        </w:rPr>
        <w:t>Authors:</w:t>
      </w:r>
      <w:r w:rsidRPr="008061E4">
        <w:rPr>
          <w:rFonts w:cstheme="minorHAnsi"/>
          <w:sz w:val="24"/>
        </w:rPr>
        <w:t xml:space="preserve"> Margaret Johansson</w:t>
      </w:r>
      <w:r w:rsidRPr="008061E4">
        <w:rPr>
          <w:rFonts w:cstheme="minorHAnsi"/>
          <w:sz w:val="24"/>
          <w:vertAlign w:val="superscript"/>
        </w:rPr>
        <w:t xml:space="preserve">1,2 </w:t>
      </w:r>
      <w:r w:rsidRPr="008061E4">
        <w:rPr>
          <w:rFonts w:cstheme="minorHAnsi"/>
          <w:sz w:val="24"/>
        </w:rPr>
        <w:t>&amp; Emily Neuhaus</w:t>
      </w:r>
      <w:r w:rsidRPr="008061E4">
        <w:rPr>
          <w:rFonts w:cstheme="minorHAnsi"/>
          <w:sz w:val="24"/>
          <w:vertAlign w:val="superscript"/>
        </w:rPr>
        <w:t>1,2</w:t>
      </w:r>
    </w:p>
    <w:p w:rsidR="00851D1B" w:rsidRPr="008061E4" w:rsidRDefault="00851D1B" w:rsidP="00262CE4">
      <w:pPr>
        <w:spacing w:line="240" w:lineRule="auto"/>
        <w:rPr>
          <w:rFonts w:cstheme="minorHAnsi"/>
          <w:sz w:val="24"/>
        </w:rPr>
      </w:pPr>
      <w:r w:rsidRPr="008061E4">
        <w:rPr>
          <w:rFonts w:cstheme="minorHAnsi"/>
          <w:b/>
          <w:sz w:val="24"/>
        </w:rPr>
        <w:t>Introduction</w:t>
      </w:r>
      <w:r w:rsidRPr="008061E4">
        <w:rPr>
          <w:rFonts w:cstheme="minorHAnsi"/>
          <w:sz w:val="24"/>
        </w:rPr>
        <w:t>:</w:t>
      </w:r>
      <w:r w:rsidR="007A49E7" w:rsidRPr="008061E4">
        <w:rPr>
          <w:rFonts w:cstheme="minorHAnsi"/>
          <w:sz w:val="24"/>
        </w:rPr>
        <w:t xml:space="preserve"> </w:t>
      </w:r>
      <w:r w:rsidR="009B4A8D" w:rsidRPr="008061E4">
        <w:rPr>
          <w:rFonts w:cstheme="minorHAnsi"/>
          <w:sz w:val="24"/>
        </w:rPr>
        <w:t>Autism spectrum disorder (ASD) and attention-deficit/hyperactivity disorder (ADHD) frequent</w:t>
      </w:r>
      <w:r w:rsidR="00E53E60" w:rsidRPr="008061E4">
        <w:rPr>
          <w:rFonts w:cstheme="minorHAnsi"/>
          <w:sz w:val="24"/>
        </w:rPr>
        <w:t>ly co-occur</w:t>
      </w:r>
      <w:r w:rsidR="00D66869" w:rsidRPr="008061E4">
        <w:rPr>
          <w:rFonts w:cstheme="minorHAnsi"/>
          <w:sz w:val="24"/>
        </w:rPr>
        <w:t xml:space="preserve"> and both include differences in social skills over the course of childhood and adolescence. Because both ASD and ADHD are diagnosed more frequently in males, girls and women are often</w:t>
      </w:r>
      <w:r w:rsidR="009B4A8D" w:rsidRPr="008061E4">
        <w:rPr>
          <w:rFonts w:cstheme="minorHAnsi"/>
          <w:sz w:val="24"/>
        </w:rPr>
        <w:t xml:space="preserve"> </w:t>
      </w:r>
      <w:r w:rsidR="00E53E60" w:rsidRPr="008061E4">
        <w:rPr>
          <w:rFonts w:cstheme="minorHAnsi"/>
          <w:sz w:val="24"/>
        </w:rPr>
        <w:t>underrepresent</w:t>
      </w:r>
      <w:r w:rsidR="00D66869" w:rsidRPr="008061E4">
        <w:rPr>
          <w:rFonts w:cstheme="minorHAnsi"/>
          <w:sz w:val="24"/>
        </w:rPr>
        <w:t>ed i</w:t>
      </w:r>
      <w:r w:rsidR="009B4A8D" w:rsidRPr="008061E4">
        <w:rPr>
          <w:rFonts w:cstheme="minorHAnsi"/>
          <w:sz w:val="24"/>
        </w:rPr>
        <w:t>n research</w:t>
      </w:r>
      <w:r w:rsidR="00D66869" w:rsidRPr="008061E4">
        <w:rPr>
          <w:rFonts w:cstheme="minorHAnsi"/>
          <w:sz w:val="24"/>
        </w:rPr>
        <w:t xml:space="preserve"> samples, particularly in work exploring the co-occurrence of these conditions. The </w:t>
      </w:r>
      <w:r w:rsidR="00730A9D" w:rsidRPr="008061E4">
        <w:rPr>
          <w:rFonts w:cstheme="minorHAnsi"/>
          <w:sz w:val="24"/>
        </w:rPr>
        <w:t xml:space="preserve">primary </w:t>
      </w:r>
      <w:r w:rsidR="00D66869" w:rsidRPr="008061E4">
        <w:rPr>
          <w:rFonts w:cstheme="minorHAnsi"/>
          <w:sz w:val="24"/>
        </w:rPr>
        <w:t xml:space="preserve">goal of this study was to examine social </w:t>
      </w:r>
      <w:r w:rsidR="000255DC" w:rsidRPr="008061E4">
        <w:rPr>
          <w:rFonts w:cstheme="minorHAnsi"/>
          <w:sz w:val="24"/>
        </w:rPr>
        <w:t>functioning</w:t>
      </w:r>
      <w:r w:rsidR="00D66869" w:rsidRPr="008061E4">
        <w:rPr>
          <w:rFonts w:cstheme="minorHAnsi"/>
          <w:sz w:val="24"/>
        </w:rPr>
        <w:t xml:space="preserve"> among adolescent females with ASD </w:t>
      </w:r>
      <w:r w:rsidR="00730A9D" w:rsidRPr="008061E4">
        <w:rPr>
          <w:rFonts w:cstheme="minorHAnsi"/>
          <w:sz w:val="24"/>
        </w:rPr>
        <w:t>with</w:t>
      </w:r>
      <w:r w:rsidR="00D66869" w:rsidRPr="008061E4">
        <w:rPr>
          <w:rFonts w:cstheme="minorHAnsi"/>
          <w:sz w:val="24"/>
        </w:rPr>
        <w:t xml:space="preserve"> regard to the presence or absence of co-occurring ADHD.</w:t>
      </w:r>
      <w:r w:rsidR="00730A9D" w:rsidRPr="008061E4">
        <w:rPr>
          <w:rFonts w:cstheme="minorHAnsi"/>
          <w:sz w:val="24"/>
        </w:rPr>
        <w:t xml:space="preserve"> As a secondary goal, we considered associations between social functioning and internalizing/externalizing difficulties in relation to ADHD.</w:t>
      </w:r>
      <w:r w:rsidR="00F05DBA" w:rsidRPr="008061E4">
        <w:rPr>
          <w:rFonts w:cstheme="minorHAnsi"/>
          <w:sz w:val="24"/>
        </w:rPr>
        <w:t xml:space="preserve"> Previous literature has suggested largely comparable social skills across ASD versus ASD+ADHD</w:t>
      </w:r>
      <w:r w:rsidR="009C1C1B" w:rsidRPr="008061E4">
        <w:rPr>
          <w:rFonts w:cstheme="minorHAnsi"/>
          <w:sz w:val="24"/>
          <w:vertAlign w:val="superscript"/>
        </w:rPr>
        <w:t>1,2</w:t>
      </w:r>
      <w:r w:rsidR="00F05DBA" w:rsidRPr="008061E4">
        <w:rPr>
          <w:rFonts w:cstheme="minorHAnsi"/>
          <w:sz w:val="24"/>
        </w:rPr>
        <w:t>, but few studies have examined nuanced social skills among females.</w:t>
      </w:r>
    </w:p>
    <w:p w:rsidR="00851D1B" w:rsidRPr="008061E4" w:rsidRDefault="00851D1B" w:rsidP="00262CE4">
      <w:pPr>
        <w:spacing w:line="240" w:lineRule="auto"/>
        <w:rPr>
          <w:rFonts w:cstheme="minorHAnsi"/>
          <w:sz w:val="24"/>
        </w:rPr>
      </w:pPr>
      <w:r w:rsidRPr="008061E4">
        <w:rPr>
          <w:rFonts w:cstheme="minorHAnsi"/>
          <w:b/>
          <w:sz w:val="24"/>
        </w:rPr>
        <w:t>Method</w:t>
      </w:r>
      <w:r w:rsidRPr="008061E4">
        <w:rPr>
          <w:rFonts w:cstheme="minorHAnsi"/>
          <w:sz w:val="24"/>
        </w:rPr>
        <w:t>:</w:t>
      </w:r>
      <w:r w:rsidR="000255DC" w:rsidRPr="008061E4">
        <w:rPr>
          <w:rFonts w:cstheme="minorHAnsi"/>
          <w:sz w:val="24"/>
        </w:rPr>
        <w:t xml:space="preserve"> Participants were drawn from</w:t>
      </w:r>
      <w:r w:rsidR="00A349B5" w:rsidRPr="008061E4">
        <w:rPr>
          <w:rFonts w:cstheme="minorHAnsi"/>
          <w:sz w:val="24"/>
        </w:rPr>
        <w:t xml:space="preserve"> the phenotypic dataset created through</w:t>
      </w:r>
      <w:r w:rsidR="000255DC" w:rsidRPr="008061E4">
        <w:rPr>
          <w:rFonts w:cstheme="minorHAnsi"/>
          <w:sz w:val="24"/>
        </w:rPr>
        <w:t xml:space="preserve"> SPARK (Simons Powering Autism Research and Knowledge)</w:t>
      </w:r>
      <w:r w:rsidR="00A349B5" w:rsidRPr="008061E4">
        <w:rPr>
          <w:rFonts w:cstheme="minorHAnsi"/>
          <w:sz w:val="24"/>
        </w:rPr>
        <w:t xml:space="preserve">, a national network of clinical sites serving individuals with autism. On the basis of available data, the current sample </w:t>
      </w:r>
      <w:r w:rsidR="000255DC" w:rsidRPr="008061E4">
        <w:rPr>
          <w:rFonts w:cstheme="minorHAnsi"/>
          <w:sz w:val="24"/>
        </w:rPr>
        <w:t xml:space="preserve">comprised 1120 adolescent females (ages 12-18:11 years old, </w:t>
      </w:r>
      <w:r w:rsidR="000255DC" w:rsidRPr="008061E4">
        <w:rPr>
          <w:rFonts w:cstheme="minorHAnsi"/>
          <w:i/>
          <w:sz w:val="24"/>
        </w:rPr>
        <w:t>M</w:t>
      </w:r>
      <w:r w:rsidR="000255DC" w:rsidRPr="008061E4">
        <w:rPr>
          <w:rFonts w:cstheme="minorHAnsi"/>
          <w:sz w:val="24"/>
        </w:rPr>
        <w:t xml:space="preserve"> = 14.17, </w:t>
      </w:r>
      <w:r w:rsidR="000255DC" w:rsidRPr="008061E4">
        <w:rPr>
          <w:rFonts w:cstheme="minorHAnsi"/>
          <w:i/>
          <w:sz w:val="24"/>
        </w:rPr>
        <w:t>SD</w:t>
      </w:r>
      <w:r w:rsidR="000255DC" w:rsidRPr="008061E4">
        <w:rPr>
          <w:rFonts w:cstheme="minorHAnsi"/>
          <w:sz w:val="24"/>
        </w:rPr>
        <w:t xml:space="preserve"> = 1.83) with professional diagnoses of </w:t>
      </w:r>
      <w:r w:rsidR="00761915" w:rsidRPr="008061E4">
        <w:rPr>
          <w:rFonts w:cstheme="minorHAnsi"/>
          <w:sz w:val="24"/>
        </w:rPr>
        <w:t>ASD, of whom 52% ha</w:t>
      </w:r>
      <w:r w:rsidR="000255DC" w:rsidRPr="008061E4">
        <w:rPr>
          <w:rFonts w:cstheme="minorHAnsi"/>
          <w:sz w:val="24"/>
        </w:rPr>
        <w:t>d co-occurring ADHD</w:t>
      </w:r>
      <w:r w:rsidR="00F33E81" w:rsidRPr="008061E4">
        <w:rPr>
          <w:rFonts w:cstheme="minorHAnsi"/>
          <w:sz w:val="24"/>
        </w:rPr>
        <w:t xml:space="preserve"> (ASD+ADHD)</w:t>
      </w:r>
      <w:r w:rsidR="000255DC" w:rsidRPr="008061E4">
        <w:rPr>
          <w:rFonts w:cstheme="minorHAnsi"/>
          <w:sz w:val="24"/>
        </w:rPr>
        <w:t>.</w:t>
      </w:r>
      <w:r w:rsidR="00761915" w:rsidRPr="008061E4">
        <w:rPr>
          <w:rFonts w:cstheme="minorHAnsi"/>
          <w:sz w:val="24"/>
        </w:rPr>
        <w:t xml:space="preserve"> Social skills were assessed via caregiver-report with the </w:t>
      </w:r>
      <w:r w:rsidR="00761915" w:rsidRPr="00B82DE0">
        <w:rPr>
          <w:rFonts w:cstheme="minorHAnsi"/>
          <w:sz w:val="24"/>
        </w:rPr>
        <w:t>Vineland Adaptive Behavior Scales, 3</w:t>
      </w:r>
      <w:r w:rsidR="00761915" w:rsidRPr="00B82DE0">
        <w:rPr>
          <w:rFonts w:cstheme="minorHAnsi"/>
          <w:sz w:val="24"/>
          <w:vertAlign w:val="superscript"/>
        </w:rPr>
        <w:t>rd</w:t>
      </w:r>
      <w:r w:rsidR="00761915" w:rsidRPr="00B82DE0">
        <w:rPr>
          <w:rFonts w:cstheme="minorHAnsi"/>
          <w:sz w:val="24"/>
        </w:rPr>
        <w:t xml:space="preserve"> Ed.</w:t>
      </w:r>
      <w:r w:rsidR="00A9470C" w:rsidRPr="00B82DE0">
        <w:rPr>
          <w:rFonts w:cstheme="minorHAnsi"/>
          <w:sz w:val="24"/>
          <w:vertAlign w:val="superscript"/>
        </w:rPr>
        <w:t>3</w:t>
      </w:r>
      <w:r w:rsidR="00761915" w:rsidRPr="00B82DE0">
        <w:rPr>
          <w:rFonts w:cstheme="minorHAnsi"/>
          <w:sz w:val="24"/>
        </w:rPr>
        <w:t xml:space="preserve"> For a subset of participants, caregiver-reported mental health symptoms were available via the Child Behavior Checklist (CBCL)</w:t>
      </w:r>
      <w:r w:rsidR="00A9470C" w:rsidRPr="00B82DE0">
        <w:rPr>
          <w:rFonts w:cstheme="minorHAnsi"/>
          <w:sz w:val="24"/>
          <w:vertAlign w:val="superscript"/>
        </w:rPr>
        <w:t>4</w:t>
      </w:r>
      <w:r w:rsidR="00730A9D" w:rsidRPr="00B82DE0">
        <w:rPr>
          <w:rFonts w:cstheme="minorHAnsi"/>
          <w:sz w:val="24"/>
        </w:rPr>
        <w:t>.</w:t>
      </w:r>
      <w:r w:rsidR="004679F6" w:rsidRPr="00B82DE0">
        <w:rPr>
          <w:rFonts w:cstheme="minorHAnsi"/>
          <w:sz w:val="24"/>
        </w:rPr>
        <w:t xml:space="preserve"> General linear models were computed to </w:t>
      </w:r>
      <w:r w:rsidR="00E5262E" w:rsidRPr="00B82DE0">
        <w:rPr>
          <w:rFonts w:cstheme="minorHAnsi"/>
          <w:sz w:val="24"/>
        </w:rPr>
        <w:t xml:space="preserve">examine the effect of ADHD on overall social skills, </w:t>
      </w:r>
      <w:r w:rsidR="00EE7872" w:rsidRPr="00B82DE0">
        <w:rPr>
          <w:rFonts w:cstheme="minorHAnsi"/>
          <w:sz w:val="24"/>
        </w:rPr>
        <w:t>as well as</w:t>
      </w:r>
      <w:r w:rsidR="00A349B5" w:rsidRPr="008061E4">
        <w:rPr>
          <w:rFonts w:cstheme="minorHAnsi"/>
          <w:sz w:val="24"/>
        </w:rPr>
        <w:t xml:space="preserve"> on</w:t>
      </w:r>
      <w:r w:rsidR="00EE7872" w:rsidRPr="008061E4">
        <w:rPr>
          <w:rFonts w:cstheme="minorHAnsi"/>
          <w:sz w:val="24"/>
        </w:rPr>
        <w:t xml:space="preserve"> profiles of </w:t>
      </w:r>
      <w:r w:rsidR="00A349B5" w:rsidRPr="008061E4">
        <w:rPr>
          <w:rFonts w:cstheme="minorHAnsi"/>
          <w:sz w:val="24"/>
        </w:rPr>
        <w:t xml:space="preserve">finer-grained </w:t>
      </w:r>
      <w:r w:rsidR="00EE7872" w:rsidRPr="008061E4">
        <w:rPr>
          <w:rFonts w:cstheme="minorHAnsi"/>
          <w:sz w:val="24"/>
        </w:rPr>
        <w:t xml:space="preserve">social </w:t>
      </w:r>
      <w:r w:rsidR="00A349B5" w:rsidRPr="008061E4">
        <w:rPr>
          <w:rFonts w:cstheme="minorHAnsi"/>
          <w:sz w:val="24"/>
        </w:rPr>
        <w:t xml:space="preserve">skills </w:t>
      </w:r>
      <w:r w:rsidR="004679F6" w:rsidRPr="008061E4">
        <w:rPr>
          <w:rFonts w:cstheme="minorHAnsi"/>
          <w:sz w:val="24"/>
        </w:rPr>
        <w:t>(Coping</w:t>
      </w:r>
      <w:r w:rsidR="00EE7872" w:rsidRPr="008061E4">
        <w:rPr>
          <w:rFonts w:cstheme="minorHAnsi"/>
          <w:sz w:val="24"/>
        </w:rPr>
        <w:t xml:space="preserve"> Skills</w:t>
      </w:r>
      <w:r w:rsidR="004679F6" w:rsidRPr="008061E4">
        <w:rPr>
          <w:rFonts w:cstheme="minorHAnsi"/>
          <w:sz w:val="24"/>
        </w:rPr>
        <w:t>, Interpersonal</w:t>
      </w:r>
      <w:r w:rsidR="00EE7872" w:rsidRPr="008061E4">
        <w:rPr>
          <w:rFonts w:cstheme="minorHAnsi"/>
          <w:sz w:val="24"/>
        </w:rPr>
        <w:t xml:space="preserve"> Relationships</w:t>
      </w:r>
      <w:r w:rsidR="004679F6" w:rsidRPr="008061E4">
        <w:rPr>
          <w:rFonts w:cstheme="minorHAnsi"/>
          <w:sz w:val="24"/>
        </w:rPr>
        <w:t>, and Play/Leisure</w:t>
      </w:r>
      <w:r w:rsidR="00A349B5" w:rsidRPr="008061E4">
        <w:rPr>
          <w:rFonts w:cstheme="minorHAnsi"/>
          <w:sz w:val="24"/>
        </w:rPr>
        <w:t xml:space="preserve"> subscales</w:t>
      </w:r>
      <w:r w:rsidR="004679F6" w:rsidRPr="008061E4">
        <w:rPr>
          <w:rFonts w:cstheme="minorHAnsi"/>
          <w:sz w:val="24"/>
        </w:rPr>
        <w:t>)</w:t>
      </w:r>
      <w:r w:rsidR="00EE7872" w:rsidRPr="008061E4">
        <w:rPr>
          <w:rFonts w:cstheme="minorHAnsi"/>
          <w:sz w:val="24"/>
        </w:rPr>
        <w:t xml:space="preserve">. </w:t>
      </w:r>
      <w:r w:rsidR="00F157CE">
        <w:rPr>
          <w:rFonts w:cstheme="minorHAnsi"/>
          <w:sz w:val="24"/>
        </w:rPr>
        <w:t>L</w:t>
      </w:r>
      <w:r w:rsidR="00F157CE" w:rsidRPr="008061E4">
        <w:rPr>
          <w:rFonts w:cstheme="minorHAnsi"/>
          <w:sz w:val="24"/>
        </w:rPr>
        <w:t>ogistic regression was conducted to determine whether social skill subscales could distinguish between ASD versus ASD+ADHD groups</w:t>
      </w:r>
      <w:r w:rsidR="00F157CE">
        <w:rPr>
          <w:rFonts w:cstheme="minorHAnsi"/>
          <w:sz w:val="24"/>
        </w:rPr>
        <w:t>, and c</w:t>
      </w:r>
      <w:r w:rsidR="00EE7872" w:rsidRPr="008061E4">
        <w:rPr>
          <w:rFonts w:cstheme="minorHAnsi"/>
          <w:sz w:val="24"/>
        </w:rPr>
        <w:t>orrelations were computed to consider relationships between social skills and mental health sy</w:t>
      </w:r>
      <w:r w:rsidR="004E5484" w:rsidRPr="008061E4">
        <w:rPr>
          <w:rFonts w:cstheme="minorHAnsi"/>
          <w:sz w:val="24"/>
        </w:rPr>
        <w:t>m</w:t>
      </w:r>
      <w:r w:rsidR="00EE7872" w:rsidRPr="008061E4">
        <w:rPr>
          <w:rFonts w:cstheme="minorHAnsi"/>
          <w:sz w:val="24"/>
        </w:rPr>
        <w:t>ptoms</w:t>
      </w:r>
      <w:r w:rsidR="0095588F" w:rsidRPr="008061E4">
        <w:rPr>
          <w:rFonts w:cstheme="minorHAnsi"/>
          <w:sz w:val="24"/>
        </w:rPr>
        <w:t>.</w:t>
      </w:r>
    </w:p>
    <w:p w:rsidR="00AF2ED1" w:rsidRPr="008061E4" w:rsidRDefault="00851D1B" w:rsidP="00262CE4">
      <w:pPr>
        <w:spacing w:line="240" w:lineRule="auto"/>
        <w:rPr>
          <w:rFonts w:cstheme="minorHAnsi"/>
          <w:sz w:val="24"/>
        </w:rPr>
      </w:pPr>
      <w:r w:rsidRPr="008061E4">
        <w:rPr>
          <w:rFonts w:cstheme="minorHAnsi"/>
          <w:b/>
          <w:sz w:val="24"/>
        </w:rPr>
        <w:t>Results:</w:t>
      </w:r>
      <w:r w:rsidR="00730A9D" w:rsidRPr="008061E4">
        <w:rPr>
          <w:rFonts w:cstheme="minorHAnsi"/>
          <w:b/>
          <w:sz w:val="24"/>
        </w:rPr>
        <w:t xml:space="preserve"> </w:t>
      </w:r>
      <w:r w:rsidR="00EB051C" w:rsidRPr="008061E4">
        <w:rPr>
          <w:rFonts w:cstheme="minorHAnsi"/>
          <w:sz w:val="24"/>
        </w:rPr>
        <w:t xml:space="preserve">Although there were no differences in overall social skills between adolescent females with ASD </w:t>
      </w:r>
      <w:r w:rsidR="00EC079D" w:rsidRPr="008061E4">
        <w:rPr>
          <w:rFonts w:cstheme="minorHAnsi"/>
          <w:sz w:val="24"/>
        </w:rPr>
        <w:t xml:space="preserve">only </w:t>
      </w:r>
      <w:r w:rsidR="00EB051C" w:rsidRPr="008061E4">
        <w:rPr>
          <w:rFonts w:cstheme="minorHAnsi"/>
          <w:sz w:val="24"/>
        </w:rPr>
        <w:t>versus ASD+ADHD</w:t>
      </w:r>
      <w:r w:rsidR="00EC079D" w:rsidRPr="008061E4">
        <w:rPr>
          <w:rFonts w:cstheme="minorHAnsi"/>
          <w:sz w:val="24"/>
        </w:rPr>
        <w:t xml:space="preserve"> (</w:t>
      </w:r>
      <w:r w:rsidR="00EC079D" w:rsidRPr="008061E4">
        <w:rPr>
          <w:rFonts w:cstheme="minorHAnsi"/>
          <w:i/>
          <w:sz w:val="24"/>
        </w:rPr>
        <w:t>F</w:t>
      </w:r>
      <w:r w:rsidR="00EC079D" w:rsidRPr="008061E4">
        <w:rPr>
          <w:rFonts w:cstheme="minorHAnsi"/>
          <w:sz w:val="24"/>
        </w:rPr>
        <w:t xml:space="preserve">(1,1118)=0.01, </w:t>
      </w:r>
      <w:r w:rsidR="00EC079D" w:rsidRPr="008061E4">
        <w:rPr>
          <w:rFonts w:cstheme="minorHAnsi"/>
          <w:i/>
          <w:sz w:val="24"/>
        </w:rPr>
        <w:t>p</w:t>
      </w:r>
      <w:r w:rsidR="00EC079D" w:rsidRPr="008061E4">
        <w:rPr>
          <w:rFonts w:cstheme="minorHAnsi"/>
          <w:sz w:val="24"/>
        </w:rPr>
        <w:t>=.01</w:t>
      </w:r>
      <w:r w:rsidR="00EB051C" w:rsidRPr="008061E4">
        <w:rPr>
          <w:rFonts w:cstheme="minorHAnsi"/>
          <w:sz w:val="24"/>
        </w:rPr>
        <w:t xml:space="preserve">, </w:t>
      </w:r>
      <w:r w:rsidR="00EC079D" w:rsidRPr="008061E4">
        <w:rPr>
          <w:rFonts w:cstheme="minorHAnsi"/>
          <w:sz w:val="24"/>
        </w:rPr>
        <w:t xml:space="preserve">a Group x Subscale interaction indicated that profiles of </w:t>
      </w:r>
      <w:r w:rsidR="00EB051C" w:rsidRPr="008061E4">
        <w:rPr>
          <w:rFonts w:cstheme="minorHAnsi"/>
          <w:sz w:val="24"/>
        </w:rPr>
        <w:t>specific subscales with</w:t>
      </w:r>
      <w:r w:rsidR="00EC079D" w:rsidRPr="008061E4">
        <w:rPr>
          <w:rFonts w:cstheme="minorHAnsi"/>
          <w:sz w:val="24"/>
        </w:rPr>
        <w:t>in</w:t>
      </w:r>
      <w:r w:rsidR="00EB051C" w:rsidRPr="008061E4">
        <w:rPr>
          <w:rFonts w:cstheme="minorHAnsi"/>
          <w:sz w:val="24"/>
        </w:rPr>
        <w:t xml:space="preserve"> the Vineland-3 </w:t>
      </w:r>
      <w:r w:rsidR="00EC079D" w:rsidRPr="008061E4">
        <w:rPr>
          <w:rFonts w:cstheme="minorHAnsi"/>
          <w:sz w:val="24"/>
        </w:rPr>
        <w:t xml:space="preserve">differed across the groups, </w:t>
      </w:r>
      <w:r w:rsidR="00EC079D" w:rsidRPr="008061E4">
        <w:rPr>
          <w:rFonts w:cstheme="minorHAnsi"/>
          <w:i/>
          <w:sz w:val="24"/>
        </w:rPr>
        <w:t>F</w:t>
      </w:r>
      <w:r w:rsidR="00EC079D" w:rsidRPr="008061E4">
        <w:rPr>
          <w:rFonts w:cstheme="minorHAnsi"/>
          <w:sz w:val="24"/>
        </w:rPr>
        <w:t xml:space="preserve">(1.96, 2236)=16.20, </w:t>
      </w:r>
      <w:r w:rsidR="00EC079D" w:rsidRPr="008061E4">
        <w:rPr>
          <w:rFonts w:cstheme="minorHAnsi"/>
          <w:i/>
          <w:sz w:val="24"/>
        </w:rPr>
        <w:t>p</w:t>
      </w:r>
      <w:r w:rsidR="00EC079D" w:rsidRPr="008061E4">
        <w:rPr>
          <w:rFonts w:cstheme="minorHAnsi"/>
          <w:sz w:val="24"/>
        </w:rPr>
        <w:t>&lt;.001. Co-occurring ADHD was associated with weaker skills in the Coping</w:t>
      </w:r>
      <w:r w:rsidR="00F7041C" w:rsidRPr="008061E4">
        <w:rPr>
          <w:rFonts w:cstheme="minorHAnsi"/>
          <w:sz w:val="24"/>
        </w:rPr>
        <w:t xml:space="preserve"> Skills</w:t>
      </w:r>
      <w:r w:rsidR="00EC079D" w:rsidRPr="008061E4">
        <w:rPr>
          <w:rFonts w:cstheme="minorHAnsi"/>
          <w:sz w:val="24"/>
        </w:rPr>
        <w:t xml:space="preserve"> subscale</w:t>
      </w:r>
      <w:r w:rsidR="003438D0" w:rsidRPr="008061E4">
        <w:rPr>
          <w:rFonts w:cstheme="minorHAnsi"/>
          <w:sz w:val="24"/>
        </w:rPr>
        <w:t xml:space="preserve"> only, </w:t>
      </w:r>
      <w:r w:rsidR="003438D0" w:rsidRPr="008061E4">
        <w:rPr>
          <w:rFonts w:cstheme="minorHAnsi"/>
          <w:i/>
          <w:sz w:val="24"/>
        </w:rPr>
        <w:t>F</w:t>
      </w:r>
      <w:r w:rsidR="003438D0" w:rsidRPr="008061E4">
        <w:rPr>
          <w:rFonts w:cstheme="minorHAnsi"/>
          <w:sz w:val="24"/>
        </w:rPr>
        <w:t xml:space="preserve">(1,1118)=8.72, </w:t>
      </w:r>
      <w:r w:rsidR="003438D0" w:rsidRPr="008061E4">
        <w:rPr>
          <w:rFonts w:cstheme="minorHAnsi"/>
          <w:i/>
          <w:sz w:val="24"/>
        </w:rPr>
        <w:t>p</w:t>
      </w:r>
      <w:r w:rsidR="003438D0" w:rsidRPr="008061E4">
        <w:rPr>
          <w:rFonts w:cstheme="minorHAnsi"/>
          <w:sz w:val="24"/>
        </w:rPr>
        <w:t xml:space="preserve">=.003. </w:t>
      </w:r>
      <w:r w:rsidR="00F157CE">
        <w:rPr>
          <w:rFonts w:cstheme="minorHAnsi"/>
          <w:sz w:val="24"/>
        </w:rPr>
        <w:t>S</w:t>
      </w:r>
      <w:r w:rsidR="00F157CE" w:rsidRPr="008061E4">
        <w:rPr>
          <w:rFonts w:cstheme="minorHAnsi"/>
          <w:sz w:val="24"/>
        </w:rPr>
        <w:t xml:space="preserve">ignificant logistic regression results, </w:t>
      </w:r>
      <w:r w:rsidR="00F157CE" w:rsidRPr="008061E4">
        <w:rPr>
          <w:rFonts w:cstheme="minorHAnsi"/>
          <w:i/>
          <w:sz w:val="24"/>
        </w:rPr>
        <w:t>χ</w:t>
      </w:r>
      <w:r w:rsidR="00F157CE" w:rsidRPr="008061E4">
        <w:rPr>
          <w:rFonts w:cstheme="minorHAnsi"/>
          <w:sz w:val="24"/>
          <w:vertAlign w:val="superscript"/>
        </w:rPr>
        <w:t>2</w:t>
      </w:r>
      <w:r w:rsidR="00F157CE" w:rsidRPr="008061E4">
        <w:rPr>
          <w:rFonts w:cstheme="minorHAnsi"/>
          <w:sz w:val="24"/>
        </w:rPr>
        <w:t xml:space="preserve">(3)=28.58, </w:t>
      </w:r>
      <w:r w:rsidR="00F157CE" w:rsidRPr="008061E4">
        <w:rPr>
          <w:rFonts w:cstheme="minorHAnsi"/>
          <w:i/>
          <w:sz w:val="24"/>
        </w:rPr>
        <w:t>p</w:t>
      </w:r>
      <w:r w:rsidR="00F157CE" w:rsidRPr="008061E4">
        <w:rPr>
          <w:rFonts w:cstheme="minorHAnsi"/>
          <w:sz w:val="24"/>
        </w:rPr>
        <w:t xml:space="preserve">&lt;.001, </w:t>
      </w:r>
      <w:proofErr w:type="spellStart"/>
      <w:r w:rsidR="00F157CE" w:rsidRPr="008061E4">
        <w:rPr>
          <w:rFonts w:cstheme="minorHAnsi"/>
          <w:sz w:val="24"/>
        </w:rPr>
        <w:t>Nagelkerke</w:t>
      </w:r>
      <w:proofErr w:type="spellEnd"/>
      <w:r w:rsidR="00F157CE" w:rsidRPr="008061E4">
        <w:rPr>
          <w:rFonts w:cstheme="minorHAnsi"/>
          <w:sz w:val="24"/>
        </w:rPr>
        <w:t xml:space="preserve"> </w:t>
      </w:r>
      <w:r w:rsidR="00F157CE" w:rsidRPr="008061E4">
        <w:rPr>
          <w:rFonts w:cstheme="minorHAnsi"/>
          <w:i/>
          <w:sz w:val="24"/>
        </w:rPr>
        <w:t>R</w:t>
      </w:r>
      <w:r w:rsidR="00F157CE" w:rsidRPr="008061E4">
        <w:rPr>
          <w:rFonts w:cstheme="minorHAnsi"/>
          <w:sz w:val="24"/>
          <w:vertAlign w:val="superscript"/>
        </w:rPr>
        <w:t>2</w:t>
      </w:r>
      <w:r w:rsidR="00F157CE" w:rsidRPr="008061E4">
        <w:rPr>
          <w:rFonts w:cstheme="minorHAnsi"/>
          <w:sz w:val="24"/>
        </w:rPr>
        <w:t xml:space="preserve">=.03, indicated that group membership in the ASD+ADHD group was predicted by Coping Skills, </w:t>
      </w:r>
      <w:r w:rsidR="00F157CE" w:rsidRPr="008061E4">
        <w:rPr>
          <w:rFonts w:cstheme="minorHAnsi"/>
          <w:i/>
          <w:sz w:val="24"/>
        </w:rPr>
        <w:t>p</w:t>
      </w:r>
      <w:r w:rsidR="00F157CE" w:rsidRPr="008061E4">
        <w:rPr>
          <w:rFonts w:cstheme="minorHAnsi"/>
          <w:sz w:val="24"/>
        </w:rPr>
        <w:t xml:space="preserve">&lt;.001, and Play/Leisure, </w:t>
      </w:r>
      <w:r w:rsidR="00F157CE" w:rsidRPr="008061E4">
        <w:rPr>
          <w:rFonts w:cstheme="minorHAnsi"/>
          <w:i/>
          <w:sz w:val="24"/>
        </w:rPr>
        <w:t>p</w:t>
      </w:r>
      <w:r w:rsidR="00F157CE" w:rsidRPr="008061E4">
        <w:rPr>
          <w:rFonts w:cstheme="minorHAnsi"/>
          <w:sz w:val="24"/>
        </w:rPr>
        <w:t>=.002, such that co-occurring ADHD corresponded to poorer coping but stronger play/leisure skills</w:t>
      </w:r>
      <w:r w:rsidR="00F157CE">
        <w:rPr>
          <w:rFonts w:cstheme="minorHAnsi"/>
          <w:sz w:val="24"/>
        </w:rPr>
        <w:t xml:space="preserve"> relative to ASD only</w:t>
      </w:r>
      <w:r w:rsidR="00F157CE" w:rsidRPr="008061E4">
        <w:rPr>
          <w:rFonts w:cstheme="minorHAnsi"/>
          <w:sz w:val="24"/>
        </w:rPr>
        <w:t>.</w:t>
      </w:r>
      <w:r w:rsidR="00F157CE">
        <w:rPr>
          <w:rFonts w:cstheme="minorHAnsi"/>
          <w:sz w:val="24"/>
        </w:rPr>
        <w:t xml:space="preserve"> </w:t>
      </w:r>
      <w:r w:rsidR="009F3DA1" w:rsidRPr="008061E4">
        <w:rPr>
          <w:rFonts w:cstheme="minorHAnsi"/>
          <w:sz w:val="24"/>
        </w:rPr>
        <w:t xml:space="preserve">For the full sample, </w:t>
      </w:r>
      <w:r w:rsidR="00C20084" w:rsidRPr="008061E4">
        <w:rPr>
          <w:rFonts w:cstheme="minorHAnsi"/>
          <w:sz w:val="24"/>
        </w:rPr>
        <w:t>social skills across all Vineland-3 metrics were negativ</w:t>
      </w:r>
      <w:r w:rsidR="00E504A9">
        <w:rPr>
          <w:rFonts w:cstheme="minorHAnsi"/>
          <w:sz w:val="24"/>
        </w:rPr>
        <w:t>ely</w:t>
      </w:r>
      <w:r w:rsidR="00C20084" w:rsidRPr="008061E4">
        <w:rPr>
          <w:rFonts w:cstheme="minorHAnsi"/>
          <w:sz w:val="24"/>
        </w:rPr>
        <w:t xml:space="preserve"> associated with CBCL Externalizing T-scores, such that </w:t>
      </w:r>
      <w:r w:rsidR="004953BE" w:rsidRPr="008061E4">
        <w:rPr>
          <w:rFonts w:cstheme="minorHAnsi"/>
          <w:sz w:val="24"/>
        </w:rPr>
        <w:t xml:space="preserve">fewer externalizing difficulties were associated with </w:t>
      </w:r>
      <w:r w:rsidR="00C20084" w:rsidRPr="008061E4">
        <w:rPr>
          <w:rFonts w:cstheme="minorHAnsi"/>
          <w:sz w:val="24"/>
        </w:rPr>
        <w:t xml:space="preserve">stronger social skills </w:t>
      </w:r>
      <w:r w:rsidR="004953BE" w:rsidRPr="008061E4">
        <w:rPr>
          <w:rFonts w:cstheme="minorHAnsi"/>
          <w:sz w:val="24"/>
        </w:rPr>
        <w:t>overall (</w:t>
      </w:r>
      <w:r w:rsidR="00F7041C" w:rsidRPr="008061E4">
        <w:rPr>
          <w:rFonts w:cstheme="minorHAnsi"/>
          <w:i/>
          <w:sz w:val="24"/>
        </w:rPr>
        <w:t>r</w:t>
      </w:r>
      <w:r w:rsidR="004953BE" w:rsidRPr="008061E4">
        <w:rPr>
          <w:rFonts w:cstheme="minorHAnsi"/>
          <w:sz w:val="24"/>
        </w:rPr>
        <w:t xml:space="preserve">=-.32, </w:t>
      </w:r>
      <w:r w:rsidR="004953BE" w:rsidRPr="008061E4">
        <w:rPr>
          <w:rFonts w:cstheme="minorHAnsi"/>
          <w:i/>
          <w:sz w:val="24"/>
        </w:rPr>
        <w:t>p</w:t>
      </w:r>
      <w:r w:rsidR="004953BE" w:rsidRPr="008061E4">
        <w:rPr>
          <w:rFonts w:cstheme="minorHAnsi"/>
          <w:sz w:val="24"/>
        </w:rPr>
        <w:t>&lt;.001), and in the domains of Coping</w:t>
      </w:r>
      <w:r w:rsidR="00F7041C" w:rsidRPr="008061E4">
        <w:rPr>
          <w:rFonts w:cstheme="minorHAnsi"/>
          <w:sz w:val="24"/>
        </w:rPr>
        <w:t xml:space="preserve"> Skills</w:t>
      </w:r>
      <w:r w:rsidR="004953BE" w:rsidRPr="008061E4">
        <w:rPr>
          <w:rFonts w:cstheme="minorHAnsi"/>
          <w:sz w:val="24"/>
        </w:rPr>
        <w:t xml:space="preserve"> (</w:t>
      </w:r>
      <w:r w:rsidR="004953BE" w:rsidRPr="008061E4">
        <w:rPr>
          <w:rFonts w:cstheme="minorHAnsi"/>
          <w:i/>
          <w:sz w:val="24"/>
        </w:rPr>
        <w:t>r</w:t>
      </w:r>
      <w:r w:rsidR="004953BE" w:rsidRPr="008061E4">
        <w:rPr>
          <w:rFonts w:cstheme="minorHAnsi"/>
          <w:sz w:val="24"/>
        </w:rPr>
        <w:t xml:space="preserve">=-.45, </w:t>
      </w:r>
      <w:r w:rsidR="004953BE" w:rsidRPr="008061E4">
        <w:rPr>
          <w:rFonts w:cstheme="minorHAnsi"/>
          <w:i/>
          <w:sz w:val="24"/>
        </w:rPr>
        <w:t>p</w:t>
      </w:r>
      <w:r w:rsidR="004953BE" w:rsidRPr="008061E4">
        <w:rPr>
          <w:rFonts w:cstheme="minorHAnsi"/>
          <w:sz w:val="24"/>
        </w:rPr>
        <w:t xml:space="preserve">&lt;.001), Interpersonal </w:t>
      </w:r>
      <w:r w:rsidR="00F7041C" w:rsidRPr="008061E4">
        <w:rPr>
          <w:rFonts w:cstheme="minorHAnsi"/>
          <w:sz w:val="24"/>
        </w:rPr>
        <w:t>r</w:t>
      </w:r>
      <w:r w:rsidR="004953BE" w:rsidRPr="008061E4">
        <w:rPr>
          <w:rFonts w:cstheme="minorHAnsi"/>
          <w:sz w:val="24"/>
        </w:rPr>
        <w:t>elationships (</w:t>
      </w:r>
      <w:r w:rsidR="004953BE" w:rsidRPr="008061E4">
        <w:rPr>
          <w:rFonts w:cstheme="minorHAnsi"/>
          <w:i/>
          <w:sz w:val="24"/>
        </w:rPr>
        <w:t>r</w:t>
      </w:r>
      <w:r w:rsidR="004953BE" w:rsidRPr="008061E4">
        <w:rPr>
          <w:rFonts w:cstheme="minorHAnsi"/>
          <w:sz w:val="24"/>
        </w:rPr>
        <w:t xml:space="preserve">=-.21, </w:t>
      </w:r>
      <w:r w:rsidR="004953BE" w:rsidRPr="008061E4">
        <w:rPr>
          <w:rFonts w:cstheme="minorHAnsi"/>
          <w:i/>
          <w:sz w:val="24"/>
        </w:rPr>
        <w:t>p</w:t>
      </w:r>
      <w:r w:rsidR="004953BE" w:rsidRPr="008061E4">
        <w:rPr>
          <w:rFonts w:cstheme="minorHAnsi"/>
          <w:sz w:val="24"/>
        </w:rPr>
        <w:t>&lt;.001), and Play</w:t>
      </w:r>
      <w:r w:rsidR="00DA2428" w:rsidRPr="008061E4">
        <w:rPr>
          <w:rFonts w:cstheme="minorHAnsi"/>
          <w:sz w:val="24"/>
        </w:rPr>
        <w:t>/</w:t>
      </w:r>
      <w:r w:rsidR="004953BE" w:rsidRPr="008061E4">
        <w:rPr>
          <w:rFonts w:cstheme="minorHAnsi"/>
          <w:sz w:val="24"/>
        </w:rPr>
        <w:t>Leisure (</w:t>
      </w:r>
      <w:r w:rsidR="004953BE" w:rsidRPr="008061E4">
        <w:rPr>
          <w:rFonts w:cstheme="minorHAnsi"/>
          <w:i/>
          <w:sz w:val="24"/>
        </w:rPr>
        <w:t>r</w:t>
      </w:r>
      <w:r w:rsidR="004953BE" w:rsidRPr="008061E4">
        <w:rPr>
          <w:rFonts w:cstheme="minorHAnsi"/>
          <w:sz w:val="24"/>
        </w:rPr>
        <w:t xml:space="preserve">=-.20, </w:t>
      </w:r>
      <w:r w:rsidR="004953BE" w:rsidRPr="008061E4">
        <w:rPr>
          <w:rFonts w:cstheme="minorHAnsi"/>
          <w:i/>
          <w:sz w:val="24"/>
        </w:rPr>
        <w:t>p</w:t>
      </w:r>
      <w:r w:rsidR="004953BE" w:rsidRPr="008061E4">
        <w:rPr>
          <w:rFonts w:cstheme="minorHAnsi"/>
          <w:sz w:val="24"/>
        </w:rPr>
        <w:t>&lt;.001).</w:t>
      </w:r>
      <w:r w:rsidR="00B857A4" w:rsidRPr="008061E4">
        <w:rPr>
          <w:rFonts w:cstheme="minorHAnsi"/>
          <w:sz w:val="24"/>
        </w:rPr>
        <w:t xml:space="preserve"> Associations were similar </w:t>
      </w:r>
      <w:r w:rsidR="00A669CA" w:rsidRPr="008061E4">
        <w:rPr>
          <w:rFonts w:cstheme="minorHAnsi"/>
          <w:sz w:val="24"/>
        </w:rPr>
        <w:t xml:space="preserve">when considered specifically within the ASD only group and within the ASD+ADHD group. Across the full sample and </w:t>
      </w:r>
      <w:r w:rsidR="00CA0E8C" w:rsidRPr="008061E4">
        <w:rPr>
          <w:rFonts w:cstheme="minorHAnsi"/>
          <w:sz w:val="24"/>
        </w:rPr>
        <w:t>ASD+ADHD</w:t>
      </w:r>
      <w:r w:rsidR="00A669CA" w:rsidRPr="008061E4">
        <w:rPr>
          <w:rFonts w:cstheme="minorHAnsi"/>
          <w:sz w:val="24"/>
        </w:rPr>
        <w:t xml:space="preserve"> group, Coping Skills </w:t>
      </w:r>
      <w:r w:rsidR="00CA0E8C" w:rsidRPr="008061E4">
        <w:rPr>
          <w:rFonts w:cstheme="minorHAnsi"/>
          <w:sz w:val="24"/>
        </w:rPr>
        <w:t>was</w:t>
      </w:r>
      <w:r w:rsidR="00A669CA" w:rsidRPr="008061E4">
        <w:rPr>
          <w:rFonts w:cstheme="minorHAnsi"/>
          <w:sz w:val="24"/>
        </w:rPr>
        <w:t xml:space="preserve"> the social subscale most </w:t>
      </w:r>
      <w:r w:rsidR="00CA0E8C" w:rsidRPr="008061E4">
        <w:rPr>
          <w:rFonts w:cstheme="minorHAnsi"/>
          <w:sz w:val="24"/>
        </w:rPr>
        <w:t>strongly</w:t>
      </w:r>
      <w:r w:rsidR="00A669CA" w:rsidRPr="008061E4">
        <w:rPr>
          <w:rFonts w:cstheme="minorHAnsi"/>
          <w:sz w:val="24"/>
        </w:rPr>
        <w:t xml:space="preserve"> associated with externalizing behaviors (Fisher </w:t>
      </w:r>
      <w:r w:rsidR="00A669CA" w:rsidRPr="008061E4">
        <w:rPr>
          <w:rFonts w:cstheme="minorHAnsi"/>
          <w:i/>
          <w:sz w:val="24"/>
        </w:rPr>
        <w:t>r</w:t>
      </w:r>
      <w:r w:rsidR="00A669CA" w:rsidRPr="008061E4">
        <w:rPr>
          <w:rFonts w:cstheme="minorHAnsi"/>
          <w:sz w:val="24"/>
        </w:rPr>
        <w:t>-to-</w:t>
      </w:r>
      <w:r w:rsidR="00A669CA" w:rsidRPr="008061E4">
        <w:rPr>
          <w:rFonts w:cstheme="minorHAnsi"/>
          <w:i/>
          <w:sz w:val="24"/>
        </w:rPr>
        <w:t>z</w:t>
      </w:r>
      <w:r w:rsidR="00CA0E8C" w:rsidRPr="008061E4">
        <w:rPr>
          <w:rFonts w:cstheme="minorHAnsi"/>
          <w:sz w:val="24"/>
        </w:rPr>
        <w:t xml:space="preserve"> tests</w:t>
      </w:r>
      <w:r w:rsidR="00A669CA" w:rsidRPr="008061E4">
        <w:rPr>
          <w:rFonts w:cstheme="minorHAnsi"/>
          <w:sz w:val="24"/>
        </w:rPr>
        <w:t xml:space="preserve"> </w:t>
      </w:r>
      <w:r w:rsidR="00CA0E8C" w:rsidRPr="008061E4">
        <w:rPr>
          <w:rFonts w:cstheme="minorHAnsi"/>
          <w:sz w:val="24"/>
        </w:rPr>
        <w:t xml:space="preserve">&gt; 3.0, </w:t>
      </w:r>
      <w:proofErr w:type="spellStart"/>
      <w:r w:rsidR="00CA0E8C" w:rsidRPr="008061E4">
        <w:rPr>
          <w:rFonts w:cstheme="minorHAnsi"/>
          <w:i/>
          <w:sz w:val="24"/>
        </w:rPr>
        <w:t>p</w:t>
      </w:r>
      <w:r w:rsidR="00CA0E8C" w:rsidRPr="008061E4">
        <w:rPr>
          <w:rFonts w:cstheme="minorHAnsi"/>
          <w:sz w:val="24"/>
        </w:rPr>
        <w:t>s</w:t>
      </w:r>
      <w:proofErr w:type="spellEnd"/>
      <w:r w:rsidR="00CA0E8C" w:rsidRPr="008061E4">
        <w:rPr>
          <w:rFonts w:cstheme="minorHAnsi"/>
          <w:sz w:val="24"/>
        </w:rPr>
        <w:t xml:space="preserve"> &lt; .002</w:t>
      </w:r>
      <w:r w:rsidR="00A669CA" w:rsidRPr="008061E4">
        <w:rPr>
          <w:rFonts w:cstheme="minorHAnsi"/>
          <w:sz w:val="24"/>
        </w:rPr>
        <w:t>).</w:t>
      </w:r>
      <w:r w:rsidR="000D293F" w:rsidRPr="008061E4">
        <w:rPr>
          <w:rFonts w:cstheme="minorHAnsi"/>
          <w:sz w:val="24"/>
        </w:rPr>
        <w:t xml:space="preserve"> </w:t>
      </w:r>
    </w:p>
    <w:p w:rsidR="00313798" w:rsidRPr="008061E4" w:rsidRDefault="00851D1B" w:rsidP="00262CE4">
      <w:pPr>
        <w:spacing w:line="240" w:lineRule="auto"/>
        <w:rPr>
          <w:rFonts w:cstheme="minorHAnsi"/>
          <w:sz w:val="24"/>
        </w:rPr>
      </w:pPr>
      <w:r w:rsidRPr="008061E4">
        <w:rPr>
          <w:rFonts w:cstheme="minorHAnsi"/>
          <w:b/>
          <w:sz w:val="24"/>
        </w:rPr>
        <w:lastRenderedPageBreak/>
        <w:t>Discussion</w:t>
      </w:r>
      <w:r w:rsidRPr="008061E4">
        <w:rPr>
          <w:rFonts w:cstheme="minorHAnsi"/>
          <w:sz w:val="24"/>
        </w:rPr>
        <w:t>:</w:t>
      </w:r>
      <w:r w:rsidR="007B2AEE" w:rsidRPr="008061E4">
        <w:rPr>
          <w:rFonts w:cstheme="minorHAnsi"/>
          <w:sz w:val="24"/>
        </w:rPr>
        <w:t xml:space="preserve"> </w:t>
      </w:r>
      <w:r w:rsidR="002007F0" w:rsidRPr="008061E4">
        <w:rPr>
          <w:rFonts w:cstheme="minorHAnsi"/>
          <w:sz w:val="24"/>
        </w:rPr>
        <w:t xml:space="preserve">Utilizing a large national dataset with substantial representation of </w:t>
      </w:r>
      <w:r w:rsidR="00166525" w:rsidRPr="008061E4">
        <w:rPr>
          <w:rFonts w:cstheme="minorHAnsi"/>
          <w:sz w:val="24"/>
        </w:rPr>
        <w:t>females, we find evidence that co-occurring ADHD is selectively associated with social difficulties related to coping</w:t>
      </w:r>
      <w:r w:rsidR="004C33AF" w:rsidRPr="008061E4">
        <w:rPr>
          <w:rFonts w:cstheme="minorHAnsi"/>
          <w:sz w:val="24"/>
        </w:rPr>
        <w:t xml:space="preserve"> skills</w:t>
      </w:r>
      <w:r w:rsidR="00166525" w:rsidRPr="008061E4">
        <w:rPr>
          <w:rFonts w:cstheme="minorHAnsi"/>
          <w:sz w:val="24"/>
        </w:rPr>
        <w:t xml:space="preserve">, over and above the presence of ASD. Because the coping subscale of the Vineland-3 indexes </w:t>
      </w:r>
      <w:r w:rsidR="007E0329">
        <w:rPr>
          <w:rFonts w:cstheme="minorHAnsi"/>
          <w:sz w:val="24"/>
        </w:rPr>
        <w:t>socially-relevant emotional and behavioral control</w:t>
      </w:r>
      <w:r w:rsidR="004C33AF" w:rsidRPr="008061E4">
        <w:rPr>
          <w:rFonts w:cstheme="minorHAnsi"/>
          <w:sz w:val="24"/>
        </w:rPr>
        <w:t>, finding</w:t>
      </w:r>
      <w:r w:rsidR="0087300A">
        <w:rPr>
          <w:rFonts w:cstheme="minorHAnsi"/>
          <w:sz w:val="24"/>
        </w:rPr>
        <w:t>s</w:t>
      </w:r>
      <w:r w:rsidR="004C33AF" w:rsidRPr="008061E4">
        <w:rPr>
          <w:rFonts w:cstheme="minorHAnsi"/>
          <w:sz w:val="24"/>
        </w:rPr>
        <w:t xml:space="preserve"> </w:t>
      </w:r>
      <w:r w:rsidR="00166525" w:rsidRPr="008061E4">
        <w:rPr>
          <w:rFonts w:cstheme="minorHAnsi"/>
          <w:sz w:val="24"/>
        </w:rPr>
        <w:t xml:space="preserve">suggest that social difficulties </w:t>
      </w:r>
      <w:r w:rsidR="004C33AF" w:rsidRPr="008061E4">
        <w:rPr>
          <w:rFonts w:cstheme="minorHAnsi"/>
          <w:sz w:val="24"/>
        </w:rPr>
        <w:t>may be</w:t>
      </w:r>
      <w:r w:rsidR="00166525" w:rsidRPr="008061E4">
        <w:rPr>
          <w:rFonts w:cstheme="minorHAnsi"/>
          <w:sz w:val="24"/>
        </w:rPr>
        <w:t xml:space="preserve"> secondary to emotion dysregulation, particularly given associations with externalizing concerns. </w:t>
      </w:r>
      <w:r w:rsidR="004C33AF" w:rsidRPr="008061E4">
        <w:rPr>
          <w:rFonts w:cstheme="minorHAnsi"/>
          <w:sz w:val="24"/>
        </w:rPr>
        <w:t>Results</w:t>
      </w:r>
      <w:r w:rsidR="00166525" w:rsidRPr="008061E4">
        <w:rPr>
          <w:rFonts w:cstheme="minorHAnsi"/>
          <w:sz w:val="24"/>
        </w:rPr>
        <w:t xml:space="preserve"> highlight </w:t>
      </w:r>
      <w:r w:rsidR="002F50BB" w:rsidRPr="008061E4">
        <w:rPr>
          <w:rFonts w:cstheme="minorHAnsi"/>
          <w:sz w:val="24"/>
        </w:rPr>
        <w:t>that adolescent females with ASD and ADHD may be at heightened risk of externalizing concerns relative to those with ASD only, with corresponding detrimental impact on social functioning. As a result, the presence of ADHD may indicate the need to bolster ASD-oriented social skills supports with emotion regulation approaches, and more nuanced understanding of the social skills and needs of this group may offer pathways to more tailored and effective supports and interventions.</w:t>
      </w:r>
    </w:p>
    <w:p w:rsidR="00851D1B" w:rsidRPr="008061E4" w:rsidRDefault="00851D1B" w:rsidP="00262CE4">
      <w:pPr>
        <w:spacing w:line="240" w:lineRule="auto"/>
        <w:rPr>
          <w:rFonts w:cstheme="minorHAnsi"/>
          <w:sz w:val="24"/>
        </w:rPr>
      </w:pPr>
      <w:r w:rsidRPr="008061E4">
        <w:rPr>
          <w:rFonts w:cstheme="minorHAnsi"/>
          <w:b/>
          <w:sz w:val="24"/>
        </w:rPr>
        <w:t>References</w:t>
      </w:r>
      <w:r w:rsidRPr="008061E4">
        <w:rPr>
          <w:rFonts w:cstheme="minorHAnsi"/>
          <w:sz w:val="24"/>
        </w:rPr>
        <w:t>:</w:t>
      </w:r>
    </w:p>
    <w:p w:rsidR="009C1C1B" w:rsidRPr="008061E4" w:rsidRDefault="00F95435" w:rsidP="00643E19">
      <w:pPr>
        <w:rPr>
          <w:rFonts w:cstheme="minorHAnsi"/>
          <w:sz w:val="24"/>
          <w:szCs w:val="24"/>
        </w:rPr>
      </w:pPr>
      <w:r w:rsidRPr="008061E4">
        <w:rPr>
          <w:rFonts w:cstheme="minorHAnsi"/>
          <w:sz w:val="24"/>
          <w:szCs w:val="24"/>
          <w:vertAlign w:val="superscript"/>
        </w:rPr>
        <w:t>1</w:t>
      </w:r>
      <w:r w:rsidR="008061E4" w:rsidRPr="008061E4">
        <w:rPr>
          <w:rFonts w:cstheme="minorHAnsi"/>
          <w:sz w:val="24"/>
          <w:szCs w:val="24"/>
        </w:rPr>
        <w:t xml:space="preserve"> </w:t>
      </w:r>
      <w:r w:rsidR="008061E4" w:rsidRPr="008061E4">
        <w:rPr>
          <w:rFonts w:cstheme="minorHAnsi"/>
          <w:noProof/>
          <w:sz w:val="24"/>
        </w:rPr>
        <w:t xml:space="preserve">Burroughs, C., Handen, B., &amp; Mazurek, M. (2022). The Impact of the Comorbidity of ASD and ADHD on Social Impairment. </w:t>
      </w:r>
      <w:r w:rsidR="008061E4" w:rsidRPr="008061E4">
        <w:rPr>
          <w:rFonts w:cstheme="minorHAnsi"/>
          <w:i/>
          <w:noProof/>
          <w:sz w:val="24"/>
        </w:rPr>
        <w:t>Journal of Autism and Developmental Disorders. 52.</w:t>
      </w:r>
      <w:r w:rsidR="008061E4" w:rsidRPr="008061E4">
        <w:rPr>
          <w:rFonts w:cstheme="minorHAnsi"/>
          <w:noProof/>
          <w:sz w:val="24"/>
        </w:rPr>
        <w:t xml:space="preserve"> 10.1007/s10803-021-05150-1.</w:t>
      </w:r>
      <w:r w:rsidR="008061E4" w:rsidRPr="008061E4">
        <w:rPr>
          <w:rFonts w:cstheme="minorHAnsi"/>
          <w:sz w:val="24"/>
          <w:szCs w:val="24"/>
          <w:vertAlign w:val="superscript"/>
        </w:rPr>
        <w:t xml:space="preserve"> </w:t>
      </w:r>
      <w:r w:rsidR="009C1C1B" w:rsidRPr="008061E4">
        <w:rPr>
          <w:rFonts w:cstheme="minorHAnsi"/>
          <w:sz w:val="24"/>
          <w:szCs w:val="24"/>
        </w:rPr>
        <w:t xml:space="preserve"> </w:t>
      </w:r>
    </w:p>
    <w:p w:rsidR="002940EB" w:rsidRPr="008061E4" w:rsidRDefault="00F95435" w:rsidP="002940EB">
      <w:pPr>
        <w:shd w:val="clear" w:color="auto" w:fill="FFFFFF"/>
        <w:rPr>
          <w:rFonts w:eastAsia="Times New Roman" w:cstheme="minorHAnsi"/>
          <w:color w:val="212121"/>
          <w:sz w:val="24"/>
          <w:szCs w:val="24"/>
        </w:rPr>
      </w:pPr>
      <w:r w:rsidRPr="008061E4">
        <w:rPr>
          <w:rFonts w:cstheme="minorHAnsi"/>
          <w:sz w:val="24"/>
          <w:vertAlign w:val="superscript"/>
        </w:rPr>
        <w:t>2</w:t>
      </w:r>
      <w:r w:rsidR="002940EB" w:rsidRPr="008061E4">
        <w:rPr>
          <w:rFonts w:cstheme="minorHAnsi"/>
          <w:color w:val="212121"/>
        </w:rPr>
        <w:t xml:space="preserve"> </w:t>
      </w:r>
      <w:r w:rsidR="002940EB" w:rsidRPr="008061E4">
        <w:rPr>
          <w:rFonts w:eastAsia="Times New Roman" w:cstheme="minorHAnsi"/>
          <w:color w:val="212121"/>
          <w:sz w:val="24"/>
          <w:szCs w:val="24"/>
        </w:rPr>
        <w:t xml:space="preserve">Factor, R. S., Ryan, S. M., Farley, J. P., </w:t>
      </w:r>
      <w:proofErr w:type="spellStart"/>
      <w:r w:rsidR="002940EB" w:rsidRPr="008061E4">
        <w:rPr>
          <w:rFonts w:eastAsia="Times New Roman" w:cstheme="minorHAnsi"/>
          <w:color w:val="212121"/>
          <w:sz w:val="24"/>
          <w:szCs w:val="24"/>
        </w:rPr>
        <w:t>Ollendick</w:t>
      </w:r>
      <w:proofErr w:type="spellEnd"/>
      <w:r w:rsidR="002940EB" w:rsidRPr="008061E4">
        <w:rPr>
          <w:rFonts w:eastAsia="Times New Roman" w:cstheme="minorHAnsi"/>
          <w:color w:val="212121"/>
          <w:sz w:val="24"/>
          <w:szCs w:val="24"/>
        </w:rPr>
        <w:t>, T. H., &amp; Scarpa, A. (2017). Does the Presence of Anxiety and ADHD Symptoms Add to Social Impairment in Children with Autism Spectrum Disorder?. </w:t>
      </w:r>
      <w:r w:rsidR="008061E4" w:rsidRPr="008061E4">
        <w:rPr>
          <w:rFonts w:cstheme="minorHAnsi"/>
          <w:i/>
          <w:noProof/>
          <w:sz w:val="24"/>
        </w:rPr>
        <w:t>Journal of Autism and Developmental Disorders</w:t>
      </w:r>
      <w:r w:rsidR="002940EB" w:rsidRPr="008061E4">
        <w:rPr>
          <w:rFonts w:eastAsia="Times New Roman" w:cstheme="minorHAnsi"/>
          <w:color w:val="212121"/>
          <w:sz w:val="24"/>
          <w:szCs w:val="24"/>
        </w:rPr>
        <w:t>, </w:t>
      </w:r>
      <w:r w:rsidR="002940EB" w:rsidRPr="008061E4">
        <w:rPr>
          <w:rFonts w:eastAsia="Times New Roman" w:cstheme="minorHAnsi"/>
          <w:i/>
          <w:iCs/>
          <w:color w:val="212121"/>
          <w:sz w:val="24"/>
          <w:szCs w:val="24"/>
        </w:rPr>
        <w:t>47</w:t>
      </w:r>
      <w:r w:rsidR="002940EB" w:rsidRPr="008061E4">
        <w:rPr>
          <w:rFonts w:eastAsia="Times New Roman" w:cstheme="minorHAnsi"/>
          <w:color w:val="212121"/>
          <w:sz w:val="24"/>
          <w:szCs w:val="24"/>
        </w:rPr>
        <w:t>(4), 1122–1134. https://doi.org/10.1007/s10803-016-3025-9</w:t>
      </w:r>
    </w:p>
    <w:p w:rsidR="00B4385E" w:rsidRPr="008061E4" w:rsidRDefault="00B4385E" w:rsidP="00643E19">
      <w:pPr>
        <w:pStyle w:val="EndNoteBibliography"/>
        <w:rPr>
          <w:rFonts w:asciiTheme="minorHAnsi" w:hAnsiTheme="minorHAnsi" w:cstheme="minorHAnsi"/>
          <w:sz w:val="24"/>
        </w:rPr>
      </w:pPr>
      <w:r w:rsidRPr="008061E4">
        <w:rPr>
          <w:rFonts w:asciiTheme="minorHAnsi" w:hAnsiTheme="minorHAnsi" w:cstheme="minorHAnsi"/>
          <w:sz w:val="24"/>
          <w:vertAlign w:val="superscript"/>
        </w:rPr>
        <w:t>3</w:t>
      </w:r>
      <w:r w:rsidRPr="008061E4">
        <w:rPr>
          <w:rFonts w:asciiTheme="minorHAnsi" w:hAnsiTheme="minorHAnsi" w:cstheme="minorHAnsi"/>
          <w:sz w:val="24"/>
        </w:rPr>
        <w:t xml:space="preserve"> Sparrow SS, Saulnier CA, Cicchetti DV, Doll EA. </w:t>
      </w:r>
      <w:r w:rsidRPr="008061E4">
        <w:rPr>
          <w:rFonts w:asciiTheme="minorHAnsi" w:hAnsiTheme="minorHAnsi" w:cstheme="minorHAnsi"/>
          <w:i/>
          <w:sz w:val="24"/>
        </w:rPr>
        <w:t>Vineland-3 : Vineland adaptive behavior scales. Manual</w:t>
      </w:r>
      <w:r w:rsidRPr="008061E4">
        <w:rPr>
          <w:rFonts w:asciiTheme="minorHAnsi" w:hAnsiTheme="minorHAnsi" w:cstheme="minorHAnsi"/>
          <w:sz w:val="24"/>
        </w:rPr>
        <w:t>. Third edition ed. Pearson Assessments; 2016.</w:t>
      </w:r>
    </w:p>
    <w:p w:rsidR="00B4385E" w:rsidRPr="008061E4" w:rsidRDefault="00B4385E" w:rsidP="00643E19">
      <w:pPr>
        <w:pStyle w:val="EndNoteBibliography"/>
        <w:rPr>
          <w:rFonts w:asciiTheme="minorHAnsi" w:hAnsiTheme="minorHAnsi" w:cstheme="minorHAnsi"/>
          <w:sz w:val="24"/>
          <w:szCs w:val="20"/>
        </w:rPr>
      </w:pPr>
      <w:r w:rsidRPr="008061E4">
        <w:rPr>
          <w:rFonts w:asciiTheme="minorHAnsi" w:hAnsiTheme="minorHAnsi" w:cstheme="minorHAnsi"/>
          <w:sz w:val="24"/>
          <w:szCs w:val="20"/>
          <w:vertAlign w:val="superscript"/>
        </w:rPr>
        <w:t>4</w:t>
      </w:r>
      <w:r w:rsidRPr="008061E4">
        <w:rPr>
          <w:rFonts w:asciiTheme="minorHAnsi" w:hAnsiTheme="minorHAnsi" w:cstheme="minorHAnsi"/>
          <w:sz w:val="24"/>
          <w:szCs w:val="20"/>
        </w:rPr>
        <w:t xml:space="preserve"> Achenbach T, Rescorla L. </w:t>
      </w:r>
      <w:r w:rsidRPr="008061E4">
        <w:rPr>
          <w:rFonts w:asciiTheme="minorHAnsi" w:hAnsiTheme="minorHAnsi" w:cstheme="minorHAnsi"/>
          <w:i/>
          <w:sz w:val="24"/>
          <w:szCs w:val="20"/>
        </w:rPr>
        <w:t>Manual for the ASEBA School-Age Forms and Profiles</w:t>
      </w:r>
      <w:r w:rsidRPr="008061E4">
        <w:rPr>
          <w:rFonts w:asciiTheme="minorHAnsi" w:hAnsiTheme="minorHAnsi" w:cstheme="minorHAnsi"/>
          <w:sz w:val="24"/>
          <w:szCs w:val="20"/>
        </w:rPr>
        <w:t>. University of Vermont, Research Center for Children, Youth, and Families; 2001.</w:t>
      </w:r>
    </w:p>
    <w:p w:rsidR="00730A9D" w:rsidRPr="008061E4" w:rsidRDefault="00730A9D" w:rsidP="00643E19">
      <w:pPr>
        <w:spacing w:line="240" w:lineRule="auto"/>
        <w:rPr>
          <w:rFonts w:cstheme="minorHAnsi"/>
          <w:sz w:val="24"/>
        </w:rPr>
      </w:pPr>
      <w:bookmarkStart w:id="0" w:name="_GoBack"/>
      <w:bookmarkEnd w:id="0"/>
    </w:p>
    <w:sectPr w:rsidR="00730A9D" w:rsidRPr="008061E4" w:rsidSect="00643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1B"/>
    <w:rsid w:val="000255DC"/>
    <w:rsid w:val="00052BA8"/>
    <w:rsid w:val="000733A3"/>
    <w:rsid w:val="000C6F1B"/>
    <w:rsid w:val="000D293F"/>
    <w:rsid w:val="00153D0F"/>
    <w:rsid w:val="00166525"/>
    <w:rsid w:val="001921FB"/>
    <w:rsid w:val="002007F0"/>
    <w:rsid w:val="0023735F"/>
    <w:rsid w:val="00262CE4"/>
    <w:rsid w:val="002940EB"/>
    <w:rsid w:val="002F50BB"/>
    <w:rsid w:val="00313798"/>
    <w:rsid w:val="003438D0"/>
    <w:rsid w:val="003924BB"/>
    <w:rsid w:val="003E55AF"/>
    <w:rsid w:val="003E7479"/>
    <w:rsid w:val="004679F6"/>
    <w:rsid w:val="004953BE"/>
    <w:rsid w:val="004C33AF"/>
    <w:rsid w:val="004E5484"/>
    <w:rsid w:val="005B5A90"/>
    <w:rsid w:val="005B70AE"/>
    <w:rsid w:val="00643E19"/>
    <w:rsid w:val="006A1E2E"/>
    <w:rsid w:val="00730A9D"/>
    <w:rsid w:val="00761915"/>
    <w:rsid w:val="007A49E7"/>
    <w:rsid w:val="007B2AEE"/>
    <w:rsid w:val="007E0329"/>
    <w:rsid w:val="008061E4"/>
    <w:rsid w:val="00823DC5"/>
    <w:rsid w:val="00851D1B"/>
    <w:rsid w:val="0087300A"/>
    <w:rsid w:val="008C754F"/>
    <w:rsid w:val="008D56FF"/>
    <w:rsid w:val="0095588F"/>
    <w:rsid w:val="009B4A8D"/>
    <w:rsid w:val="009C1C1B"/>
    <w:rsid w:val="009F3DA1"/>
    <w:rsid w:val="00A349B5"/>
    <w:rsid w:val="00A37C7B"/>
    <w:rsid w:val="00A669CA"/>
    <w:rsid w:val="00A749B0"/>
    <w:rsid w:val="00A9470C"/>
    <w:rsid w:val="00AF2ED1"/>
    <w:rsid w:val="00B4385E"/>
    <w:rsid w:val="00B82DE0"/>
    <w:rsid w:val="00B857A4"/>
    <w:rsid w:val="00C20084"/>
    <w:rsid w:val="00C45094"/>
    <w:rsid w:val="00CA0E8C"/>
    <w:rsid w:val="00D66869"/>
    <w:rsid w:val="00DA2428"/>
    <w:rsid w:val="00DC45FF"/>
    <w:rsid w:val="00E504A9"/>
    <w:rsid w:val="00E5262E"/>
    <w:rsid w:val="00E53E60"/>
    <w:rsid w:val="00E61C43"/>
    <w:rsid w:val="00E772FD"/>
    <w:rsid w:val="00EB051C"/>
    <w:rsid w:val="00EC079D"/>
    <w:rsid w:val="00EE7872"/>
    <w:rsid w:val="00F05DBA"/>
    <w:rsid w:val="00F157CE"/>
    <w:rsid w:val="00F33E81"/>
    <w:rsid w:val="00F7041C"/>
    <w:rsid w:val="00F9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8F476-7BCC-4655-B819-542F9A1F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C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1C1B"/>
    <w:rPr>
      <w:color w:val="0563C1" w:themeColor="hyperlink"/>
      <w:u w:val="single"/>
    </w:rPr>
  </w:style>
  <w:style w:type="character" w:styleId="UnresolvedMention">
    <w:name w:val="Unresolved Mention"/>
    <w:basedOn w:val="DefaultParagraphFont"/>
    <w:uiPriority w:val="99"/>
    <w:semiHidden/>
    <w:unhideWhenUsed/>
    <w:rsid w:val="009C1C1B"/>
    <w:rPr>
      <w:color w:val="605E5C"/>
      <w:shd w:val="clear" w:color="auto" w:fill="E1DFDD"/>
    </w:rPr>
  </w:style>
  <w:style w:type="paragraph" w:customStyle="1" w:styleId="EndNoteBibliography">
    <w:name w:val="EndNote Bibliography"/>
    <w:basedOn w:val="Normal"/>
    <w:link w:val="EndNoteBibliographyChar"/>
    <w:rsid w:val="00B4385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4385E"/>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301117">
      <w:bodyDiv w:val="1"/>
      <w:marLeft w:val="0"/>
      <w:marRight w:val="0"/>
      <w:marTop w:val="0"/>
      <w:marBottom w:val="0"/>
      <w:divBdr>
        <w:top w:val="none" w:sz="0" w:space="0" w:color="auto"/>
        <w:left w:val="none" w:sz="0" w:space="0" w:color="auto"/>
        <w:bottom w:val="none" w:sz="0" w:space="0" w:color="auto"/>
        <w:right w:val="none" w:sz="0" w:space="0" w:color="auto"/>
      </w:divBdr>
    </w:div>
    <w:div w:id="1073549293">
      <w:bodyDiv w:val="1"/>
      <w:marLeft w:val="0"/>
      <w:marRight w:val="0"/>
      <w:marTop w:val="0"/>
      <w:marBottom w:val="0"/>
      <w:divBdr>
        <w:top w:val="none" w:sz="0" w:space="0" w:color="auto"/>
        <w:left w:val="none" w:sz="0" w:space="0" w:color="auto"/>
        <w:bottom w:val="none" w:sz="0" w:space="0" w:color="auto"/>
        <w:right w:val="none" w:sz="0" w:space="0" w:color="auto"/>
      </w:divBdr>
      <w:divsChild>
        <w:div w:id="1271814000">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Neuhaus</dc:creator>
  <cp:keywords/>
  <dc:description/>
  <cp:lastModifiedBy>Emily Neuhaus</cp:lastModifiedBy>
  <cp:revision>2</cp:revision>
  <dcterms:created xsi:type="dcterms:W3CDTF">2024-10-24T21:04:00Z</dcterms:created>
  <dcterms:modified xsi:type="dcterms:W3CDTF">2024-10-24T21:04:00Z</dcterms:modified>
</cp:coreProperties>
</file>