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57B7C097" w:rsidR="003D6244" w:rsidRPr="005074AF" w:rsidRDefault="003D6244" w:rsidP="003D6244">
      <w:pPr>
        <w:rPr>
          <w:rFonts w:cstheme="minorHAnsi"/>
        </w:rPr>
      </w:pPr>
      <w:r w:rsidRPr="005074AF">
        <w:rPr>
          <w:rFonts w:cstheme="minorHAnsi"/>
          <w:b/>
        </w:rPr>
        <w:t>Title</w:t>
      </w:r>
      <w:r w:rsidRPr="005074AF">
        <w:rPr>
          <w:rFonts w:cstheme="minorHAnsi"/>
        </w:rPr>
        <w:t xml:space="preserve">: </w:t>
      </w:r>
      <w:r w:rsidR="00C91729" w:rsidRPr="005074AF">
        <w:rPr>
          <w:rFonts w:cstheme="minorHAnsi"/>
        </w:rPr>
        <w:t>Longitudinal Microanalysis of the Vineland Adaptive Behavior Scales in Autism Spectrum Disorder: Implications for Adult Outcomes</w:t>
      </w:r>
    </w:p>
    <w:p w14:paraId="7AC50371" w14:textId="42DBE98B" w:rsidR="003D6244" w:rsidRPr="005074AF" w:rsidRDefault="003D6244" w:rsidP="003D6244">
      <w:pPr>
        <w:rPr>
          <w:rFonts w:cstheme="minorHAnsi"/>
          <w:vertAlign w:val="superscript"/>
        </w:rPr>
      </w:pPr>
      <w:r w:rsidRPr="005074AF">
        <w:rPr>
          <w:rFonts w:cstheme="minorHAnsi"/>
          <w:b/>
        </w:rPr>
        <w:t>Authors</w:t>
      </w:r>
      <w:r w:rsidRPr="005074AF">
        <w:rPr>
          <w:rFonts w:cstheme="minorHAnsi"/>
        </w:rPr>
        <w:t xml:space="preserve">: </w:t>
      </w:r>
      <w:r w:rsidR="00C91729" w:rsidRPr="005074AF">
        <w:rPr>
          <w:rFonts w:cstheme="minorHAnsi"/>
        </w:rPr>
        <w:t>Elaine Clarke</w:t>
      </w:r>
      <w:r w:rsidR="00C91729" w:rsidRPr="005074AF">
        <w:rPr>
          <w:rFonts w:cstheme="minorHAnsi"/>
          <w:vertAlign w:val="superscript"/>
        </w:rPr>
        <w:t>1</w:t>
      </w:r>
      <w:r w:rsidR="00C91729" w:rsidRPr="005074AF">
        <w:rPr>
          <w:rFonts w:cstheme="minorHAnsi"/>
        </w:rPr>
        <w:t xml:space="preserve"> &amp; Catherine Lord</w:t>
      </w:r>
      <w:r w:rsidR="00C91729" w:rsidRPr="005074AF">
        <w:rPr>
          <w:rFonts w:cstheme="minorHAnsi"/>
          <w:vertAlign w:val="superscript"/>
        </w:rPr>
        <w:t>2</w:t>
      </w:r>
    </w:p>
    <w:p w14:paraId="77FE6733" w14:textId="0BBB0C4E" w:rsidR="00452576" w:rsidRPr="005074AF" w:rsidRDefault="003D6244" w:rsidP="003D6244">
      <w:pPr>
        <w:rPr>
          <w:rFonts w:cstheme="minorHAnsi"/>
          <w:b/>
          <w:iCs/>
          <w:color w:val="000000"/>
          <w:lang w:val="en-GB"/>
        </w:rPr>
      </w:pPr>
      <w:r w:rsidRPr="005074AF">
        <w:rPr>
          <w:rFonts w:cstheme="minorHAnsi"/>
          <w:b/>
        </w:rPr>
        <w:t>Introduction</w:t>
      </w:r>
      <w:r w:rsidRPr="005074AF">
        <w:rPr>
          <w:rFonts w:cstheme="minorHAnsi"/>
        </w:rPr>
        <w:t xml:space="preserve">: </w:t>
      </w:r>
      <w:r w:rsidR="00C91729" w:rsidRPr="005074AF">
        <w:rPr>
          <w:rFonts w:cstheme="minorHAnsi"/>
        </w:rPr>
        <w:t>Many studies have documented general deficits in DLS in autistic individuals</w:t>
      </w:r>
      <w:r w:rsidR="008B78A5" w:rsidRPr="005074AF">
        <w:rPr>
          <w:rFonts w:cstheme="minorHAnsi"/>
        </w:rPr>
        <w:t xml:space="preserve"> (</w:t>
      </w:r>
      <w:proofErr w:type="spellStart"/>
      <w:r w:rsidR="008B78A5" w:rsidRPr="005074AF">
        <w:rPr>
          <w:rFonts w:cstheme="minorHAnsi"/>
        </w:rPr>
        <w:t>Alvares</w:t>
      </w:r>
      <w:proofErr w:type="spellEnd"/>
      <w:r w:rsidR="008B78A5" w:rsidRPr="005074AF">
        <w:rPr>
          <w:rFonts w:cstheme="minorHAnsi"/>
        </w:rPr>
        <w:t xml:space="preserve"> et al., 2019; Smith et al., 2012)</w:t>
      </w:r>
      <w:r w:rsidR="00C91729" w:rsidRPr="005074AF">
        <w:rPr>
          <w:rFonts w:cstheme="minorHAnsi"/>
        </w:rPr>
        <w:t xml:space="preserve">. </w:t>
      </w:r>
      <w:r w:rsidR="008B78A5" w:rsidRPr="005074AF">
        <w:rPr>
          <w:rFonts w:cstheme="minorHAnsi"/>
        </w:rPr>
        <w:t xml:space="preserve">Research </w:t>
      </w:r>
      <w:r w:rsidR="00C91729" w:rsidRPr="005074AF">
        <w:rPr>
          <w:rFonts w:cstheme="minorHAnsi"/>
        </w:rPr>
        <w:t>has also cataloged challenges in adult outcome attainment amongst autistic individuals; strong DLS are associated with a higher likelihood of attaining some adult outcomes in this population</w:t>
      </w:r>
      <w:r w:rsidR="008B78A5" w:rsidRPr="005074AF">
        <w:rPr>
          <w:rFonts w:cstheme="minorHAnsi"/>
        </w:rPr>
        <w:t xml:space="preserve"> (Clarke et al., 2021; Taylor et al., 2014)</w:t>
      </w:r>
      <w:r w:rsidR="00C91729" w:rsidRPr="005074AF">
        <w:rPr>
          <w:rFonts w:cstheme="minorHAnsi"/>
        </w:rPr>
        <w:t xml:space="preserve">. </w:t>
      </w:r>
      <w:r w:rsidR="005074AF">
        <w:rPr>
          <w:rFonts w:cstheme="minorHAnsi"/>
        </w:rPr>
        <w:t>L</w:t>
      </w:r>
      <w:r w:rsidR="00C91729" w:rsidRPr="005074AF">
        <w:rPr>
          <w:rFonts w:cstheme="minorHAnsi"/>
        </w:rPr>
        <w:t xml:space="preserve">ittle work has examined whether competency in </w:t>
      </w:r>
      <w:r w:rsidR="00C91729" w:rsidRPr="005074AF">
        <w:rPr>
          <w:rFonts w:cstheme="minorHAnsi"/>
          <w:i/>
          <w:iCs/>
        </w:rPr>
        <w:t xml:space="preserve">specific </w:t>
      </w:r>
      <w:r w:rsidR="00C91729" w:rsidRPr="005074AF">
        <w:rPr>
          <w:rFonts w:cstheme="minorHAnsi"/>
        </w:rPr>
        <w:t xml:space="preserve">daily living skills increases the likelihood of attaining adult outcomes for autistic individuals. </w:t>
      </w:r>
      <w:r w:rsidR="008B78A5" w:rsidRPr="005074AF">
        <w:rPr>
          <w:rFonts w:cstheme="minorHAnsi"/>
        </w:rPr>
        <w:t xml:space="preserve">There is also little understanding of how this may vary with age (in other words, do the </w:t>
      </w:r>
      <w:r w:rsidR="003F66C6" w:rsidRPr="005074AF">
        <w:rPr>
          <w:rFonts w:cstheme="minorHAnsi"/>
        </w:rPr>
        <w:t xml:space="preserve">specific </w:t>
      </w:r>
      <w:r w:rsidR="008B78A5" w:rsidRPr="005074AF">
        <w:rPr>
          <w:rFonts w:cstheme="minorHAnsi"/>
        </w:rPr>
        <w:t xml:space="preserve">DLS from age 5 that predict adult outcomes differ from </w:t>
      </w:r>
      <w:r w:rsidR="003F66C6" w:rsidRPr="005074AF">
        <w:rPr>
          <w:rFonts w:cstheme="minorHAnsi"/>
        </w:rPr>
        <w:t>those with predictive utility from</w:t>
      </w:r>
      <w:r w:rsidR="008B78A5" w:rsidRPr="005074AF">
        <w:rPr>
          <w:rFonts w:cstheme="minorHAnsi"/>
        </w:rPr>
        <w:t xml:space="preserve"> age 9 or age 14?).  </w:t>
      </w:r>
      <w:r w:rsidR="00C91729" w:rsidRPr="005074AF">
        <w:rPr>
          <w:rFonts w:cstheme="minorHAnsi"/>
        </w:rPr>
        <w:t xml:space="preserve">This study </w:t>
      </w:r>
      <w:r w:rsidR="004867D4" w:rsidRPr="005074AF">
        <w:rPr>
          <w:rFonts w:cstheme="minorHAnsi"/>
        </w:rPr>
        <w:t>addressed</w:t>
      </w:r>
      <w:r w:rsidR="00C91729" w:rsidRPr="005074AF">
        <w:rPr>
          <w:rFonts w:cstheme="minorHAnsi"/>
        </w:rPr>
        <w:t xml:space="preserve"> </w:t>
      </w:r>
      <w:r w:rsidR="008B78A5" w:rsidRPr="005074AF">
        <w:rPr>
          <w:rFonts w:cstheme="minorHAnsi"/>
        </w:rPr>
        <w:t>these gaps</w:t>
      </w:r>
      <w:r w:rsidR="00C91729" w:rsidRPr="005074AF">
        <w:rPr>
          <w:rFonts w:cstheme="minorHAnsi"/>
        </w:rPr>
        <w:t xml:space="preserve"> by answering two questions: 1) Are specific DLS more important for supporting adult outcomes than others? 2) Do the DLS important to supporting adult outcomes for autistic individuals vary </w:t>
      </w:r>
      <w:r w:rsidR="009D58EA" w:rsidRPr="005074AF">
        <w:rPr>
          <w:rFonts w:cstheme="minorHAnsi"/>
        </w:rPr>
        <w:t>with</w:t>
      </w:r>
      <w:r w:rsidR="00C91729" w:rsidRPr="005074AF">
        <w:rPr>
          <w:rFonts w:cstheme="minorHAnsi"/>
        </w:rPr>
        <w:t xml:space="preserve"> age?</w:t>
      </w:r>
    </w:p>
    <w:p w14:paraId="7AC50373" w14:textId="2B086881" w:rsidR="003D6244" w:rsidRPr="005074AF" w:rsidRDefault="003D6244" w:rsidP="005074AF">
      <w:pPr>
        <w:rPr>
          <w:rFonts w:cstheme="minorHAnsi"/>
        </w:rPr>
      </w:pPr>
      <w:r w:rsidRPr="005074AF">
        <w:rPr>
          <w:rFonts w:cstheme="minorHAnsi"/>
          <w:b/>
          <w:color w:val="000000"/>
          <w:lang w:val="en-GB"/>
        </w:rPr>
        <w:t>Method</w:t>
      </w:r>
      <w:r w:rsidRPr="005074AF">
        <w:rPr>
          <w:rFonts w:cstheme="minorHAnsi"/>
          <w:color w:val="000000"/>
          <w:lang w:val="en-GB"/>
        </w:rPr>
        <w:t xml:space="preserve">: </w:t>
      </w:r>
      <w:r w:rsidR="00084E05" w:rsidRPr="005074AF">
        <w:rPr>
          <w:rFonts w:cstheme="minorHAnsi"/>
        </w:rPr>
        <w:t>Data from a</w:t>
      </w:r>
      <w:r w:rsidR="00C91729" w:rsidRPr="005074AF">
        <w:rPr>
          <w:rFonts w:cstheme="minorHAnsi"/>
        </w:rPr>
        <w:t xml:space="preserve"> </w:t>
      </w:r>
      <w:r w:rsidR="00084E05" w:rsidRPr="005074AF">
        <w:rPr>
          <w:rFonts w:cstheme="minorHAnsi"/>
        </w:rPr>
        <w:t xml:space="preserve">well-characterized longitudinal cohort </w:t>
      </w:r>
      <w:r w:rsidR="00C91729" w:rsidRPr="005074AF">
        <w:rPr>
          <w:rFonts w:cstheme="minorHAnsi"/>
        </w:rPr>
        <w:t xml:space="preserve">was </w:t>
      </w:r>
      <w:r w:rsidR="00084E05" w:rsidRPr="005074AF">
        <w:rPr>
          <w:rFonts w:cstheme="minorHAnsi"/>
        </w:rPr>
        <w:t>used</w:t>
      </w:r>
      <w:r w:rsidR="00C91729" w:rsidRPr="005074AF">
        <w:rPr>
          <w:rFonts w:cstheme="minorHAnsi"/>
        </w:rPr>
        <w:t xml:space="preserve"> to conduct item-level analyses of scores from a common measure of DLS, the Vineland Adaptative Behavior Scales</w:t>
      </w:r>
      <w:r w:rsidR="003F66C6" w:rsidRPr="005074AF">
        <w:rPr>
          <w:rFonts w:cstheme="minorHAnsi"/>
        </w:rPr>
        <w:t xml:space="preserve"> </w:t>
      </w:r>
      <w:r w:rsidR="003F66C6" w:rsidRPr="005074AF">
        <w:rPr>
          <w:rFonts w:cstheme="minorHAnsi"/>
        </w:rPr>
        <w:fldChar w:fldCharType="begin"/>
      </w:r>
      <w:r w:rsidR="003F66C6" w:rsidRPr="005074AF">
        <w:rPr>
          <w:rFonts w:cstheme="minorHAnsi"/>
        </w:rPr>
        <w:instrText xml:space="preserve"> ADDIN ZOTERO_ITEM CSL_CITATION {"citationID":"v24KZrJp","properties":{"formattedCitation":"(Sparrow et al., 2005)","plainCitation":"(Sparrow et al., 2005)","noteIndex":0},"citationItems":[{"id":506,"uris":["http://zotero.org/groups/2398903/items/Z6R8HLR2"],"itemData":{"id":506,"type":"chapter","abstract":"(From the chapter) Vineland Adaptive Behavior Scales represent a revision of the Vineland Social Maturity Scale, which, over the last sixty years, has made major contributions to our knowledge of adaptive behavior assessment and our understanding of mental retardation characteristics of adaptive behavior / construction of the Vineland Adaptive Behavior Scales / validity assessments of the Vineland Adaptive Behavior Scales / administration / scoring / interpretation / case examples / uses of the Vineland Adaptive Behavior Scales (PsycINFO Database Record (c) 2005 APA, all rights reserved)","container-title":"Major psychological assessment instruments","title":"The Vineland Adaptive Behavior Scales (2nd ed)","author":[{"family":"Sparrow","given":"S. S."},{"family":"Cicchetti","given":"D. V."},{"family":"Balla","given":"D. A."}],"issued":{"date-parts":[["2005"]]}}}],"schema":"https://github.com/citation-style-language/schema/raw/master/csl-citation.json"} </w:instrText>
      </w:r>
      <w:r w:rsidR="003F66C6" w:rsidRPr="005074AF">
        <w:rPr>
          <w:rFonts w:cstheme="minorHAnsi"/>
        </w:rPr>
        <w:fldChar w:fldCharType="separate"/>
      </w:r>
      <w:r w:rsidR="003F66C6" w:rsidRPr="005074AF">
        <w:rPr>
          <w:rFonts w:cstheme="minorHAnsi"/>
          <w:noProof/>
        </w:rPr>
        <w:t>(</w:t>
      </w:r>
      <w:r w:rsidR="00587194" w:rsidRPr="005074AF">
        <w:rPr>
          <w:rFonts w:cstheme="minorHAnsi"/>
          <w:noProof/>
        </w:rPr>
        <w:t xml:space="preserve">VABS; </w:t>
      </w:r>
      <w:r w:rsidR="003F66C6" w:rsidRPr="005074AF">
        <w:rPr>
          <w:rFonts w:cstheme="minorHAnsi"/>
          <w:noProof/>
        </w:rPr>
        <w:t>Sparrow et al., 2005)</w:t>
      </w:r>
      <w:r w:rsidR="003F66C6" w:rsidRPr="005074AF">
        <w:rPr>
          <w:rFonts w:cstheme="minorHAnsi"/>
        </w:rPr>
        <w:fldChar w:fldCharType="end"/>
      </w:r>
      <w:r w:rsidR="00C91729" w:rsidRPr="005074AF">
        <w:rPr>
          <w:rFonts w:cstheme="minorHAnsi"/>
        </w:rPr>
        <w:t xml:space="preserve">. </w:t>
      </w:r>
      <w:r w:rsidR="00084E05" w:rsidRPr="005074AF">
        <w:rPr>
          <w:rFonts w:cstheme="minorHAnsi"/>
        </w:rPr>
        <w:t>Participants were consecutive referrals to developmental clinics identified between ages 2-3 and followed for three decades. </w:t>
      </w:r>
      <w:r w:rsidR="005074AF" w:rsidRPr="005074AF">
        <w:rPr>
          <w:rFonts w:cstheme="minorHAnsi"/>
        </w:rPr>
        <w:t>Adult outcome data was collected when participants were approximately age 33. T</w:t>
      </w:r>
      <w:r w:rsidR="005074AF" w:rsidRPr="005074AF">
        <w:rPr>
          <w:rFonts w:cstheme="minorHAnsi"/>
        </w:rPr>
        <w:t>o assess the predictive utility of individual DLS items from the VABS</w:t>
      </w:r>
      <w:r w:rsidR="005074AF" w:rsidRPr="005074AF">
        <w:rPr>
          <w:rFonts w:cstheme="minorHAnsi"/>
        </w:rPr>
        <w:t>, s</w:t>
      </w:r>
      <w:r w:rsidR="00587194" w:rsidRPr="005074AF">
        <w:rPr>
          <w:rFonts w:cstheme="minorHAnsi"/>
        </w:rPr>
        <w:t>ixteen</w:t>
      </w:r>
      <w:r w:rsidR="00E44502">
        <w:rPr>
          <w:rFonts w:cstheme="minorHAnsi"/>
        </w:rPr>
        <w:t xml:space="preserve"> models</w:t>
      </w:r>
      <w:r w:rsidR="00587194" w:rsidRPr="005074AF">
        <w:rPr>
          <w:rFonts w:cstheme="minorHAnsi"/>
        </w:rPr>
        <w:t xml:space="preserve"> </w:t>
      </w:r>
      <w:proofErr w:type="spellStart"/>
      <w:r w:rsidR="00587194" w:rsidRPr="005074AF">
        <w:rPr>
          <w:rFonts w:cstheme="minorHAnsi"/>
        </w:rPr>
        <w:t>eXtreme</w:t>
      </w:r>
      <w:proofErr w:type="spellEnd"/>
      <w:r w:rsidR="00587194" w:rsidRPr="005074AF">
        <w:rPr>
          <w:rFonts w:cstheme="minorHAnsi"/>
        </w:rPr>
        <w:t xml:space="preserve"> gradient boosting (</w:t>
      </w:r>
      <w:proofErr w:type="spellStart"/>
      <w:r w:rsidR="00587194" w:rsidRPr="005074AF">
        <w:rPr>
          <w:rFonts w:cstheme="minorHAnsi"/>
        </w:rPr>
        <w:t>XGBoost</w:t>
      </w:r>
      <w:proofErr w:type="spellEnd"/>
      <w:r w:rsidR="00587194" w:rsidRPr="005074AF">
        <w:rPr>
          <w:rFonts w:cstheme="minorHAnsi"/>
        </w:rPr>
        <w:t xml:space="preserve">; </w:t>
      </w:r>
      <w:r w:rsidR="00587194" w:rsidRPr="005074AF">
        <w:rPr>
          <w:rFonts w:cstheme="minorHAnsi"/>
        </w:rPr>
        <w:fldChar w:fldCharType="begin"/>
      </w:r>
      <w:r w:rsidR="00587194" w:rsidRPr="005074AF">
        <w:rPr>
          <w:rFonts w:cstheme="minorHAnsi"/>
        </w:rPr>
        <w:instrText xml:space="preserve"> ADDIN ZOTERO_ITEM CSL_CITATION {"citationID":"wTNV3z4c","properties":{"formattedCitation":"(Chen &amp; Guestrin, 2016)","plainCitation":"(Chen &amp; Guestrin, 2016)","noteIndex":0},"citationItems":[{"id":12176,"uris":["http://zotero.org/users/6028511/items/WZ9ZJMU3"],"itemData":{"id":12176,"type":"paper-conference","abstract":"Tree boosting is a highly effective and widely used machine learning method. In this paper, we describe a scalable end-to-end tree boosting system called XGBoost, which is used widely by data scientists to achieve state-of-the-art results on many machine learning challenges. We propose a novel sparsity-aware algorithm for sparse data and weighted quantile sketch for approximate tree learning. More importantly, we provide insights on cache access patterns, data compression and sharding to build a scalable tree boosting system. By combining these insights, XGBoost scales beyond billions of examples using far fewer resources than existing systems.","collection-title":"KDD '16","container-title":"Proceedings of the 22nd ACM SIGKDD International Conference on Knowledge Discovery and Data Mining","DOI":"10.1145/2939672.2939785","event-place":"New York, NY, USA","ISBN":"978-1-4503-4232-2","page":"785–794","publisher":"Association for Computing Machinery","publisher-place":"New York, NY, USA","source":"ACM Digital Library","title":"XGBoost: A Scalable Tree Boosting System","title-short":"XGBoost","URL":"https://dl.acm.org/doi/10.1145/2939672.2939785","author":[{"family":"Chen","given":"Tianqi"},{"family":"Guestrin","given":"Carlos"}],"accessed":{"date-parts":[["2023",12,13]]},"issued":{"date-parts":[["2016",8,13]]}}}],"schema":"https://github.com/citation-style-language/schema/raw/master/csl-citation.json"} </w:instrText>
      </w:r>
      <w:r w:rsidR="00587194" w:rsidRPr="005074AF">
        <w:rPr>
          <w:rFonts w:cstheme="minorHAnsi"/>
        </w:rPr>
        <w:fldChar w:fldCharType="separate"/>
      </w:r>
      <w:r w:rsidR="00587194" w:rsidRPr="005074AF">
        <w:rPr>
          <w:rFonts w:cstheme="minorHAnsi"/>
          <w:noProof/>
        </w:rPr>
        <w:t>Chen &amp; Guestrin, 2016)</w:t>
      </w:r>
      <w:r w:rsidR="00587194" w:rsidRPr="005074AF">
        <w:rPr>
          <w:rFonts w:cstheme="minorHAnsi"/>
        </w:rPr>
        <w:fldChar w:fldCharType="end"/>
      </w:r>
      <w:r w:rsidR="00587194" w:rsidRPr="005074AF">
        <w:rPr>
          <w:rFonts w:cstheme="minorHAnsi"/>
        </w:rPr>
        <w:t xml:space="preserve"> supervised machine learning classifier models</w:t>
      </w:r>
      <w:r w:rsidR="00587194" w:rsidRPr="005074AF">
        <w:rPr>
          <w:rFonts w:cstheme="minorHAnsi"/>
        </w:rPr>
        <w:t xml:space="preserve"> </w:t>
      </w:r>
      <w:r w:rsidR="00587194" w:rsidRPr="005074AF">
        <w:rPr>
          <w:rFonts w:cstheme="minorHAnsi"/>
        </w:rPr>
        <w:t>were developed, one for predicting each adult outcome (employment, well-being, living status, and friendships) from individual daily living skills items at each time</w:t>
      </w:r>
      <w:r w:rsidR="005074AF" w:rsidRPr="005074AF">
        <w:rPr>
          <w:rFonts w:cstheme="minorHAnsi"/>
        </w:rPr>
        <w:t xml:space="preserve"> </w:t>
      </w:r>
      <w:r w:rsidR="00587194" w:rsidRPr="005074AF">
        <w:rPr>
          <w:rFonts w:cstheme="minorHAnsi"/>
        </w:rPr>
        <w:t>point of interest (ages 5, 9, 14, and 18)</w:t>
      </w:r>
      <w:r w:rsidR="005074AF" w:rsidRPr="005074AF">
        <w:rPr>
          <w:rFonts w:cstheme="minorHAnsi"/>
        </w:rPr>
        <w:t xml:space="preserve"> while </w:t>
      </w:r>
      <w:r w:rsidR="00587194" w:rsidRPr="005074AF">
        <w:rPr>
          <w:rFonts w:cstheme="minorHAnsi"/>
        </w:rPr>
        <w:t xml:space="preserve">controlling for salient demographic and personal characteristics (i.e., IQ, autism symptomology, race, gender, maternal education, urbanicity). </w:t>
      </w:r>
      <w:r w:rsidR="00F00F67" w:rsidRPr="005074AF">
        <w:rPr>
          <w:rFonts w:cstheme="minorHAnsi"/>
          <w:lang w:val="en"/>
        </w:rPr>
        <w:t>Datasets for each age were randomly split into a training set (80%) and a test set (20%).</w:t>
      </w:r>
      <w:r w:rsidR="00F00F67" w:rsidRPr="005074AF">
        <w:rPr>
          <w:rFonts w:cstheme="minorHAnsi"/>
          <w:lang w:val="en"/>
        </w:rPr>
        <w:t xml:space="preserve"> </w:t>
      </w:r>
      <w:r w:rsidR="00587194" w:rsidRPr="005074AF">
        <w:rPr>
          <w:rFonts w:cstheme="minorHAnsi"/>
        </w:rPr>
        <w:t xml:space="preserve">Hyperparameter optimization was performed on the training sets via a five-fold cross-validation grid search. </w:t>
      </w:r>
      <w:r w:rsidR="002E306F" w:rsidRPr="005074AF">
        <w:rPr>
          <w:rFonts w:cstheme="minorHAnsi"/>
        </w:rPr>
        <w:t xml:space="preserve">Model performance was assessed via the area under the receiving operating curve (ROC AUC), sensitivity, specificity, negative predictive value (NPV), positive predictive value (PPV), and accuracy. The Shapley Additive </w:t>
      </w:r>
      <w:proofErr w:type="spellStart"/>
      <w:r w:rsidR="002E306F" w:rsidRPr="005074AF">
        <w:rPr>
          <w:rFonts w:cstheme="minorHAnsi"/>
        </w:rPr>
        <w:t>exPlanations</w:t>
      </w:r>
      <w:proofErr w:type="spellEnd"/>
      <w:r w:rsidR="002E306F" w:rsidRPr="005074AF">
        <w:rPr>
          <w:rFonts w:cstheme="minorHAnsi"/>
        </w:rPr>
        <w:t xml:space="preserve"> (SHAP) tree explainer method for XG Boost classifiers was used to identify the top 5 predictor variables for each model </w:t>
      </w:r>
      <w:r w:rsidR="002E306F" w:rsidRPr="005074AF">
        <w:rPr>
          <w:rFonts w:cstheme="minorHAnsi"/>
        </w:rPr>
        <w:fldChar w:fldCharType="begin"/>
      </w:r>
      <w:r w:rsidR="002E306F" w:rsidRPr="005074AF">
        <w:rPr>
          <w:rFonts w:cstheme="minorHAnsi"/>
        </w:rPr>
        <w:instrText xml:space="preserve"> ADDIN ZOTERO_ITEM CSL_CITATION {"citationID":"a207m9qfqec","properties":{"formattedCitation":"(Lundberg et al., 2020)","plainCitation":"(Lundberg et al., 2020)","noteIndex":0},"citationItems":[{"id":12544,"uris":["http://zotero.org/users/6028511/items/A8RG8TIH"],"itemData":{"id":12544,"type":"article-journal","abstract":"Tree-based machine learning models such as random forests, decision trees, and gradient boosted trees are popular non-linear predictive models, yet comparatively little attention has been paid to explaining their predictions. Here, we improve the interpretability of tree-based models through three main contributions: 1) The first polynomial time algorithm to compute optimal explanations based on game theory. 2) A new type of explanation that directly measures local feature interaction effects. 3) A new set of tools for understanding global model structure based on combining many local explanations of each prediction. We apply these tools to three medical machine learning problems and show how combining many high-quality local explanations allows us to represent global structure while retaining local faithfulness to the original model. These tools enable us to i) identify high magnitude but low frequency non-linear mortality risk factors in the US population, ii) highlight distinct population sub-groups with shared risk characteristics, iii) identify non-linear interaction effects among risk factors for chronic kidney disease, and iv) monitor a machine learning model deployed in a hospital by identifying which features are degrading the model's performance over time. Given the popularity of tree-based machine learning models, these improvements to their interpretability have implications across a broad set of domains.","container-title":"Nature Machine Intelligence","DOI":"10.1038/s42256-019-0138-9","ISSN":"2522-5839","issue":"1","journalAbbreviation":"Nat Mach Intell","language":"eng","note":"PMID: 32607472\nPMCID: PMC7326367","page":"56-67","source":"PubMed","title":"From Local Explanations to Global Understanding with Explainable AI for Trees","volume":"2","author":[{"family":"Lundberg","given":"Scott M."},{"family":"Erion","given":"Gabriel"},{"family":"Chen","given":"Hugh"},{"family":"DeGrave","given":"Alex"},{"family":"Prutkin","given":"Jordan M."},{"family":"Nair","given":"Bala"},{"family":"Katz","given":"Ronit"},{"family":"Himmelfarb","given":"Jonathan"},{"family":"Bansal","given":"Nisha"},{"family":"Lee","given":"Su-In"}],"issued":{"date-parts":[["2020",1]]}}}],"schema":"https://github.com/citation-style-language/schema/raw/master/csl-citation.json"} </w:instrText>
      </w:r>
      <w:r w:rsidR="002E306F" w:rsidRPr="005074AF">
        <w:rPr>
          <w:rFonts w:cstheme="minorHAnsi"/>
        </w:rPr>
        <w:fldChar w:fldCharType="separate"/>
      </w:r>
      <w:r w:rsidR="002E306F" w:rsidRPr="005074AF">
        <w:rPr>
          <w:rFonts w:cstheme="minorHAnsi"/>
        </w:rPr>
        <w:t>(Lundberg et al., 2020)</w:t>
      </w:r>
      <w:r w:rsidR="002E306F" w:rsidRPr="005074AF">
        <w:rPr>
          <w:rFonts w:cstheme="minorHAnsi"/>
        </w:rPr>
        <w:fldChar w:fldCharType="end"/>
      </w:r>
      <w:r w:rsidR="002E306F" w:rsidRPr="005074AF">
        <w:rPr>
          <w:rFonts w:cstheme="minorHAnsi"/>
        </w:rPr>
        <w:t>.</w:t>
      </w:r>
    </w:p>
    <w:p w14:paraId="6900343F" w14:textId="467D8C3D" w:rsidR="00C91729" w:rsidRPr="005074AF" w:rsidRDefault="003D6244" w:rsidP="00C91729">
      <w:pPr>
        <w:rPr>
          <w:rFonts w:cstheme="minorHAnsi"/>
        </w:rPr>
      </w:pPr>
      <w:r w:rsidRPr="005074AF">
        <w:rPr>
          <w:rFonts w:cstheme="minorHAnsi"/>
          <w:b/>
          <w:color w:val="000000"/>
          <w:lang w:val="en-GB"/>
        </w:rPr>
        <w:t>Results</w:t>
      </w:r>
      <w:r w:rsidRPr="005074AF">
        <w:rPr>
          <w:rFonts w:cstheme="minorHAnsi"/>
          <w:color w:val="000000"/>
          <w:lang w:val="en-GB"/>
        </w:rPr>
        <w:t xml:space="preserve">: </w:t>
      </w:r>
      <w:r w:rsidR="00C91729" w:rsidRPr="005074AF">
        <w:rPr>
          <w:rFonts w:cstheme="minorHAnsi"/>
        </w:rPr>
        <w:t>I</w:t>
      </w:r>
      <w:r w:rsidR="004867D4" w:rsidRPr="005074AF">
        <w:rPr>
          <w:rFonts w:cstheme="minorHAnsi"/>
        </w:rPr>
        <w:t xml:space="preserve">n ten of the sixteen </w:t>
      </w:r>
      <w:proofErr w:type="spellStart"/>
      <w:r w:rsidR="004867D4" w:rsidRPr="005074AF">
        <w:rPr>
          <w:rFonts w:cstheme="minorHAnsi"/>
        </w:rPr>
        <w:t>XGBoost</w:t>
      </w:r>
      <w:proofErr w:type="spellEnd"/>
      <w:r w:rsidR="004867D4" w:rsidRPr="005074AF">
        <w:rPr>
          <w:rFonts w:cstheme="minorHAnsi"/>
        </w:rPr>
        <w:t xml:space="preserve"> models, </w:t>
      </w:r>
      <w:r w:rsidR="002E306F" w:rsidRPr="005074AF">
        <w:rPr>
          <w:rFonts w:cstheme="minorHAnsi"/>
        </w:rPr>
        <w:t xml:space="preserve">an </w:t>
      </w:r>
      <w:r w:rsidR="004867D4" w:rsidRPr="005074AF">
        <w:rPr>
          <w:rFonts w:cstheme="minorHAnsi"/>
        </w:rPr>
        <w:t>i</w:t>
      </w:r>
      <w:r w:rsidR="00C91729" w:rsidRPr="005074AF">
        <w:rPr>
          <w:rFonts w:cstheme="minorHAnsi"/>
        </w:rPr>
        <w:t xml:space="preserve">ndividual item related to community </w:t>
      </w:r>
      <w:r w:rsidR="004867D4" w:rsidRPr="005074AF">
        <w:rPr>
          <w:rFonts w:cstheme="minorHAnsi"/>
        </w:rPr>
        <w:t>DLS</w:t>
      </w:r>
      <w:r w:rsidR="00C91729" w:rsidRPr="005074AF">
        <w:rPr>
          <w:rFonts w:cstheme="minorHAnsi"/>
        </w:rPr>
        <w:t xml:space="preserve"> (i.e., money management, rules, rights, and safety, restaurant skills, etc.) emerged as </w:t>
      </w:r>
      <w:r w:rsidR="004867D4" w:rsidRPr="005074AF">
        <w:rPr>
          <w:rFonts w:cstheme="minorHAnsi"/>
        </w:rPr>
        <w:t>the top predictor</w:t>
      </w:r>
      <w:r w:rsidR="00C91729" w:rsidRPr="005074AF">
        <w:rPr>
          <w:rFonts w:cstheme="minorHAnsi"/>
        </w:rPr>
        <w:t xml:space="preserve"> of </w:t>
      </w:r>
      <w:r w:rsidR="004867D4" w:rsidRPr="005074AF">
        <w:rPr>
          <w:rFonts w:cstheme="minorHAnsi"/>
        </w:rPr>
        <w:t>adult outcomes.</w:t>
      </w:r>
      <w:r w:rsidR="00C91729" w:rsidRPr="005074AF">
        <w:rPr>
          <w:rFonts w:cstheme="minorHAnsi"/>
        </w:rPr>
        <w:t xml:space="preserve"> </w:t>
      </w:r>
      <w:r w:rsidR="00D8061A" w:rsidRPr="005074AF">
        <w:rPr>
          <w:rFonts w:cstheme="minorHAnsi"/>
        </w:rPr>
        <w:t xml:space="preserve">This underscores the importance of community-based daily living skills in supporting a range of adult outcomes for autistic individuals. </w:t>
      </w:r>
      <w:r w:rsidR="004867D4" w:rsidRPr="005074AF">
        <w:rPr>
          <w:rFonts w:cstheme="minorHAnsi"/>
        </w:rPr>
        <w:t xml:space="preserve">In contrast, an item related to domestic DLS (i.e., kitchen skills, household chores) </w:t>
      </w:r>
      <w:r w:rsidR="00D8061A" w:rsidRPr="005074AF">
        <w:rPr>
          <w:rFonts w:cstheme="minorHAnsi"/>
        </w:rPr>
        <w:t xml:space="preserve">only </w:t>
      </w:r>
      <w:r w:rsidR="004867D4" w:rsidRPr="005074AF">
        <w:rPr>
          <w:rFonts w:cstheme="minorHAnsi"/>
        </w:rPr>
        <w:t xml:space="preserve">emerged as the </w:t>
      </w:r>
      <w:r w:rsidR="00D8061A" w:rsidRPr="005074AF">
        <w:rPr>
          <w:rFonts w:cstheme="minorHAnsi"/>
        </w:rPr>
        <w:t>strongest</w:t>
      </w:r>
      <w:r w:rsidR="004867D4" w:rsidRPr="005074AF">
        <w:rPr>
          <w:rFonts w:cstheme="minorHAnsi"/>
        </w:rPr>
        <w:t xml:space="preserve"> predictor in one model, and there were no models in which items related to personal DLS</w:t>
      </w:r>
      <w:r w:rsidR="004C244D" w:rsidRPr="005074AF">
        <w:rPr>
          <w:rFonts w:cstheme="minorHAnsi"/>
        </w:rPr>
        <w:t xml:space="preserve"> </w:t>
      </w:r>
      <w:r w:rsidR="004867D4" w:rsidRPr="005074AF">
        <w:rPr>
          <w:rFonts w:cstheme="minorHAnsi"/>
        </w:rPr>
        <w:t xml:space="preserve">emerged as the top predictor (Tables 1 &amp; 2). </w:t>
      </w:r>
      <w:r w:rsidR="00587194" w:rsidRPr="005074AF">
        <w:rPr>
          <w:rFonts w:cstheme="minorHAnsi"/>
        </w:rPr>
        <w:t>For predicting adult employment, t</w:t>
      </w:r>
      <w:r w:rsidR="00587194" w:rsidRPr="005074AF">
        <w:rPr>
          <w:rFonts w:cstheme="minorHAnsi"/>
        </w:rPr>
        <w:t xml:space="preserve">he age 9 model had the best fit statistics (AUC 0.912; sensitivity 0.963; specificity 0.705), followed by the age 5 model, then the age 14 model and the age 18 model (Table </w:t>
      </w:r>
      <w:r w:rsidR="00587194" w:rsidRPr="005074AF">
        <w:rPr>
          <w:rFonts w:cstheme="minorHAnsi"/>
        </w:rPr>
        <w:t>3</w:t>
      </w:r>
      <w:r w:rsidR="00587194" w:rsidRPr="005074AF">
        <w:rPr>
          <w:rFonts w:cstheme="minorHAnsi"/>
        </w:rPr>
        <w:t>).</w:t>
      </w:r>
      <w:r w:rsidR="00084E05" w:rsidRPr="005074AF">
        <w:rPr>
          <w:rFonts w:cstheme="minorHAnsi"/>
        </w:rPr>
        <w:t xml:space="preserve"> For adult well-being, </w:t>
      </w:r>
      <w:proofErr w:type="gramStart"/>
      <w:r w:rsidR="00F00F67" w:rsidRPr="005074AF">
        <w:rPr>
          <w:rFonts w:cstheme="minorHAnsi"/>
        </w:rPr>
        <w:t>w</w:t>
      </w:r>
      <w:r w:rsidR="00084E05" w:rsidRPr="005074AF">
        <w:rPr>
          <w:rFonts w:cstheme="minorHAnsi"/>
        </w:rPr>
        <w:t>ith the exception of</w:t>
      </w:r>
      <w:proofErr w:type="gramEnd"/>
      <w:r w:rsidR="00084E05" w:rsidRPr="005074AF">
        <w:rPr>
          <w:rFonts w:cstheme="minorHAnsi"/>
        </w:rPr>
        <w:t xml:space="preserve"> the age 9 model, which performed at chance, the fit statistics for models predicting happiness quotient scores improved with increasing age. The age 18 model showed the largest AUC on the test set (AUC 0.971; sensitivity 0.888; specificity 0.937).</w:t>
      </w:r>
      <w:r w:rsidR="00084E05" w:rsidRPr="005074AF">
        <w:rPr>
          <w:rFonts w:cstheme="minorHAnsi"/>
        </w:rPr>
        <w:t xml:space="preserve"> For social relationships, </w:t>
      </w:r>
      <w:r w:rsidR="00F00F67" w:rsidRPr="005074AF">
        <w:rPr>
          <w:rFonts w:cstheme="minorHAnsi"/>
        </w:rPr>
        <w:t>t</w:t>
      </w:r>
      <w:r w:rsidR="00084E05" w:rsidRPr="005074AF">
        <w:rPr>
          <w:rFonts w:cstheme="minorHAnsi"/>
        </w:rPr>
        <w:t>he age 9 model had the best fit statistics (AUC 0.799; sensitivity 0.769; specificity 0.777), followed by the age 14 model, then the age 18 model</w:t>
      </w:r>
      <w:r w:rsidR="00F00F67" w:rsidRPr="005074AF">
        <w:rPr>
          <w:rFonts w:cstheme="minorHAnsi"/>
        </w:rPr>
        <w:t>,</w:t>
      </w:r>
      <w:r w:rsidR="00084E05" w:rsidRPr="005074AF">
        <w:rPr>
          <w:rFonts w:cstheme="minorHAnsi"/>
        </w:rPr>
        <w:t xml:space="preserve"> and finally, the age 5 model</w:t>
      </w:r>
      <w:r w:rsidR="005074AF" w:rsidRPr="005074AF">
        <w:rPr>
          <w:rFonts w:cstheme="minorHAnsi"/>
        </w:rPr>
        <w:t>.</w:t>
      </w:r>
      <w:r w:rsidR="00084E05" w:rsidRPr="005074AF">
        <w:rPr>
          <w:rFonts w:cstheme="minorHAnsi"/>
        </w:rPr>
        <w:t xml:space="preserve"> Only the age 18 model predicting living status performed better than chance </w:t>
      </w:r>
      <w:r w:rsidR="00084E05" w:rsidRPr="005074AF">
        <w:rPr>
          <w:rFonts w:cstheme="minorHAnsi"/>
        </w:rPr>
        <w:lastRenderedPageBreak/>
        <w:t xml:space="preserve">(Table </w:t>
      </w:r>
      <w:r w:rsidR="005074AF" w:rsidRPr="005074AF">
        <w:rPr>
          <w:rFonts w:cstheme="minorHAnsi"/>
        </w:rPr>
        <w:t>3</w:t>
      </w:r>
      <w:r w:rsidR="00084E05" w:rsidRPr="005074AF">
        <w:rPr>
          <w:rFonts w:cstheme="minorHAnsi"/>
        </w:rPr>
        <w:t>). This model had good AUC and sensitivity, but relatively low specificity (AUC 0.912; sensitivity 0.939; specificity 0.444).</w:t>
      </w:r>
    </w:p>
    <w:p w14:paraId="7AC50375" w14:textId="7E5C0EA8" w:rsidR="003D6244" w:rsidRPr="005074AF" w:rsidRDefault="003D6244" w:rsidP="00C91729">
      <w:pPr>
        <w:rPr>
          <w:rFonts w:cstheme="minorHAnsi"/>
          <w:color w:val="000000"/>
          <w:lang w:val="en-GB"/>
        </w:rPr>
      </w:pPr>
      <w:r w:rsidRPr="005074AF">
        <w:rPr>
          <w:rFonts w:cstheme="minorHAnsi"/>
          <w:b/>
          <w:iCs/>
          <w:color w:val="000000"/>
          <w:lang w:val="en-GB"/>
        </w:rPr>
        <w:t xml:space="preserve">Discussion: </w:t>
      </w:r>
      <w:r w:rsidR="005074AF" w:rsidRPr="005074AF">
        <w:rPr>
          <w:rFonts w:cstheme="minorHAnsi"/>
        </w:rPr>
        <w:t>These findings</w:t>
      </w:r>
      <w:r w:rsidR="00D8061A" w:rsidRPr="005074AF">
        <w:rPr>
          <w:rFonts w:cstheme="minorHAnsi"/>
        </w:rPr>
        <w:t xml:space="preserve"> </w:t>
      </w:r>
      <w:r w:rsidR="00C91729" w:rsidRPr="005074AF">
        <w:rPr>
          <w:rFonts w:cstheme="minorHAnsi"/>
        </w:rPr>
        <w:t xml:space="preserve">underscore the importance of learning and practicing daily living skills </w:t>
      </w:r>
      <w:r w:rsidR="00C91729" w:rsidRPr="005074AF">
        <w:rPr>
          <w:rFonts w:cstheme="minorHAnsi"/>
          <w:i/>
          <w:iCs/>
        </w:rPr>
        <w:t>in the community</w:t>
      </w:r>
      <w:r w:rsidR="00C91729" w:rsidRPr="005074AF">
        <w:rPr>
          <w:rFonts w:cstheme="minorHAnsi"/>
        </w:rPr>
        <w:t xml:space="preserve"> for autistic individuals. </w:t>
      </w:r>
      <w:r w:rsidR="00F00F67" w:rsidRPr="005074AF">
        <w:rPr>
          <w:rFonts w:cstheme="minorHAnsi"/>
          <w:color w:val="000000"/>
          <w:shd w:val="clear" w:color="auto" w:fill="FFFFFF"/>
        </w:rPr>
        <w:t>S</w:t>
      </w:r>
      <w:r w:rsidR="00F00F67" w:rsidRPr="005074AF">
        <w:rPr>
          <w:rFonts w:cstheme="minorHAnsi"/>
          <w:color w:val="000000"/>
          <w:shd w:val="clear" w:color="auto" w:fill="FFFFFF"/>
        </w:rPr>
        <w:t>kills needed to navigate community settings independently (i.e., paying for small purchases, crossing the street, ordering in a restaurant) may be especially important to supporting adult outcomes in this population.</w:t>
      </w:r>
      <w:r w:rsidR="00F00F67" w:rsidRPr="005074AF">
        <w:rPr>
          <w:rFonts w:cstheme="minorHAnsi"/>
          <w:color w:val="000000"/>
          <w:shd w:val="clear" w:color="auto" w:fill="FFFFFF"/>
        </w:rPr>
        <w:t xml:space="preserve"> </w:t>
      </w:r>
      <w:r w:rsidR="00C91729" w:rsidRPr="005074AF">
        <w:rPr>
          <w:rFonts w:cstheme="minorHAnsi"/>
        </w:rPr>
        <w:t xml:space="preserve">These results also highlight the need to ensure that autistic individuals of all abilities and ages are provided ample opportunities to practice daily living skills across a range of contexts, </w:t>
      </w:r>
      <w:r w:rsidR="00F00F67" w:rsidRPr="005074AF">
        <w:rPr>
          <w:rFonts w:cstheme="minorHAnsi"/>
        </w:rPr>
        <w:t xml:space="preserve">to provide opportunities for </w:t>
      </w:r>
      <w:r w:rsidR="005074AF" w:rsidRPr="005074AF">
        <w:rPr>
          <w:rFonts w:cstheme="minorHAnsi"/>
        </w:rPr>
        <w:t xml:space="preserve">learning and </w:t>
      </w:r>
      <w:r w:rsidR="00F00F67" w:rsidRPr="005074AF">
        <w:rPr>
          <w:rFonts w:cstheme="minorHAnsi"/>
        </w:rPr>
        <w:t>generalization</w:t>
      </w:r>
      <w:r w:rsidR="00D8061A" w:rsidRPr="005074AF">
        <w:rPr>
          <w:rFonts w:cstheme="minorHAnsi"/>
        </w:rPr>
        <w:t>.</w:t>
      </w:r>
      <w:r w:rsidR="00C91729" w:rsidRPr="005074AF">
        <w:rPr>
          <w:rFonts w:cstheme="minorHAnsi"/>
        </w:rPr>
        <w:t xml:space="preserve"> Though efforts to define research priorities for understanding autism are increasingly divided, supporting daily living skills development, particularly community skills, can promote positive outcomes for autistic adults of all ages and abilities. </w:t>
      </w:r>
    </w:p>
    <w:p w14:paraId="3B16CBD8" w14:textId="77777777" w:rsidR="003F66C6" w:rsidRPr="005074AF" w:rsidRDefault="003D6244" w:rsidP="003F66C6">
      <w:pPr>
        <w:pStyle w:val="Bibliography"/>
        <w:rPr>
          <w:rFonts w:cstheme="minorHAnsi"/>
          <w:color w:val="000000"/>
        </w:rPr>
      </w:pPr>
      <w:r w:rsidRPr="005074AF">
        <w:rPr>
          <w:rFonts w:cstheme="minorHAnsi"/>
          <w:lang w:val="en-GB"/>
        </w:rPr>
        <w:t xml:space="preserve">References: </w:t>
      </w:r>
      <w:r w:rsidR="008B78A5" w:rsidRPr="005074AF">
        <w:rPr>
          <w:rFonts w:cstheme="minorHAnsi"/>
          <w:lang w:val="en-GB"/>
        </w:rPr>
        <w:fldChar w:fldCharType="begin"/>
      </w:r>
      <w:r w:rsidR="008B78A5" w:rsidRPr="005074AF">
        <w:rPr>
          <w:rFonts w:cstheme="minorHAnsi"/>
          <w:lang w:val="en-GB"/>
        </w:rPr>
        <w:instrText xml:space="preserve"> ADDIN ZOTERO_BIBL {"uncited":[["http://zotero.org/users/6028511/items/LMXWYFME"],["http://zotero.org/users/6028511/items/QVY7A8A3"],["http://zotero.org/users/6028511/items/LCVBAKHA"],["http://zotero.org/users/6028511/items/U36WWCP8"]],"omitted":[],"custom":[]} CSL_BIBLIOGRAPHY </w:instrText>
      </w:r>
      <w:r w:rsidR="008B78A5" w:rsidRPr="005074AF">
        <w:rPr>
          <w:rFonts w:cstheme="minorHAnsi"/>
          <w:lang w:val="en-GB"/>
        </w:rPr>
        <w:fldChar w:fldCharType="separate"/>
      </w:r>
      <w:proofErr w:type="spellStart"/>
      <w:r w:rsidR="003F66C6" w:rsidRPr="005074AF">
        <w:rPr>
          <w:rFonts w:cstheme="minorHAnsi"/>
          <w:color w:val="000000"/>
        </w:rPr>
        <w:t>Alvares</w:t>
      </w:r>
      <w:proofErr w:type="spellEnd"/>
      <w:r w:rsidR="003F66C6" w:rsidRPr="005074AF">
        <w:rPr>
          <w:rFonts w:cstheme="minorHAnsi"/>
          <w:color w:val="000000"/>
        </w:rPr>
        <w:t xml:space="preserve">, G. A., Bebbington, K., Cleary, D., Evans, K., Glasson, E. J., </w:t>
      </w:r>
      <w:proofErr w:type="spellStart"/>
      <w:r w:rsidR="003F66C6" w:rsidRPr="005074AF">
        <w:rPr>
          <w:rFonts w:cstheme="minorHAnsi"/>
          <w:color w:val="000000"/>
        </w:rPr>
        <w:t>Maybery</w:t>
      </w:r>
      <w:proofErr w:type="spellEnd"/>
      <w:r w:rsidR="003F66C6" w:rsidRPr="005074AF">
        <w:rPr>
          <w:rFonts w:cstheme="minorHAnsi"/>
          <w:color w:val="000000"/>
        </w:rPr>
        <w:t xml:space="preserve">, M. T., Pillar, S., </w:t>
      </w:r>
      <w:proofErr w:type="spellStart"/>
      <w:r w:rsidR="003F66C6" w:rsidRPr="005074AF">
        <w:rPr>
          <w:rFonts w:cstheme="minorHAnsi"/>
          <w:color w:val="000000"/>
        </w:rPr>
        <w:t>Uljarević</w:t>
      </w:r>
      <w:proofErr w:type="spellEnd"/>
      <w:r w:rsidR="003F66C6" w:rsidRPr="005074AF">
        <w:rPr>
          <w:rFonts w:cstheme="minorHAnsi"/>
          <w:color w:val="000000"/>
        </w:rPr>
        <w:t xml:space="preserve">, M., </w:t>
      </w:r>
      <w:proofErr w:type="spellStart"/>
      <w:r w:rsidR="003F66C6" w:rsidRPr="005074AF">
        <w:rPr>
          <w:rFonts w:cstheme="minorHAnsi"/>
          <w:color w:val="000000"/>
        </w:rPr>
        <w:t>Varcin</w:t>
      </w:r>
      <w:proofErr w:type="spellEnd"/>
      <w:r w:rsidR="003F66C6" w:rsidRPr="005074AF">
        <w:rPr>
          <w:rFonts w:cstheme="minorHAnsi"/>
          <w:color w:val="000000"/>
        </w:rPr>
        <w:t xml:space="preserve">, K., Wray, J., &amp; Whitehouse, A. J. (2019). The misnomer of ‘high functioning autism’: Intelligence is an imprecise predictor of functional abilities at diagnosis. </w:t>
      </w:r>
      <w:r w:rsidR="003F66C6" w:rsidRPr="005074AF">
        <w:rPr>
          <w:rFonts w:cstheme="minorHAnsi"/>
          <w:i/>
          <w:iCs/>
          <w:color w:val="000000"/>
        </w:rPr>
        <w:t>Autism</w:t>
      </w:r>
      <w:r w:rsidR="003F66C6" w:rsidRPr="005074AF">
        <w:rPr>
          <w:rFonts w:cstheme="minorHAnsi"/>
          <w:color w:val="000000"/>
        </w:rPr>
        <w:t>, 136236131985283. https://doi.org/10.1177/1362361319852831</w:t>
      </w:r>
    </w:p>
    <w:p w14:paraId="749701B8" w14:textId="77777777" w:rsidR="003F66C6" w:rsidRPr="005074AF" w:rsidRDefault="003F66C6" w:rsidP="003F66C6">
      <w:pPr>
        <w:pStyle w:val="Bibliography"/>
        <w:rPr>
          <w:rFonts w:cstheme="minorHAnsi"/>
          <w:color w:val="000000"/>
        </w:rPr>
      </w:pPr>
      <w:r w:rsidRPr="005074AF">
        <w:rPr>
          <w:rFonts w:cstheme="minorHAnsi"/>
          <w:color w:val="000000"/>
        </w:rPr>
        <w:t xml:space="preserve">Chen, T., &amp; </w:t>
      </w:r>
      <w:proofErr w:type="spellStart"/>
      <w:r w:rsidRPr="005074AF">
        <w:rPr>
          <w:rFonts w:cstheme="minorHAnsi"/>
          <w:color w:val="000000"/>
        </w:rPr>
        <w:t>Guestrin</w:t>
      </w:r>
      <w:proofErr w:type="spellEnd"/>
      <w:r w:rsidRPr="005074AF">
        <w:rPr>
          <w:rFonts w:cstheme="minorHAnsi"/>
          <w:color w:val="000000"/>
        </w:rPr>
        <w:t xml:space="preserve">, C. (2016). </w:t>
      </w:r>
      <w:proofErr w:type="spellStart"/>
      <w:r w:rsidRPr="005074AF">
        <w:rPr>
          <w:rFonts w:cstheme="minorHAnsi"/>
          <w:color w:val="000000"/>
        </w:rPr>
        <w:t>XGBoost</w:t>
      </w:r>
      <w:proofErr w:type="spellEnd"/>
      <w:r w:rsidRPr="005074AF">
        <w:rPr>
          <w:rFonts w:cstheme="minorHAnsi"/>
          <w:color w:val="000000"/>
        </w:rPr>
        <w:t xml:space="preserve">: A Scalable Tree Boosting System. </w:t>
      </w:r>
      <w:r w:rsidRPr="005074AF">
        <w:rPr>
          <w:rFonts w:cstheme="minorHAnsi"/>
          <w:i/>
          <w:iCs/>
          <w:color w:val="000000"/>
        </w:rPr>
        <w:t>Proceedings of the 22nd ACM SIGKDD International Conference on Knowledge Discovery and Data Mining</w:t>
      </w:r>
      <w:r w:rsidRPr="005074AF">
        <w:rPr>
          <w:rFonts w:cstheme="minorHAnsi"/>
          <w:color w:val="000000"/>
        </w:rPr>
        <w:t>, 785–794. https://doi.org/10.1145/2939672.2939785</w:t>
      </w:r>
    </w:p>
    <w:p w14:paraId="6029F165" w14:textId="77777777" w:rsidR="003F66C6" w:rsidRPr="005074AF" w:rsidRDefault="003F66C6" w:rsidP="003F66C6">
      <w:pPr>
        <w:pStyle w:val="Bibliography"/>
        <w:rPr>
          <w:rFonts w:cstheme="minorHAnsi"/>
          <w:color w:val="000000"/>
        </w:rPr>
      </w:pPr>
      <w:r w:rsidRPr="005074AF">
        <w:rPr>
          <w:rFonts w:cstheme="minorHAnsi"/>
          <w:color w:val="000000"/>
        </w:rPr>
        <w:t xml:space="preserve">Clarke, E. B., McCauley, J. B., &amp; Lord, C. (2021). Post-High School Daily Living Skills Outcomes in Autism Spectrum Disorder. </w:t>
      </w:r>
      <w:r w:rsidRPr="005074AF">
        <w:rPr>
          <w:rFonts w:cstheme="minorHAnsi"/>
          <w:i/>
          <w:iCs/>
          <w:color w:val="000000"/>
        </w:rPr>
        <w:t>Journal of the American Academy of Child and Adolescent Psychiatry</w:t>
      </w:r>
      <w:r w:rsidRPr="005074AF">
        <w:rPr>
          <w:rFonts w:cstheme="minorHAnsi"/>
          <w:color w:val="000000"/>
        </w:rPr>
        <w:t xml:space="preserve">, </w:t>
      </w:r>
      <w:r w:rsidRPr="005074AF">
        <w:rPr>
          <w:rFonts w:cstheme="minorHAnsi"/>
          <w:i/>
          <w:iCs/>
          <w:color w:val="000000"/>
        </w:rPr>
        <w:t>60</w:t>
      </w:r>
      <w:r w:rsidRPr="005074AF">
        <w:rPr>
          <w:rFonts w:cstheme="minorHAnsi"/>
          <w:color w:val="000000"/>
        </w:rPr>
        <w:t>(8), 978–985. https://doi.org/10.1016/j.jaac.2020.11.008</w:t>
      </w:r>
    </w:p>
    <w:p w14:paraId="441E8BC7" w14:textId="77777777" w:rsidR="003F66C6" w:rsidRPr="005074AF" w:rsidRDefault="003F66C6" w:rsidP="003F66C6">
      <w:pPr>
        <w:pStyle w:val="Bibliography"/>
        <w:rPr>
          <w:rFonts w:cstheme="minorHAnsi"/>
          <w:color w:val="000000"/>
        </w:rPr>
      </w:pPr>
      <w:r w:rsidRPr="005074AF">
        <w:rPr>
          <w:rFonts w:cstheme="minorHAnsi"/>
          <w:color w:val="000000"/>
          <w:lang w:val="de-DE"/>
        </w:rPr>
        <w:t xml:space="preserve">Smith, L. E., Maenner, M. J., &amp; </w:t>
      </w:r>
      <w:proofErr w:type="spellStart"/>
      <w:r w:rsidRPr="005074AF">
        <w:rPr>
          <w:rFonts w:cstheme="minorHAnsi"/>
          <w:color w:val="000000"/>
          <w:lang w:val="de-DE"/>
        </w:rPr>
        <w:t>Seltzer</w:t>
      </w:r>
      <w:proofErr w:type="spellEnd"/>
      <w:r w:rsidRPr="005074AF">
        <w:rPr>
          <w:rFonts w:cstheme="minorHAnsi"/>
          <w:color w:val="000000"/>
          <w:lang w:val="de-DE"/>
        </w:rPr>
        <w:t xml:space="preserve">, M. M. (2012). </w:t>
      </w:r>
      <w:r w:rsidRPr="005074AF">
        <w:rPr>
          <w:rFonts w:cstheme="minorHAnsi"/>
          <w:color w:val="000000"/>
        </w:rPr>
        <w:t xml:space="preserve">Developmental Trajectories in Adolescents and Adults </w:t>
      </w:r>
      <w:proofErr w:type="gramStart"/>
      <w:r w:rsidRPr="005074AF">
        <w:rPr>
          <w:rFonts w:cstheme="minorHAnsi"/>
          <w:color w:val="000000"/>
        </w:rPr>
        <w:t>With</w:t>
      </w:r>
      <w:proofErr w:type="gramEnd"/>
      <w:r w:rsidRPr="005074AF">
        <w:rPr>
          <w:rFonts w:cstheme="minorHAnsi"/>
          <w:color w:val="000000"/>
        </w:rPr>
        <w:t xml:space="preserve"> Autism: The Case of Daily Living Skills. </w:t>
      </w:r>
      <w:r w:rsidRPr="005074AF">
        <w:rPr>
          <w:rFonts w:cstheme="minorHAnsi"/>
          <w:i/>
          <w:iCs/>
          <w:color w:val="000000"/>
        </w:rPr>
        <w:t>Journal of the American Academy of Child &amp; Adolescent Psychiatry</w:t>
      </w:r>
      <w:r w:rsidRPr="005074AF">
        <w:rPr>
          <w:rFonts w:cstheme="minorHAnsi"/>
          <w:color w:val="000000"/>
        </w:rPr>
        <w:t xml:space="preserve">, </w:t>
      </w:r>
      <w:r w:rsidRPr="005074AF">
        <w:rPr>
          <w:rFonts w:cstheme="minorHAnsi"/>
          <w:i/>
          <w:iCs/>
          <w:color w:val="000000"/>
        </w:rPr>
        <w:t>51</w:t>
      </w:r>
      <w:r w:rsidRPr="005074AF">
        <w:rPr>
          <w:rFonts w:cstheme="minorHAnsi"/>
          <w:color w:val="000000"/>
        </w:rPr>
        <w:t>(6), 622–631. https://doi.org/10.1016/j.jaac.2012.03.001</w:t>
      </w:r>
    </w:p>
    <w:p w14:paraId="62E53432" w14:textId="77777777" w:rsidR="003F66C6" w:rsidRPr="005074AF" w:rsidRDefault="003F66C6" w:rsidP="003F66C6">
      <w:pPr>
        <w:pStyle w:val="Bibliography"/>
        <w:rPr>
          <w:rFonts w:cstheme="minorHAnsi"/>
          <w:color w:val="000000"/>
        </w:rPr>
      </w:pPr>
      <w:proofErr w:type="spellStart"/>
      <w:r w:rsidRPr="005074AF">
        <w:rPr>
          <w:rFonts w:cstheme="minorHAnsi"/>
          <w:color w:val="000000"/>
          <w:lang w:val="it-IT"/>
        </w:rPr>
        <w:t>Sparrow</w:t>
      </w:r>
      <w:proofErr w:type="spellEnd"/>
      <w:r w:rsidRPr="005074AF">
        <w:rPr>
          <w:rFonts w:cstheme="minorHAnsi"/>
          <w:color w:val="000000"/>
          <w:lang w:val="it-IT"/>
        </w:rPr>
        <w:t xml:space="preserve">, S. S., Cicchetti, D. V., &amp; Balla, D. A. (2005). </w:t>
      </w:r>
      <w:r w:rsidRPr="005074AF">
        <w:rPr>
          <w:rFonts w:cstheme="minorHAnsi"/>
          <w:color w:val="000000"/>
        </w:rPr>
        <w:t xml:space="preserve">The Vineland Adaptive Behavior Scales (2nd ed). In </w:t>
      </w:r>
      <w:r w:rsidRPr="005074AF">
        <w:rPr>
          <w:rFonts w:cstheme="minorHAnsi"/>
          <w:i/>
          <w:iCs/>
          <w:color w:val="000000"/>
        </w:rPr>
        <w:t>Major psychological assessment instruments</w:t>
      </w:r>
      <w:r w:rsidRPr="005074AF">
        <w:rPr>
          <w:rFonts w:cstheme="minorHAnsi"/>
          <w:color w:val="000000"/>
        </w:rPr>
        <w:t>.</w:t>
      </w:r>
    </w:p>
    <w:p w14:paraId="0E105961" w14:textId="77777777" w:rsidR="003F66C6" w:rsidRPr="005074AF" w:rsidRDefault="003F66C6" w:rsidP="003F66C6">
      <w:pPr>
        <w:pStyle w:val="Bibliography"/>
        <w:rPr>
          <w:rFonts w:cstheme="minorHAnsi"/>
          <w:color w:val="000000"/>
        </w:rPr>
      </w:pPr>
      <w:r w:rsidRPr="005074AF">
        <w:rPr>
          <w:rFonts w:cstheme="minorHAnsi"/>
          <w:color w:val="000000"/>
        </w:rPr>
        <w:t xml:space="preserve">Taylor, J. L., Center, V. K., &amp; </w:t>
      </w:r>
      <w:proofErr w:type="spellStart"/>
      <w:r w:rsidRPr="005074AF">
        <w:rPr>
          <w:rFonts w:cstheme="minorHAnsi"/>
          <w:color w:val="000000"/>
        </w:rPr>
        <w:t>Mailick</w:t>
      </w:r>
      <w:proofErr w:type="spellEnd"/>
      <w:r w:rsidRPr="005074AF">
        <w:rPr>
          <w:rFonts w:cstheme="minorHAnsi"/>
          <w:color w:val="000000"/>
        </w:rPr>
        <w:t xml:space="preserve">, M. R. (2014). A Longitudinal Examination of 10-year Change in Vocational and Educational Activities for Adults with Autism Spectrum Disorders. </w:t>
      </w:r>
      <w:r w:rsidRPr="005074AF">
        <w:rPr>
          <w:rFonts w:cstheme="minorHAnsi"/>
          <w:i/>
          <w:iCs/>
          <w:color w:val="000000"/>
        </w:rPr>
        <w:t>Developmental Psychology</w:t>
      </w:r>
      <w:r w:rsidRPr="005074AF">
        <w:rPr>
          <w:rFonts w:cstheme="minorHAnsi"/>
          <w:color w:val="000000"/>
        </w:rPr>
        <w:t xml:space="preserve">, </w:t>
      </w:r>
      <w:r w:rsidRPr="005074AF">
        <w:rPr>
          <w:rFonts w:cstheme="minorHAnsi"/>
          <w:i/>
          <w:iCs/>
          <w:color w:val="000000"/>
        </w:rPr>
        <w:t>50</w:t>
      </w:r>
      <w:r w:rsidRPr="005074AF">
        <w:rPr>
          <w:rFonts w:cstheme="minorHAnsi"/>
          <w:color w:val="000000"/>
        </w:rPr>
        <w:t>(3), 699–708. https://doi.org/10.1037/a0034297</w:t>
      </w:r>
    </w:p>
    <w:p w14:paraId="7AC50376" w14:textId="02718BCE" w:rsidR="003D6244" w:rsidRPr="009E00A7" w:rsidRDefault="008B78A5" w:rsidP="003D6244">
      <w:pPr>
        <w:rPr>
          <w:color w:val="000000"/>
          <w:sz w:val="20"/>
          <w:szCs w:val="20"/>
          <w:lang w:val="en-GB"/>
        </w:rPr>
      </w:pPr>
      <w:r w:rsidRPr="005074AF">
        <w:rPr>
          <w:rFonts w:cstheme="minorHAnsi"/>
          <w:b/>
          <w:color w:val="000000"/>
          <w:lang w:val="en-GB"/>
        </w:rPr>
        <w:lastRenderedPageBreak/>
        <w:fldChar w:fldCharType="end"/>
      </w:r>
    </w:p>
    <w:p w14:paraId="7AC50377" w14:textId="183DF2F3" w:rsidR="003D6244" w:rsidRPr="008B1E03" w:rsidRDefault="008B78A5" w:rsidP="003D6244">
      <w:pPr>
        <w:pStyle w:val="FootnoteText"/>
        <w:rPr>
          <w:lang w:val="en-CA"/>
        </w:rPr>
      </w:pPr>
      <w:r>
        <w:rPr>
          <w:rStyle w:val="FootnoteReference"/>
        </w:rPr>
        <w:t>1</w:t>
      </w:r>
      <w:r w:rsidR="003D6244" w:rsidRPr="008B1E03">
        <w:t xml:space="preserve"> </w:t>
      </w:r>
      <w:r w:rsidR="00C91729">
        <w:rPr>
          <w:lang w:val="en-CA"/>
        </w:rPr>
        <w:t>Graduate School of Applied and Professional Psychology, Rutgers University – New Brunswick</w:t>
      </w:r>
    </w:p>
    <w:p w14:paraId="7AC50379" w14:textId="45489C8B" w:rsidR="003D6244" w:rsidRDefault="003D6244" w:rsidP="0059601C">
      <w:pPr>
        <w:pStyle w:val="FootnoteText"/>
        <w:rPr>
          <w:lang w:val="en-CA"/>
        </w:rPr>
      </w:pPr>
      <w:r>
        <w:rPr>
          <w:rStyle w:val="FootnoteReference"/>
        </w:rPr>
        <w:t>2</w:t>
      </w:r>
      <w:r w:rsidRPr="008B1E03">
        <w:t xml:space="preserve"> </w:t>
      </w:r>
      <w:r w:rsidR="00C91729">
        <w:rPr>
          <w:lang w:val="en-CA"/>
        </w:rPr>
        <w:t>Semel Institute for Neuroscience and Human Behavior, University of California, Los Angeles</w:t>
      </w:r>
      <w:r w:rsidR="005074AF">
        <w:rPr>
          <w:noProof/>
        </w:rPr>
        <w:drawing>
          <wp:inline distT="0" distB="0" distL="0" distR="0" wp14:anchorId="00E40DD2" wp14:editId="0DAA4EF3">
            <wp:extent cx="6675120" cy="4458970"/>
            <wp:effectExtent l="0" t="0" r="5080" b="0"/>
            <wp:docPr id="1671676005" name="Picture 4" descr="A table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76005" name="Picture 4" descr="A table with numbers and 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6675120" cy="4458970"/>
                    </a:xfrm>
                    <a:prstGeom prst="rect">
                      <a:avLst/>
                    </a:prstGeom>
                  </pic:spPr>
                </pic:pic>
              </a:graphicData>
            </a:graphic>
          </wp:inline>
        </w:drawing>
      </w:r>
    </w:p>
    <w:p w14:paraId="6FA21904" w14:textId="4D37A32B" w:rsidR="005074AF" w:rsidRPr="005074AF" w:rsidRDefault="005074AF" w:rsidP="0059601C">
      <w:pPr>
        <w:pStyle w:val="FootnoteText"/>
      </w:pPr>
      <w:r>
        <w:rPr>
          <w:noProof/>
        </w:rPr>
        <w:lastRenderedPageBreak/>
        <w:drawing>
          <wp:inline distT="0" distB="0" distL="0" distR="0" wp14:anchorId="6A7B7426" wp14:editId="68669BA1">
            <wp:extent cx="6675120" cy="4549775"/>
            <wp:effectExtent l="0" t="0" r="5080" b="0"/>
            <wp:docPr id="1360677901" name="Picture 5" descr="A table of in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77901" name="Picture 5" descr="A table of information&#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6675120" cy="4549775"/>
                    </a:xfrm>
                    <a:prstGeom prst="rect">
                      <a:avLst/>
                    </a:prstGeom>
                  </pic:spPr>
                </pic:pic>
              </a:graphicData>
            </a:graphic>
          </wp:inline>
        </w:drawing>
      </w:r>
    </w:p>
    <w:p w14:paraId="7AC5037A" w14:textId="1E7FC8B2" w:rsidR="001C735E" w:rsidRPr="003D6244" w:rsidRDefault="005074AF" w:rsidP="003D6244">
      <w:r>
        <w:rPr>
          <w:noProof/>
        </w:rPr>
        <w:drawing>
          <wp:inline distT="0" distB="0" distL="0" distR="0" wp14:anchorId="274319C0" wp14:editId="12BC5959">
            <wp:extent cx="6675120" cy="3231515"/>
            <wp:effectExtent l="0" t="0" r="5080" b="0"/>
            <wp:docPr id="1439313812" name="Picture 3" descr="A table of numbers and a t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13812" name="Picture 3" descr="A table of numbers and a test&#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75120" cy="3231515"/>
                    </a:xfrm>
                    <a:prstGeom prst="rect">
                      <a:avLst/>
                    </a:prstGeom>
                  </pic:spPr>
                </pic:pic>
              </a:graphicData>
            </a:graphic>
          </wp:inline>
        </w:drawing>
      </w:r>
    </w:p>
    <w:sectPr w:rsidR="001C735E" w:rsidRPr="003D6244"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8A767" w14:textId="77777777" w:rsidR="0033760B" w:rsidRDefault="0033760B" w:rsidP="00A16498">
      <w:pPr>
        <w:spacing w:after="0" w:line="240" w:lineRule="auto"/>
      </w:pPr>
      <w:r>
        <w:separator/>
      </w:r>
    </w:p>
  </w:endnote>
  <w:endnote w:type="continuationSeparator" w:id="0">
    <w:p w14:paraId="2B5A07B1" w14:textId="77777777" w:rsidR="0033760B" w:rsidRDefault="0033760B"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A4F84" w14:textId="77777777" w:rsidR="0033760B" w:rsidRDefault="0033760B" w:rsidP="00A16498">
      <w:pPr>
        <w:spacing w:after="0" w:line="240" w:lineRule="auto"/>
      </w:pPr>
      <w:r>
        <w:separator/>
      </w:r>
    </w:p>
  </w:footnote>
  <w:footnote w:type="continuationSeparator" w:id="0">
    <w:p w14:paraId="4EE9D10D" w14:textId="77777777" w:rsidR="0033760B" w:rsidRDefault="0033760B"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357CD1E5"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357CD1E5"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84E05"/>
    <w:rsid w:val="000D0162"/>
    <w:rsid w:val="001C3AF5"/>
    <w:rsid w:val="001C735E"/>
    <w:rsid w:val="00226854"/>
    <w:rsid w:val="00244C29"/>
    <w:rsid w:val="002872AA"/>
    <w:rsid w:val="002E306F"/>
    <w:rsid w:val="00300310"/>
    <w:rsid w:val="00312417"/>
    <w:rsid w:val="00316B3B"/>
    <w:rsid w:val="0032171F"/>
    <w:rsid w:val="00324E6F"/>
    <w:rsid w:val="0033415B"/>
    <w:rsid w:val="0033760B"/>
    <w:rsid w:val="00394E2C"/>
    <w:rsid w:val="003B0285"/>
    <w:rsid w:val="003C2A0A"/>
    <w:rsid w:val="003C4D59"/>
    <w:rsid w:val="003D6244"/>
    <w:rsid w:val="003F558A"/>
    <w:rsid w:val="003F66C6"/>
    <w:rsid w:val="00412A17"/>
    <w:rsid w:val="00444D82"/>
    <w:rsid w:val="004473AC"/>
    <w:rsid w:val="00452576"/>
    <w:rsid w:val="0045428A"/>
    <w:rsid w:val="004867D4"/>
    <w:rsid w:val="004C244D"/>
    <w:rsid w:val="005074AF"/>
    <w:rsid w:val="00550360"/>
    <w:rsid w:val="00577DC4"/>
    <w:rsid w:val="00587194"/>
    <w:rsid w:val="0059601C"/>
    <w:rsid w:val="005F3158"/>
    <w:rsid w:val="00625543"/>
    <w:rsid w:val="006535AF"/>
    <w:rsid w:val="006637E7"/>
    <w:rsid w:val="006916E1"/>
    <w:rsid w:val="0069448E"/>
    <w:rsid w:val="006C05DD"/>
    <w:rsid w:val="00751FEE"/>
    <w:rsid w:val="007722E4"/>
    <w:rsid w:val="0077649B"/>
    <w:rsid w:val="00777D73"/>
    <w:rsid w:val="007B4CE7"/>
    <w:rsid w:val="00801D2A"/>
    <w:rsid w:val="00817FE3"/>
    <w:rsid w:val="0087492A"/>
    <w:rsid w:val="008938D8"/>
    <w:rsid w:val="008B78A5"/>
    <w:rsid w:val="008F629F"/>
    <w:rsid w:val="009462E3"/>
    <w:rsid w:val="009B1DAB"/>
    <w:rsid w:val="009D58EA"/>
    <w:rsid w:val="009E1B56"/>
    <w:rsid w:val="00A16498"/>
    <w:rsid w:val="00AB7B37"/>
    <w:rsid w:val="00AE4ADB"/>
    <w:rsid w:val="00B0280B"/>
    <w:rsid w:val="00B226B4"/>
    <w:rsid w:val="00B71AFF"/>
    <w:rsid w:val="00BA2D2D"/>
    <w:rsid w:val="00C6243D"/>
    <w:rsid w:val="00C80718"/>
    <w:rsid w:val="00C8488F"/>
    <w:rsid w:val="00C91729"/>
    <w:rsid w:val="00CF3CDF"/>
    <w:rsid w:val="00D46241"/>
    <w:rsid w:val="00D60D08"/>
    <w:rsid w:val="00D8061A"/>
    <w:rsid w:val="00DC15FA"/>
    <w:rsid w:val="00E15391"/>
    <w:rsid w:val="00E34365"/>
    <w:rsid w:val="00E44502"/>
    <w:rsid w:val="00E60A81"/>
    <w:rsid w:val="00EC1345"/>
    <w:rsid w:val="00EC319D"/>
    <w:rsid w:val="00F00F67"/>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AEBD24DF-B4E5-734E-9CF5-CCA5DD7B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8B78A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subject/>
  <dc:creator>BSHELTON</dc:creator>
  <cp:keywords/>
  <dc:description/>
  <cp:lastModifiedBy>Elaine Clarke</cp:lastModifiedBy>
  <cp:revision>2</cp:revision>
  <dcterms:created xsi:type="dcterms:W3CDTF">2023-09-01T15:06:00Z</dcterms:created>
  <dcterms:modified xsi:type="dcterms:W3CDTF">2024-10-24T00:09:00Z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id="W5IiDFlt"/&gt;&lt;style id="http://www.zotero.org/styles/apa" locale="en-US" hasBibliography="1" bibliographyStyleHasBeenSet="1"/&gt;&lt;prefs&gt;&lt;pref name="fieldType" value="Field"/&gt;&lt;/prefs&gt;&lt;/data&gt;</vt:lpwstr>
  </property>
</Properties>
</file>