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2CEED" w14:textId="615B6497" w:rsidR="000048E7" w:rsidRDefault="000048E7" w:rsidP="000048E7">
      <w:r w:rsidRPr="002A64F0">
        <w:rPr>
          <w:b/>
          <w:bCs/>
        </w:rPr>
        <w:t>Paper Title</w:t>
      </w:r>
      <w:r>
        <w:t xml:space="preserve">: </w:t>
      </w:r>
      <w:r w:rsidR="00856F30">
        <w:t>Examining the properties of response inhibition paradigms in children with rare genetic syndromes</w:t>
      </w:r>
      <w:r w:rsidR="00ED4594">
        <w:t xml:space="preserve"> associated with intellectual disability</w:t>
      </w:r>
    </w:p>
    <w:p w14:paraId="5D192433" w14:textId="7CD8B5A3" w:rsidR="000048E7" w:rsidRDefault="000048E7" w:rsidP="000048E7">
      <w:pPr>
        <w:rPr>
          <w:vertAlign w:val="superscript"/>
        </w:rPr>
      </w:pPr>
      <w:r w:rsidRPr="002A64F0">
        <w:rPr>
          <w:b/>
          <w:bCs/>
        </w:rPr>
        <w:t>Authors</w:t>
      </w:r>
      <w:r>
        <w:t xml:space="preserve">: Mr Rory </w:t>
      </w:r>
      <w:r w:rsidRPr="00B17BA8">
        <w:t>O’Sullivan</w:t>
      </w:r>
      <w:r w:rsidR="00781D6B">
        <w:rPr>
          <w:rStyle w:val="FootnoteReference"/>
        </w:rPr>
        <w:footnoteReference w:id="1"/>
      </w:r>
      <w:r>
        <w:t>, Dr Stacey Bissell</w:t>
      </w:r>
      <w:r w:rsidR="005D5DFD" w:rsidRPr="00B17BA8">
        <w:rPr>
          <w:vertAlign w:val="superscript"/>
        </w:rPr>
        <w:t>1</w:t>
      </w:r>
      <w:r>
        <w:t xml:space="preserve">, </w:t>
      </w:r>
      <w:r w:rsidR="00D91881">
        <w:t>Dr Catherine Laverty</w:t>
      </w:r>
      <w:r w:rsidR="00D91881" w:rsidRPr="00D91881">
        <w:rPr>
          <w:vertAlign w:val="superscript"/>
        </w:rPr>
        <w:t>1</w:t>
      </w:r>
      <w:r w:rsidR="00D91881">
        <w:t xml:space="preserve">, </w:t>
      </w:r>
      <w:r w:rsidR="005C7160" w:rsidRPr="00D91881">
        <w:t>Dr</w:t>
      </w:r>
      <w:r w:rsidR="005C7160">
        <w:t xml:space="preserve"> Rory Devine</w:t>
      </w:r>
      <w:r w:rsidR="005D5DFD" w:rsidRPr="00B17BA8">
        <w:rPr>
          <w:vertAlign w:val="superscript"/>
        </w:rPr>
        <w:t>1</w:t>
      </w:r>
      <w:r w:rsidR="005C7160">
        <w:t>, Dr Hayley Crawford</w:t>
      </w:r>
      <w:r w:rsidR="00FC7B84">
        <w:rPr>
          <w:rStyle w:val="FootnoteReference"/>
        </w:rPr>
        <w:footnoteReference w:id="2"/>
      </w:r>
      <w:r w:rsidR="005C7160">
        <w:t xml:space="preserve">, </w:t>
      </w:r>
      <w:r>
        <w:t>Prof Andrew Bagshaw</w:t>
      </w:r>
      <w:r w:rsidR="005D5DFD" w:rsidRPr="00B17BA8">
        <w:rPr>
          <w:vertAlign w:val="superscript"/>
        </w:rPr>
        <w:t>1</w:t>
      </w:r>
      <w:r w:rsidR="005D5DFD">
        <w:rPr>
          <w:vertAlign w:val="superscript"/>
        </w:rPr>
        <w:t>,</w:t>
      </w:r>
      <w:r w:rsidR="00AA04B1">
        <w:rPr>
          <w:rStyle w:val="FootnoteReference"/>
        </w:rPr>
        <w:footnoteReference w:id="3"/>
      </w:r>
      <w:r>
        <w:t>, Prof Caroline Richards</w:t>
      </w:r>
      <w:r w:rsidR="005D5DFD" w:rsidRPr="00B17BA8">
        <w:rPr>
          <w:vertAlign w:val="superscript"/>
        </w:rPr>
        <w:t>1</w:t>
      </w:r>
    </w:p>
    <w:p w14:paraId="0443A747" w14:textId="77777777" w:rsidR="000048E7" w:rsidRDefault="000048E7" w:rsidP="000048E7">
      <w:r w:rsidRPr="002A64F0">
        <w:rPr>
          <w:b/>
          <w:bCs/>
        </w:rPr>
        <w:t>Introduction</w:t>
      </w:r>
      <w:r>
        <w:t xml:space="preserve">: </w:t>
      </w:r>
    </w:p>
    <w:p w14:paraId="691267D6" w14:textId="7C789FC5" w:rsidR="000048E7" w:rsidRDefault="002550FE" w:rsidP="00694301">
      <w:r w:rsidRPr="00626E0B">
        <w:rPr>
          <w:rFonts w:cs="Arial"/>
          <w:szCs w:val="20"/>
        </w:rPr>
        <w:t>I</w:t>
      </w:r>
      <w:r w:rsidR="000048E7" w:rsidRPr="00626E0B">
        <w:rPr>
          <w:rFonts w:cs="Arial"/>
          <w:szCs w:val="20"/>
        </w:rPr>
        <w:t xml:space="preserve">mpulsivity </w:t>
      </w:r>
      <w:r w:rsidR="00A74577" w:rsidRPr="00626E0B">
        <w:rPr>
          <w:rFonts w:cs="Arial"/>
          <w:szCs w:val="20"/>
        </w:rPr>
        <w:t>is</w:t>
      </w:r>
      <w:r w:rsidR="000048E7" w:rsidRPr="00626E0B">
        <w:rPr>
          <w:rFonts w:cs="Arial"/>
          <w:szCs w:val="20"/>
        </w:rPr>
        <w:t xml:space="preserve"> common in many rare genetic syndromes</w:t>
      </w:r>
      <w:r w:rsidR="0003564D">
        <w:rPr>
          <w:rFonts w:cs="Arial"/>
          <w:szCs w:val="20"/>
        </w:rPr>
        <w:t xml:space="preserve"> associated with intellectual disability</w:t>
      </w:r>
      <w:r w:rsidR="00A74577" w:rsidRPr="00626E0B">
        <w:rPr>
          <w:rFonts w:cs="Arial"/>
          <w:szCs w:val="20"/>
        </w:rPr>
        <w:t>, such as Smith-Magenis syndrome (</w:t>
      </w:r>
      <w:r w:rsidR="001608A3" w:rsidRPr="00626E0B">
        <w:rPr>
          <w:rFonts w:eastAsia="Calibri" w:cs="Arial"/>
          <w:szCs w:val="20"/>
        </w:rPr>
        <w:t>Oliver et al., 2011</w:t>
      </w:r>
      <w:r w:rsidR="00A74577" w:rsidRPr="00626E0B">
        <w:rPr>
          <w:rFonts w:cs="Arial"/>
          <w:szCs w:val="20"/>
        </w:rPr>
        <w:t>), Fragile X syndrome (</w:t>
      </w:r>
      <w:r w:rsidR="005416B9" w:rsidRPr="00626E0B">
        <w:rPr>
          <w:rFonts w:eastAsia="Calibri" w:cs="Arial"/>
          <w:szCs w:val="20"/>
        </w:rPr>
        <w:t>Richards et al., 2017</w:t>
      </w:r>
      <w:r w:rsidR="00A74577" w:rsidRPr="00626E0B">
        <w:rPr>
          <w:rFonts w:cs="Arial"/>
          <w:szCs w:val="20"/>
        </w:rPr>
        <w:t>), Cornelia de Lange syndrome (</w:t>
      </w:r>
      <w:r w:rsidR="00220D6D" w:rsidRPr="00626E0B">
        <w:rPr>
          <w:rFonts w:eastAsia="Calibri" w:cs="Arial"/>
          <w:szCs w:val="20"/>
        </w:rPr>
        <w:t>Srivastava et al., 2014</w:t>
      </w:r>
      <w:r w:rsidR="00A74577" w:rsidRPr="00626E0B">
        <w:rPr>
          <w:rFonts w:cs="Arial"/>
          <w:szCs w:val="20"/>
        </w:rPr>
        <w:t>), and tuberous sclerosis complex</w:t>
      </w:r>
      <w:r w:rsidR="000048E7" w:rsidRPr="00626E0B">
        <w:rPr>
          <w:rFonts w:cs="Arial"/>
          <w:szCs w:val="20"/>
        </w:rPr>
        <w:t xml:space="preserve"> (</w:t>
      </w:r>
      <w:r w:rsidR="00626E0B" w:rsidRPr="00626E0B">
        <w:rPr>
          <w:rFonts w:eastAsia="Calibri" w:cs="Arial"/>
          <w:szCs w:val="20"/>
        </w:rPr>
        <w:t>de Vries et al., 2018</w:t>
      </w:r>
      <w:r w:rsidR="000048E7" w:rsidRPr="00626E0B">
        <w:rPr>
          <w:rFonts w:cs="Arial"/>
          <w:szCs w:val="20"/>
        </w:rPr>
        <w:t>). Contemporary aetiologic models of impulsivity refer, at least in part, to deficits in response inhibition (Bari &amp; Robbins, 2013) which are also heightened in individuals with intellectual disabilities (Bexkens et al., 2014). Response inhibition is assessed via objective paradigms, such as Go/No-Go, continuous performance, and stop-signal tasks. However, the measurement properties</w:t>
      </w:r>
      <w:r w:rsidR="000048E7" w:rsidRPr="00694301">
        <w:t xml:space="preserve"> of</w:t>
      </w:r>
      <w:r w:rsidR="00FF250F">
        <w:t xml:space="preserve"> these</w:t>
      </w:r>
      <w:r w:rsidR="000048E7" w:rsidRPr="00694301">
        <w:t xml:space="preserve"> paradigms </w:t>
      </w:r>
      <w:r w:rsidR="009346B1">
        <w:t>require further examination</w:t>
      </w:r>
      <w:r w:rsidR="000048E7" w:rsidRPr="00694301">
        <w:t xml:space="preserve"> in children with rare genetic syndromes </w:t>
      </w:r>
      <w:r w:rsidR="00FF250F">
        <w:t xml:space="preserve">to </w:t>
      </w:r>
      <w:r w:rsidR="002F0BDB">
        <w:t>e</w:t>
      </w:r>
      <w:r w:rsidR="001322D1">
        <w:t xml:space="preserve">nsure </w:t>
      </w:r>
      <w:r w:rsidR="00C303DC">
        <w:t>rigorous</w:t>
      </w:r>
      <w:r w:rsidR="001322D1">
        <w:t xml:space="preserve"> assessment </w:t>
      </w:r>
      <w:r w:rsidR="0079711F">
        <w:t>of response inhibition</w:t>
      </w:r>
      <w:r w:rsidR="002C55F5">
        <w:t xml:space="preserve">. </w:t>
      </w:r>
      <w:r w:rsidR="000F2CF4" w:rsidRPr="00694301">
        <w:t>Th</w:t>
      </w:r>
      <w:r w:rsidR="005D2E64" w:rsidRPr="00694301">
        <w:t>erefore, th</w:t>
      </w:r>
      <w:r w:rsidR="000F2CF4" w:rsidRPr="00694301">
        <w:t xml:space="preserve">is study examined </w:t>
      </w:r>
      <w:r w:rsidR="000C215C" w:rsidRPr="00694301">
        <w:t xml:space="preserve">multiple properties of response inhibition paradigms, including: </w:t>
      </w:r>
      <w:r w:rsidR="000048E7" w:rsidRPr="00694301">
        <w:t xml:space="preserve">the distinction between ‘hot’ and ‘cold’ paradigms, </w:t>
      </w:r>
      <w:r w:rsidR="00204A09" w:rsidRPr="00694301">
        <w:t>correspondence with behavioral impulsivity ratings</w:t>
      </w:r>
      <w:r w:rsidR="00204A09">
        <w:t xml:space="preserve">, </w:t>
      </w:r>
      <w:r w:rsidR="000048E7" w:rsidRPr="00694301">
        <w:t>practice/fatigue effects, and</w:t>
      </w:r>
      <w:r w:rsidR="00204A09">
        <w:t xml:space="preserve"> </w:t>
      </w:r>
      <w:r w:rsidR="00204A09" w:rsidRPr="00694301">
        <w:t>test-retest reliability</w:t>
      </w:r>
      <w:r w:rsidR="000048E7" w:rsidRPr="00694301">
        <w:t>.</w:t>
      </w:r>
      <w:r w:rsidR="000048E7">
        <w:t xml:space="preserve"> </w:t>
      </w:r>
    </w:p>
    <w:p w14:paraId="02267A40" w14:textId="784C168D" w:rsidR="000048E7" w:rsidRDefault="000048E7" w:rsidP="000048E7">
      <w:r w:rsidRPr="007B5928">
        <w:rPr>
          <w:b/>
          <w:bCs/>
        </w:rPr>
        <w:t>Method</w:t>
      </w:r>
      <w:r w:rsidR="00CF5427">
        <w:rPr>
          <w:b/>
          <w:bCs/>
        </w:rPr>
        <w:t>s</w:t>
      </w:r>
      <w:r>
        <w:t xml:space="preserve">: </w:t>
      </w:r>
    </w:p>
    <w:p w14:paraId="192CA63F" w14:textId="710C823A" w:rsidR="000048E7" w:rsidRDefault="000048E7" w:rsidP="000048E7">
      <w:r>
        <w:t xml:space="preserve">27 children aged 4-15 years with Smith-Magenis syndrome (N=6), Fragile X syndrome (N=6), Cornelia de Lange syndrome (N=9), and tuberous sclerosis complex (N=6) took part in remote sleep assessments lasting 10 days. Throughout the assessments, parents/caregivers completed daily ratings of impulsivity, overactivity, daytime sleepiness, and bedtime resistance. On 4-5 days of the sleep assessment, children completed a standardized battery of ‘hot’ (prohibition task) and ‘cold’ (Go/No-Go task) response inhibition paradigms. Concordance was examined </w:t>
      </w:r>
      <w:r w:rsidR="00900B94">
        <w:t xml:space="preserve">(i) between </w:t>
      </w:r>
      <w:r w:rsidR="00BB21F8">
        <w:t xml:space="preserve">the </w:t>
      </w:r>
      <w:r w:rsidR="002831F9">
        <w:t>response inhibition paradigms</w:t>
      </w:r>
      <w:r>
        <w:t>, and (ii)</w:t>
      </w:r>
      <w:r w:rsidR="00BB21F8">
        <w:t xml:space="preserve"> </w:t>
      </w:r>
      <w:r w:rsidR="00900B94">
        <w:t xml:space="preserve">between </w:t>
      </w:r>
      <w:r w:rsidR="00BB21F8">
        <w:t>daily impulsivity ratings and response inhibition estimates</w:t>
      </w:r>
      <w:r w:rsidR="00A94ACE">
        <w:t xml:space="preserve"> collected on the same day</w:t>
      </w:r>
      <w:r>
        <w:t xml:space="preserve">. </w:t>
      </w:r>
      <w:r w:rsidR="00394A36">
        <w:t xml:space="preserve">To test practice/fatigue effects, </w:t>
      </w:r>
      <w:r w:rsidR="00D43F70">
        <w:t xml:space="preserve">mean </w:t>
      </w:r>
      <w:r w:rsidR="00394A36">
        <w:t xml:space="preserve">response inhibition </w:t>
      </w:r>
      <w:r w:rsidR="00D43F70">
        <w:t xml:space="preserve">estimates </w:t>
      </w:r>
      <w:r>
        <w:t>w</w:t>
      </w:r>
      <w:r w:rsidR="00D43F70">
        <w:t>ere</w:t>
      </w:r>
      <w:r>
        <w:t xml:space="preserve"> compared between each administration iteration (i.e. first administration, second administration, etc.)</w:t>
      </w:r>
      <w:r w:rsidR="00403870">
        <w:t>.</w:t>
      </w:r>
      <w:r w:rsidR="001208AC">
        <w:t xml:space="preserve"> Finally,</w:t>
      </w:r>
      <w:r w:rsidR="003476FF">
        <w:t xml:space="preserve"> to examine test-retest reliability,</w:t>
      </w:r>
      <w:r w:rsidR="001208AC">
        <w:t xml:space="preserve"> </w:t>
      </w:r>
      <w:r w:rsidR="00D06C33">
        <w:t xml:space="preserve">performance on the </w:t>
      </w:r>
      <w:r w:rsidR="00BF78D6">
        <w:t xml:space="preserve">response inhibition </w:t>
      </w:r>
      <w:r w:rsidR="00D06C33">
        <w:t>paradigms was</w:t>
      </w:r>
      <w:r w:rsidR="006D5BF5">
        <w:t xml:space="preserve"> compared between the first and second administration.</w:t>
      </w:r>
    </w:p>
    <w:p w14:paraId="60F26CD2" w14:textId="77777777" w:rsidR="000048E7" w:rsidRDefault="000048E7" w:rsidP="000048E7">
      <w:r w:rsidRPr="007B5928">
        <w:rPr>
          <w:b/>
          <w:bCs/>
        </w:rPr>
        <w:t>Results</w:t>
      </w:r>
      <w:r>
        <w:t>:</w:t>
      </w:r>
      <w:r w:rsidRPr="009B17A1">
        <w:t xml:space="preserve"> </w:t>
      </w:r>
    </w:p>
    <w:p w14:paraId="4F458C08" w14:textId="46E2BB6F" w:rsidR="000048E7" w:rsidRDefault="000048E7" w:rsidP="000048E7">
      <w:r>
        <w:t xml:space="preserve">Response inhibition estimates </w:t>
      </w:r>
      <w:r w:rsidR="00694301">
        <w:t xml:space="preserve">did not converge </w:t>
      </w:r>
      <w:r>
        <w:t>between the prohibition</w:t>
      </w:r>
      <w:r w:rsidR="00FF250F">
        <w:t xml:space="preserve"> (‘hot’)</w:t>
      </w:r>
      <w:r>
        <w:t xml:space="preserve"> and Go/No-Go</w:t>
      </w:r>
      <w:r w:rsidR="00FF250F">
        <w:t xml:space="preserve"> (‘cold’)</w:t>
      </w:r>
      <w:r>
        <w:t xml:space="preserve"> tasks</w:t>
      </w:r>
      <w:r w:rsidR="00DD7E4D">
        <w:t xml:space="preserve">. However, </w:t>
      </w:r>
      <w:r w:rsidR="0046019E">
        <w:t xml:space="preserve">response inhibition deficits, estimated by the prohibition task, positively predicted </w:t>
      </w:r>
      <w:r w:rsidR="00A94ACE">
        <w:t>daily impulsivity ratings</w:t>
      </w:r>
      <w:r w:rsidR="002D1793">
        <w:t>.</w:t>
      </w:r>
      <w:r>
        <w:t xml:space="preserve"> The mean scores from </w:t>
      </w:r>
      <w:r w:rsidR="00BD127A">
        <w:t>each paradigm</w:t>
      </w:r>
      <w:r>
        <w:t xml:space="preserve"> did not significantly differ between the administration iterations, although a visual trend </w:t>
      </w:r>
      <w:r>
        <w:lastRenderedPageBreak/>
        <w:t xml:space="preserve">towards lower Go/No-Go response inhibition deficits was noted towards the later administrations. </w:t>
      </w:r>
      <w:r w:rsidR="00A667D8">
        <w:t xml:space="preserve">Good test-retest reliability </w:t>
      </w:r>
      <w:r w:rsidR="00B27760">
        <w:t xml:space="preserve">was demonstrated for </w:t>
      </w:r>
      <w:r w:rsidR="00915014">
        <w:t>each response inhibition paradigm.</w:t>
      </w:r>
    </w:p>
    <w:p w14:paraId="3A19DD48" w14:textId="77777777" w:rsidR="000048E7" w:rsidRDefault="000048E7" w:rsidP="000048E7">
      <w:r w:rsidRPr="007B5928">
        <w:rPr>
          <w:b/>
          <w:bCs/>
        </w:rPr>
        <w:t>Discussion</w:t>
      </w:r>
      <w:r>
        <w:t xml:space="preserve">: </w:t>
      </w:r>
    </w:p>
    <w:p w14:paraId="420E9543" w14:textId="17F21F81" w:rsidR="007D2244" w:rsidRDefault="00A452EF" w:rsidP="000048E7">
      <w:r>
        <w:t>In summary, the current findings (i) support</w:t>
      </w:r>
      <w:r w:rsidR="005F24D0">
        <w:t>ed</w:t>
      </w:r>
      <w:r>
        <w:t xml:space="preserve"> the distinction between </w:t>
      </w:r>
      <w:r w:rsidR="000048E7">
        <w:t>‘hot’ and ‘cold’ response inhibition paradigms</w:t>
      </w:r>
      <w:r w:rsidR="00CA0687">
        <w:t>;</w:t>
      </w:r>
      <w:r>
        <w:t xml:space="preserve"> (ii) </w:t>
      </w:r>
      <w:r w:rsidR="005F24D0">
        <w:t>highlighted that behavioural impulsivity may be linked to response inhibition deficits</w:t>
      </w:r>
      <w:r w:rsidR="00CA7B98">
        <w:t>, contributing to models of cause</w:t>
      </w:r>
      <w:r w:rsidR="00CA0687">
        <w:t xml:space="preserve">; </w:t>
      </w:r>
      <w:r w:rsidR="00B710E1">
        <w:t xml:space="preserve">(iii) </w:t>
      </w:r>
      <w:r w:rsidR="00CA7B98">
        <w:t>indicated</w:t>
      </w:r>
      <w:r w:rsidR="00B710E1">
        <w:t xml:space="preserve"> th</w:t>
      </w:r>
      <w:r w:rsidR="00CA7B98">
        <w:t>at</w:t>
      </w:r>
      <w:r w:rsidR="00C06F00">
        <w:t xml:space="preserve"> </w:t>
      </w:r>
      <w:r w:rsidR="000048E7">
        <w:t xml:space="preserve">practice effects </w:t>
      </w:r>
      <w:r w:rsidR="00CA7B98">
        <w:t xml:space="preserve">may occur </w:t>
      </w:r>
      <w:r w:rsidR="000048E7">
        <w:t>for the Go/No-Go task</w:t>
      </w:r>
      <w:r w:rsidR="00C06F00">
        <w:t xml:space="preserve">, which future studies should mitigate against; </w:t>
      </w:r>
      <w:r w:rsidR="00CA0687">
        <w:t xml:space="preserve">and </w:t>
      </w:r>
      <w:r w:rsidR="00C06F00">
        <w:t xml:space="preserve">(iv) </w:t>
      </w:r>
      <w:r w:rsidR="00CA7B98">
        <w:t>demonstrated</w:t>
      </w:r>
      <w:r w:rsidR="00CA0687">
        <w:t xml:space="preserve"> good test-retest reliability </w:t>
      </w:r>
      <w:r w:rsidR="00CA7B98">
        <w:t>for</w:t>
      </w:r>
      <w:r w:rsidR="00CA0687">
        <w:t xml:space="preserve"> the response inhibition paradigms</w:t>
      </w:r>
      <w:r w:rsidR="000048E7">
        <w:t>.</w:t>
      </w:r>
      <w:r w:rsidR="003452E4">
        <w:t xml:space="preserve"> </w:t>
      </w:r>
    </w:p>
    <w:p w14:paraId="0D4AECD9" w14:textId="095F9747" w:rsidR="000048E7" w:rsidRDefault="00FF250F" w:rsidP="000048E7">
      <w:r>
        <w:t xml:space="preserve">This work is now being replicated and extended in a large </w:t>
      </w:r>
      <w:r w:rsidR="00D95045">
        <w:t>sample of ~100 individuals with rare genetic syndromes</w:t>
      </w:r>
      <w:r>
        <w:t xml:space="preserve"> (</w:t>
      </w:r>
      <w:r w:rsidR="00FE2B77">
        <w:t>Research into Executive Functions in Individuals with Additional Needs, REFINE)</w:t>
      </w:r>
      <w:r w:rsidR="00D95045">
        <w:t>.</w:t>
      </w:r>
      <w:r w:rsidR="0040452F">
        <w:t xml:space="preserve"> </w:t>
      </w:r>
      <w:r>
        <w:t>R</w:t>
      </w:r>
      <w:r w:rsidR="00FE2B77">
        <w:t>EFINE</w:t>
      </w:r>
      <w:r w:rsidR="001E339C">
        <w:t xml:space="preserve"> will </w:t>
      </w:r>
      <w:r w:rsidR="00277D02">
        <w:t>examine</w:t>
      </w:r>
      <w:r w:rsidR="00CD7920">
        <w:t xml:space="preserve"> </w:t>
      </w:r>
      <w:r w:rsidR="00CD4DBD">
        <w:t>multiple executive functions</w:t>
      </w:r>
      <w:r w:rsidR="007D5954">
        <w:t xml:space="preserve"> via </w:t>
      </w:r>
      <w:r w:rsidR="009C7B64">
        <w:t>play-based, objective paradigms</w:t>
      </w:r>
      <w:r w:rsidR="00CD4DBD">
        <w:t xml:space="preserve"> and </w:t>
      </w:r>
      <w:r w:rsidR="00B52F2A">
        <w:t xml:space="preserve">address </w:t>
      </w:r>
      <w:r w:rsidR="007D5954">
        <w:t xml:space="preserve">multiple measurement properties </w:t>
      </w:r>
      <w:r w:rsidR="009C7B64">
        <w:t>(e.g.</w:t>
      </w:r>
      <w:r w:rsidR="00277D02">
        <w:t xml:space="preserve"> </w:t>
      </w:r>
      <w:r w:rsidR="00DF3FCF">
        <w:t>test-retest reliability</w:t>
      </w:r>
      <w:r w:rsidR="009C7B64">
        <w:t xml:space="preserve">, </w:t>
      </w:r>
      <w:r w:rsidR="006C3DBB">
        <w:t xml:space="preserve">reliability of caregiver and researcher administration, </w:t>
      </w:r>
      <w:r w:rsidR="006C0845">
        <w:t xml:space="preserve">and </w:t>
      </w:r>
      <w:r w:rsidR="006C3DBB">
        <w:t>convergence with informant-report executive function</w:t>
      </w:r>
      <w:r w:rsidR="005B383D">
        <w:t>ing estimate</w:t>
      </w:r>
      <w:r w:rsidR="006C3DBB">
        <w:t>s)</w:t>
      </w:r>
      <w:r w:rsidR="006C0845">
        <w:t>.</w:t>
      </w:r>
      <w:r w:rsidR="00D8626B">
        <w:t xml:space="preserve"> </w:t>
      </w:r>
      <w:r w:rsidR="00CD38AC">
        <w:t xml:space="preserve"> </w:t>
      </w:r>
    </w:p>
    <w:p w14:paraId="0E6D0492" w14:textId="77777777" w:rsidR="000048E7" w:rsidRDefault="000048E7" w:rsidP="000048E7">
      <w:r w:rsidRPr="007B5928">
        <w:rPr>
          <w:b/>
          <w:bCs/>
        </w:rPr>
        <w:t>References</w:t>
      </w:r>
      <w:r>
        <w:t>:</w:t>
      </w:r>
    </w:p>
    <w:p w14:paraId="67A71D12" w14:textId="79AEFE65" w:rsidR="004538DD" w:rsidRPr="004538DD" w:rsidRDefault="004538DD" w:rsidP="004538DD">
      <w:pPr>
        <w:rPr>
          <w:lang w:val="en-GB"/>
        </w:rPr>
      </w:pPr>
      <w:r w:rsidRPr="004538DD">
        <w:rPr>
          <w:lang w:val="en-GB"/>
        </w:rPr>
        <w:t xml:space="preserve">Bari, A., &amp; Robbins, T. W. (2013). Inhibition and impulsivity: behavioral and neural basis of response control. </w:t>
      </w:r>
      <w:r w:rsidRPr="004538DD">
        <w:rPr>
          <w:i/>
          <w:iCs/>
          <w:lang w:val="en-GB"/>
        </w:rPr>
        <w:t xml:space="preserve">Progress in Neurobiology, 108, </w:t>
      </w:r>
      <w:r w:rsidRPr="004538DD">
        <w:rPr>
          <w:lang w:val="en-GB"/>
        </w:rPr>
        <w:t xml:space="preserve">44-79. </w:t>
      </w:r>
    </w:p>
    <w:p w14:paraId="1113390C" w14:textId="49625E2E" w:rsidR="004538DD" w:rsidRPr="004538DD" w:rsidRDefault="004538DD" w:rsidP="004538DD">
      <w:pPr>
        <w:rPr>
          <w:lang w:val="en-GB"/>
        </w:rPr>
      </w:pPr>
      <w:r w:rsidRPr="004538DD">
        <w:rPr>
          <w:lang w:val="en-GB"/>
        </w:rPr>
        <w:t>Bexkens, A., Ruzzano, L., Collot d'Escury</w:t>
      </w:r>
      <w:r w:rsidRPr="004538DD">
        <w:rPr>
          <w:rFonts w:ascii="Cambria Math" w:hAnsi="Cambria Math" w:cs="Cambria Math"/>
          <w:lang w:val="en-GB"/>
        </w:rPr>
        <w:t>‐</w:t>
      </w:r>
      <w:r w:rsidRPr="004538DD">
        <w:rPr>
          <w:lang w:val="en-GB"/>
        </w:rPr>
        <w:t>Koenigs, A. M. L., Van der Molen, M. W., &amp; Huizenga, H. M. (2014). Inhibition deficits in individuals with intellectual disability: A meta</w:t>
      </w:r>
      <w:r w:rsidRPr="004538DD">
        <w:rPr>
          <w:rFonts w:ascii="Cambria Math" w:hAnsi="Cambria Math" w:cs="Cambria Math"/>
          <w:lang w:val="en-GB"/>
        </w:rPr>
        <w:t>‐</w:t>
      </w:r>
      <w:r w:rsidRPr="004538DD">
        <w:rPr>
          <w:lang w:val="en-GB"/>
        </w:rPr>
        <w:t xml:space="preserve">regression analysis. </w:t>
      </w:r>
      <w:r w:rsidRPr="004538DD">
        <w:rPr>
          <w:i/>
          <w:iCs/>
          <w:lang w:val="en-GB"/>
        </w:rPr>
        <w:t>Journal of Intellectual Disability Research</w:t>
      </w:r>
      <w:r w:rsidRPr="004538DD">
        <w:rPr>
          <w:lang w:val="en-GB"/>
        </w:rPr>
        <w:t xml:space="preserve">, </w:t>
      </w:r>
      <w:r w:rsidRPr="004538DD">
        <w:rPr>
          <w:i/>
          <w:iCs/>
          <w:lang w:val="en-GB"/>
        </w:rPr>
        <w:t>58</w:t>
      </w:r>
      <w:r w:rsidRPr="004538DD">
        <w:rPr>
          <w:lang w:val="en-GB"/>
        </w:rPr>
        <w:t xml:space="preserve">(1), 3-16. </w:t>
      </w:r>
    </w:p>
    <w:p w14:paraId="29803E5A" w14:textId="5DC3DD5B" w:rsidR="004538DD" w:rsidRPr="004538DD" w:rsidRDefault="004538DD" w:rsidP="004538DD">
      <w:pPr>
        <w:rPr>
          <w:lang w:val="en-GB"/>
        </w:rPr>
      </w:pPr>
      <w:r w:rsidRPr="004538DD">
        <w:rPr>
          <w:lang w:val="en-GB"/>
        </w:rPr>
        <w:t xml:space="preserve">De Vries, P. J., Belousova, E., Benedik, M. P., Carter, T., Cottin, V., Curatolo, P., ... &amp; Jansen, A. C. (2018). TSC-associated neuropsychiatric disorders (TAND): findings from the TOSCA natural history study. </w:t>
      </w:r>
      <w:r w:rsidRPr="004538DD">
        <w:rPr>
          <w:i/>
          <w:iCs/>
          <w:lang w:val="en-GB"/>
        </w:rPr>
        <w:t>Orphanet Journal of Rare Diseases</w:t>
      </w:r>
      <w:r w:rsidRPr="004538DD">
        <w:rPr>
          <w:lang w:val="en-GB"/>
        </w:rPr>
        <w:t xml:space="preserve">, </w:t>
      </w:r>
      <w:r w:rsidRPr="004538DD">
        <w:rPr>
          <w:i/>
          <w:iCs/>
          <w:lang w:val="en-GB"/>
        </w:rPr>
        <w:t>13</w:t>
      </w:r>
      <w:r w:rsidRPr="004538DD">
        <w:rPr>
          <w:lang w:val="en-GB"/>
        </w:rPr>
        <w:t xml:space="preserve">, 1-13. </w:t>
      </w:r>
    </w:p>
    <w:p w14:paraId="37E4D6FE" w14:textId="3E0FD34F" w:rsidR="004538DD" w:rsidRDefault="004538DD" w:rsidP="004538DD">
      <w:r w:rsidRPr="004538DD">
        <w:rPr>
          <w:lang w:val="en-GB"/>
        </w:rPr>
        <w:t xml:space="preserve">Oliver, C., Berg, K., Moss, J., Arron, K., &amp; Burbidge, C. (2011). Delineation of behavioral phenotypes in genetic syndromes: characteristics of autism spectrum disorder, affect and hyperactivity. </w:t>
      </w:r>
      <w:r w:rsidRPr="004538DD">
        <w:rPr>
          <w:i/>
          <w:iCs/>
          <w:lang w:val="en-GB"/>
        </w:rPr>
        <w:t>Journal of Autism and Developmental Disorders, 41,</w:t>
      </w:r>
      <w:r w:rsidRPr="004538DD">
        <w:rPr>
          <w:lang w:val="en-GB"/>
        </w:rPr>
        <w:t xml:space="preserve"> 1019-1032. </w:t>
      </w:r>
    </w:p>
    <w:p w14:paraId="61188F03" w14:textId="002A6315" w:rsidR="004538DD" w:rsidRPr="004538DD" w:rsidRDefault="004538DD" w:rsidP="004538DD">
      <w:pPr>
        <w:rPr>
          <w:lang w:val="en-GB"/>
        </w:rPr>
      </w:pPr>
      <w:r w:rsidRPr="004538DD">
        <w:rPr>
          <w:lang w:val="en-GB"/>
        </w:rPr>
        <w:t xml:space="preserve">Richards, C., Powis, L., Moss, J., Stinton, C., Nelson, L., &amp; Oliver, C. (2017). Prospective study of autism phenomenology and the behavioural phenotype of Phelan–McDermid syndrome: comparison to fragile X syndrome, Down syndrome and idiopathic autism spectrum disorder. </w:t>
      </w:r>
      <w:r w:rsidRPr="004538DD">
        <w:rPr>
          <w:i/>
          <w:iCs/>
          <w:lang w:val="en-GB"/>
        </w:rPr>
        <w:t>Journal of Neurodevelopmental Disorders, 9</w:t>
      </w:r>
      <w:r w:rsidRPr="004538DD">
        <w:rPr>
          <w:lang w:val="en-GB"/>
        </w:rPr>
        <w:t xml:space="preserve">(1), 1-15. </w:t>
      </w:r>
    </w:p>
    <w:p w14:paraId="06333D89" w14:textId="7527C6E3" w:rsidR="004538DD" w:rsidRDefault="004538DD" w:rsidP="004538DD">
      <w:pPr>
        <w:rPr>
          <w:lang w:val="en-GB"/>
        </w:rPr>
      </w:pPr>
      <w:r w:rsidRPr="004538DD">
        <w:rPr>
          <w:lang w:val="en-GB"/>
        </w:rPr>
        <w:t>Srivastava, S., Landy</w:t>
      </w:r>
      <w:r w:rsidRPr="004538DD">
        <w:rPr>
          <w:rFonts w:ascii="Cambria Math" w:hAnsi="Cambria Math" w:cs="Cambria Math"/>
          <w:lang w:val="en-GB"/>
        </w:rPr>
        <w:t>‐</w:t>
      </w:r>
      <w:r w:rsidRPr="004538DD">
        <w:rPr>
          <w:lang w:val="en-GB"/>
        </w:rPr>
        <w:t xml:space="preserve">Schmitt, C., Clark, B., Kline, A. D., Specht, M., &amp; Grados, M. A. (2014). Autism traits in children and adolescents with Cornelia de Lange syndrome. </w:t>
      </w:r>
      <w:r w:rsidRPr="004538DD">
        <w:rPr>
          <w:i/>
          <w:iCs/>
          <w:lang w:val="en-GB"/>
        </w:rPr>
        <w:t>American Journal of Medical Genetics Part A, 164</w:t>
      </w:r>
      <w:r w:rsidRPr="004538DD">
        <w:rPr>
          <w:lang w:val="en-GB"/>
        </w:rPr>
        <w:t xml:space="preserve">(6), 1400-1410. </w:t>
      </w:r>
    </w:p>
    <w:p w14:paraId="079D7168" w14:textId="77777777" w:rsidR="00CA7BC1" w:rsidRDefault="00CA7BC1"/>
    <w:sectPr w:rsidR="00CA7BC1" w:rsidSect="000048E7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34787" w14:textId="77777777" w:rsidR="00781D6B" w:rsidRDefault="00781D6B" w:rsidP="00781D6B">
      <w:pPr>
        <w:spacing w:after="0" w:line="240" w:lineRule="auto"/>
      </w:pPr>
      <w:r>
        <w:separator/>
      </w:r>
    </w:p>
  </w:endnote>
  <w:endnote w:type="continuationSeparator" w:id="0">
    <w:p w14:paraId="7E28BE5D" w14:textId="77777777" w:rsidR="00781D6B" w:rsidRDefault="00781D6B" w:rsidP="0078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E63BB" w14:textId="77777777" w:rsidR="0046019E" w:rsidRPr="00F361B2" w:rsidRDefault="00CF5427" w:rsidP="00F01EB9">
    <w:pPr>
      <w:pStyle w:val="Footer"/>
      <w:jc w:val="center"/>
      <w:rPr>
        <w:b/>
        <w:szCs w:val="20"/>
      </w:rPr>
    </w:pPr>
    <w:sdt>
      <w:sdtPr>
        <w:rPr>
          <w:b/>
        </w:rPr>
        <w:id w:val="-1669238322"/>
        <w:docPartObj>
          <w:docPartGallery w:val="Page Numbers (Top of Page)"/>
          <w:docPartUnique/>
        </w:docPartObj>
      </w:sdtPr>
      <w:sdtEndPr/>
      <w:sdtContent>
        <w:r w:rsidR="0046019E" w:rsidRPr="00F361B2">
          <w:rPr>
            <w:b/>
            <w:szCs w:val="20"/>
          </w:rPr>
          <w:t xml:space="preserve">Page </w:t>
        </w:r>
        <w:r w:rsidR="0046019E" w:rsidRPr="00F361B2">
          <w:rPr>
            <w:b/>
            <w:bCs/>
          </w:rPr>
          <w:fldChar w:fldCharType="begin"/>
        </w:r>
        <w:r w:rsidR="0046019E" w:rsidRPr="00F361B2">
          <w:rPr>
            <w:b/>
            <w:bCs/>
          </w:rPr>
          <w:instrText xml:space="preserve"> PAGE </w:instrText>
        </w:r>
        <w:r w:rsidR="0046019E" w:rsidRPr="00F361B2">
          <w:rPr>
            <w:b/>
            <w:bCs/>
          </w:rPr>
          <w:fldChar w:fldCharType="separate"/>
        </w:r>
        <w:r w:rsidR="0046019E">
          <w:rPr>
            <w:b/>
            <w:bCs/>
          </w:rPr>
          <w:t>1</w:t>
        </w:r>
        <w:r w:rsidR="0046019E" w:rsidRPr="00F361B2">
          <w:rPr>
            <w:b/>
            <w:bCs/>
          </w:rPr>
          <w:fldChar w:fldCharType="end"/>
        </w:r>
        <w:r w:rsidR="0046019E" w:rsidRPr="00F361B2">
          <w:rPr>
            <w:b/>
            <w:szCs w:val="20"/>
          </w:rPr>
          <w:t xml:space="preserve"> of </w:t>
        </w:r>
        <w:r w:rsidR="0046019E" w:rsidRPr="00F361B2">
          <w:rPr>
            <w:b/>
            <w:bCs/>
          </w:rPr>
          <w:fldChar w:fldCharType="begin"/>
        </w:r>
        <w:r w:rsidR="0046019E" w:rsidRPr="00F361B2">
          <w:rPr>
            <w:b/>
            <w:bCs/>
          </w:rPr>
          <w:instrText xml:space="preserve"> NUMPAGES  </w:instrText>
        </w:r>
        <w:r w:rsidR="0046019E" w:rsidRPr="00F361B2">
          <w:rPr>
            <w:b/>
            <w:bCs/>
          </w:rPr>
          <w:fldChar w:fldCharType="separate"/>
        </w:r>
        <w:r w:rsidR="0046019E">
          <w:rPr>
            <w:b/>
            <w:bCs/>
          </w:rPr>
          <w:t>2</w:t>
        </w:r>
        <w:r w:rsidR="0046019E" w:rsidRPr="00F361B2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10FF7" w14:textId="77777777" w:rsidR="00781D6B" w:rsidRDefault="00781D6B" w:rsidP="00781D6B">
      <w:pPr>
        <w:spacing w:after="0" w:line="240" w:lineRule="auto"/>
      </w:pPr>
      <w:r>
        <w:separator/>
      </w:r>
    </w:p>
  </w:footnote>
  <w:footnote w:type="continuationSeparator" w:id="0">
    <w:p w14:paraId="343BD98D" w14:textId="77777777" w:rsidR="00781D6B" w:rsidRDefault="00781D6B" w:rsidP="00781D6B">
      <w:pPr>
        <w:spacing w:after="0" w:line="240" w:lineRule="auto"/>
      </w:pPr>
      <w:r>
        <w:continuationSeparator/>
      </w:r>
    </w:p>
  </w:footnote>
  <w:footnote w:id="1">
    <w:p w14:paraId="1FECAAE1" w14:textId="7602401D" w:rsidR="00781D6B" w:rsidRDefault="00781D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7B84">
        <w:t>School of Psychology, University of Birmingham</w:t>
      </w:r>
    </w:p>
  </w:footnote>
  <w:footnote w:id="2">
    <w:p w14:paraId="1327D3D4" w14:textId="401CF168" w:rsidR="00FC7B84" w:rsidRDefault="00FC7B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3AEC">
        <w:t>Warwick Medical School, University of Warwick</w:t>
      </w:r>
    </w:p>
  </w:footnote>
  <w:footnote w:id="3">
    <w:p w14:paraId="126BB4D1" w14:textId="371D8DBB" w:rsidR="00AA04B1" w:rsidRDefault="00AA04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3B8C">
        <w:t>Centre for Human Brain Health, University of Birmingham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C5F0" w14:textId="77777777" w:rsidR="0046019E" w:rsidRDefault="0046019E" w:rsidP="00F01E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90F40A" wp14:editId="76EF2EFF">
              <wp:simplePos x="0" y="0"/>
              <wp:positionH relativeFrom="margin">
                <wp:align>center</wp:align>
              </wp:positionH>
              <wp:positionV relativeFrom="topMargin">
                <wp:posOffset>238125</wp:posOffset>
              </wp:positionV>
              <wp:extent cx="6726804" cy="504825"/>
              <wp:effectExtent l="0" t="0" r="0" b="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6804" cy="5048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57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2"/>
                                <w:szCs w:val="32"/>
                              </w:rPr>
                              <w:alias w:val="Title"/>
                              <w:id w:val="-1038195335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098F58D" w14:textId="77777777" w:rsidR="0046019E" w:rsidRPr="00163A52" w:rsidRDefault="0046019E" w:rsidP="00F01EB9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Kefa" w:hAnsi="Kefa"/>
                                    <w:b/>
                                    <w:color w:val="444C6A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623"/>
                        </a:xfrm>
                        <a:prstGeom prst="rect">
                          <a:avLst/>
                        </a:prstGeom>
                        <a:solidFill>
                          <a:srgbClr val="7C1321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F4622" w14:textId="77777777" w:rsidR="0046019E" w:rsidRPr="00F01EB9" w:rsidRDefault="0046019E" w:rsidP="00F01EB9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01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90F40A" id="Group 196" o:spid="_x0000_s1026" style="position:absolute;margin-left:0;margin-top:18.75pt;width:529.65pt;height:39.75pt;z-index:251659264;mso-position-horizontal:center;mso-position-horizontal-relative:margin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" o:allowincell="f">
              <v:rect id="Rectangle 197" o:spid="_x0000_s1027" style="position:absolute;left:377;top:360;width:9252;height: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2"/>
                          <w:szCs w:val="32"/>
                        </w:rPr>
                        <w:alias w:val="Title"/>
                        <w:id w:val="-1038195335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5098F58D" w14:textId="77777777" w:rsidR="0046019E" w:rsidRPr="00163A52" w:rsidRDefault="0046019E" w:rsidP="00F01EB9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Kefa" w:hAnsi="Kefa"/>
                              <w:b/>
                              <w:color w:val="444C6A"/>
                              <w:sz w:val="32"/>
                              <w:szCs w:val="32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" fillcolor="#7c1321" stroked="f" strokecolor="white" strokeweight="2pt">
                <v:textbox>
                  <w:txbxContent>
                    <w:p w14:paraId="042F4622" w14:textId="77777777" w:rsidR="0046019E" w:rsidRPr="00F01EB9" w:rsidRDefault="0046019E" w:rsidP="00F01EB9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01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EXAMPLE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" filled="f" stroked="f" strokeweight="1pt"/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E7"/>
    <w:rsid w:val="000048E7"/>
    <w:rsid w:val="00020F6C"/>
    <w:rsid w:val="0003564D"/>
    <w:rsid w:val="00061566"/>
    <w:rsid w:val="000B5277"/>
    <w:rsid w:val="000C215C"/>
    <w:rsid w:val="000D0996"/>
    <w:rsid w:val="000F2CF4"/>
    <w:rsid w:val="00105CF1"/>
    <w:rsid w:val="001208AC"/>
    <w:rsid w:val="001322D1"/>
    <w:rsid w:val="001608A3"/>
    <w:rsid w:val="00162DC6"/>
    <w:rsid w:val="0018282E"/>
    <w:rsid w:val="001E339C"/>
    <w:rsid w:val="00204A09"/>
    <w:rsid w:val="00220D6D"/>
    <w:rsid w:val="00247152"/>
    <w:rsid w:val="002550FE"/>
    <w:rsid w:val="00277D02"/>
    <w:rsid w:val="002831F9"/>
    <w:rsid w:val="00293667"/>
    <w:rsid w:val="002C55F5"/>
    <w:rsid w:val="002D1793"/>
    <w:rsid w:val="002F0BDB"/>
    <w:rsid w:val="003452E4"/>
    <w:rsid w:val="003476FF"/>
    <w:rsid w:val="003504BE"/>
    <w:rsid w:val="00354F79"/>
    <w:rsid w:val="00394A36"/>
    <w:rsid w:val="004034A3"/>
    <w:rsid w:val="00403870"/>
    <w:rsid w:val="0040452F"/>
    <w:rsid w:val="00422A06"/>
    <w:rsid w:val="00430217"/>
    <w:rsid w:val="004538DD"/>
    <w:rsid w:val="0046019E"/>
    <w:rsid w:val="00503FC6"/>
    <w:rsid w:val="005233E1"/>
    <w:rsid w:val="0053427C"/>
    <w:rsid w:val="0053514D"/>
    <w:rsid w:val="005416B9"/>
    <w:rsid w:val="00580467"/>
    <w:rsid w:val="005B383D"/>
    <w:rsid w:val="005C7160"/>
    <w:rsid w:val="005D2E64"/>
    <w:rsid w:val="005D5DFD"/>
    <w:rsid w:val="005F24D0"/>
    <w:rsid w:val="00626E0B"/>
    <w:rsid w:val="00652ADD"/>
    <w:rsid w:val="00694301"/>
    <w:rsid w:val="006C0845"/>
    <w:rsid w:val="006C3DBB"/>
    <w:rsid w:val="006D5BF5"/>
    <w:rsid w:val="0073456C"/>
    <w:rsid w:val="00781D6B"/>
    <w:rsid w:val="0079711F"/>
    <w:rsid w:val="007D2244"/>
    <w:rsid w:val="007D5954"/>
    <w:rsid w:val="00856F30"/>
    <w:rsid w:val="008737F1"/>
    <w:rsid w:val="00900B94"/>
    <w:rsid w:val="00902AA1"/>
    <w:rsid w:val="00903B8C"/>
    <w:rsid w:val="00915014"/>
    <w:rsid w:val="009346B1"/>
    <w:rsid w:val="009C7B64"/>
    <w:rsid w:val="009D0F94"/>
    <w:rsid w:val="00A10A3E"/>
    <w:rsid w:val="00A13037"/>
    <w:rsid w:val="00A13057"/>
    <w:rsid w:val="00A452EF"/>
    <w:rsid w:val="00A667D8"/>
    <w:rsid w:val="00A74577"/>
    <w:rsid w:val="00A94ACE"/>
    <w:rsid w:val="00AA04B1"/>
    <w:rsid w:val="00AE1241"/>
    <w:rsid w:val="00B27760"/>
    <w:rsid w:val="00B52F2A"/>
    <w:rsid w:val="00B710E1"/>
    <w:rsid w:val="00BB21F8"/>
    <w:rsid w:val="00BD127A"/>
    <w:rsid w:val="00BF78D6"/>
    <w:rsid w:val="00C01FCA"/>
    <w:rsid w:val="00C06F00"/>
    <w:rsid w:val="00C219E9"/>
    <w:rsid w:val="00C2494B"/>
    <w:rsid w:val="00C303DC"/>
    <w:rsid w:val="00C66A9D"/>
    <w:rsid w:val="00C96775"/>
    <w:rsid w:val="00CA0687"/>
    <w:rsid w:val="00CA7B98"/>
    <w:rsid w:val="00CA7BC1"/>
    <w:rsid w:val="00CC3AEC"/>
    <w:rsid w:val="00CD38AC"/>
    <w:rsid w:val="00CD4DBD"/>
    <w:rsid w:val="00CD7920"/>
    <w:rsid w:val="00CF5427"/>
    <w:rsid w:val="00D06C33"/>
    <w:rsid w:val="00D4148B"/>
    <w:rsid w:val="00D43F70"/>
    <w:rsid w:val="00D558C4"/>
    <w:rsid w:val="00D65B70"/>
    <w:rsid w:val="00D8626B"/>
    <w:rsid w:val="00D91881"/>
    <w:rsid w:val="00D95045"/>
    <w:rsid w:val="00DD7E4D"/>
    <w:rsid w:val="00DF3FCF"/>
    <w:rsid w:val="00E41309"/>
    <w:rsid w:val="00ED4594"/>
    <w:rsid w:val="00EF6DA2"/>
    <w:rsid w:val="00FC00E2"/>
    <w:rsid w:val="00FC7B84"/>
    <w:rsid w:val="00FD1F8E"/>
    <w:rsid w:val="00FE2B77"/>
    <w:rsid w:val="00FE2DD0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8686"/>
  <w15:chartTrackingRefBased/>
  <w15:docId w15:val="{27C22530-3FF9-4805-AC54-52445C12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E7"/>
    <w:pPr>
      <w:spacing w:after="240" w:line="360" w:lineRule="auto"/>
    </w:pPr>
    <w:rPr>
      <w:rFonts w:ascii="Arial" w:hAnsi="Arial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8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8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8E7"/>
    <w:rPr>
      <w:rFonts w:ascii="Arial" w:hAnsi="Arial"/>
      <w:kern w:val="0"/>
      <w:sz w:val="2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48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8E7"/>
    <w:rPr>
      <w:rFonts w:ascii="Arial" w:hAnsi="Arial"/>
      <w:kern w:val="0"/>
      <w:sz w:val="2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048E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4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8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8E7"/>
    <w:rPr>
      <w:rFonts w:ascii="Arial" w:hAnsi="Arial"/>
      <w:kern w:val="0"/>
      <w:sz w:val="20"/>
      <w:szCs w:val="20"/>
      <w:lang w:val="en-US"/>
      <w14:ligatures w14:val="none"/>
    </w:rPr>
  </w:style>
  <w:style w:type="character" w:customStyle="1" w:styleId="markedcontent">
    <w:name w:val="markedcontent"/>
    <w:basedOn w:val="DefaultParagraphFont"/>
    <w:rsid w:val="000048E7"/>
  </w:style>
  <w:style w:type="character" w:styleId="UnresolvedMention">
    <w:name w:val="Unresolved Mention"/>
    <w:basedOn w:val="DefaultParagraphFont"/>
    <w:uiPriority w:val="99"/>
    <w:semiHidden/>
    <w:unhideWhenUsed/>
    <w:rsid w:val="004538D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D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D6B"/>
    <w:rPr>
      <w:rFonts w:ascii="Arial" w:hAnsi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81D6B"/>
    <w:rPr>
      <w:vertAlign w:val="superscript"/>
    </w:rPr>
  </w:style>
  <w:style w:type="paragraph" w:styleId="Revision">
    <w:name w:val="Revision"/>
    <w:hidden/>
    <w:uiPriority w:val="99"/>
    <w:semiHidden/>
    <w:rsid w:val="00FF250F"/>
    <w:pPr>
      <w:spacing w:after="0" w:line="240" w:lineRule="auto"/>
    </w:pPr>
    <w:rPr>
      <w:rFonts w:ascii="Arial" w:hAnsi="Arial"/>
      <w:kern w:val="0"/>
      <w:sz w:val="20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0F"/>
    <w:rPr>
      <w:rFonts w:ascii="Arial" w:hAnsi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8E4C-6C9D-4B33-AB8E-7FDDAA29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O'Sullivan (PhD Psychology Lab FT)</dc:creator>
  <cp:keywords/>
  <dc:description/>
  <cp:lastModifiedBy>Rory O'Sullivan (PhD Psychology Lab FT)</cp:lastModifiedBy>
  <cp:revision>20</cp:revision>
  <dcterms:created xsi:type="dcterms:W3CDTF">2024-10-23T10:14:00Z</dcterms:created>
  <dcterms:modified xsi:type="dcterms:W3CDTF">2024-10-23T10:39:00Z</dcterms:modified>
</cp:coreProperties>
</file>