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10303" w14:textId="14D79490" w:rsidR="0031044A" w:rsidRPr="00DA55F2" w:rsidRDefault="003D6244" w:rsidP="0031044A">
      <w:r w:rsidRPr="009E00A7">
        <w:rPr>
          <w:b/>
          <w:sz w:val="20"/>
          <w:szCs w:val="20"/>
        </w:rPr>
        <w:t>Title</w:t>
      </w:r>
      <w:r w:rsidRPr="009E00A7">
        <w:rPr>
          <w:sz w:val="20"/>
          <w:szCs w:val="20"/>
        </w:rPr>
        <w:t xml:space="preserve">: </w:t>
      </w:r>
      <w:r w:rsidR="0031044A">
        <w:t xml:space="preserve">Exploring the feasibility of </w:t>
      </w:r>
      <w:r w:rsidR="007C5E3F">
        <w:t>a novel</w:t>
      </w:r>
      <w:r w:rsidR="0031044A">
        <w:t xml:space="preserve"> executive functioning </w:t>
      </w:r>
      <w:r w:rsidR="00606F15">
        <w:t>battery</w:t>
      </w:r>
      <w:r w:rsidR="0031044A">
        <w:t xml:space="preserve"> remotely</w:t>
      </w:r>
      <w:r w:rsidR="00606F15">
        <w:t xml:space="preserve"> delivered</w:t>
      </w:r>
      <w:r w:rsidR="0031044A">
        <w:t xml:space="preserve"> to children with an intellectual disability</w:t>
      </w:r>
      <w:r w:rsidR="003864A2">
        <w:t>.</w:t>
      </w:r>
    </w:p>
    <w:p w14:paraId="7AC50371" w14:textId="089C4688" w:rsidR="003D6244" w:rsidRPr="008B1E03" w:rsidRDefault="003D6244" w:rsidP="003D6244">
      <w:pPr>
        <w:rPr>
          <w:sz w:val="20"/>
          <w:szCs w:val="20"/>
          <w:vertAlign w:val="superscript"/>
        </w:rPr>
      </w:pPr>
      <w:r w:rsidRPr="009E00A7">
        <w:rPr>
          <w:b/>
          <w:sz w:val="20"/>
          <w:szCs w:val="20"/>
        </w:rPr>
        <w:t>Authors</w:t>
      </w:r>
      <w:r w:rsidRPr="009E00A7">
        <w:rPr>
          <w:sz w:val="20"/>
          <w:szCs w:val="20"/>
        </w:rPr>
        <w:t xml:space="preserve">: </w:t>
      </w:r>
      <w:r w:rsidR="0031044A">
        <w:rPr>
          <w:rFonts w:cs="Arial"/>
        </w:rPr>
        <w:t>Catherine Laverty</w:t>
      </w:r>
      <w:r w:rsidR="0031044A">
        <w:rPr>
          <w:rFonts w:cs="Arial"/>
          <w:vertAlign w:val="superscript"/>
        </w:rPr>
        <w:t>1</w:t>
      </w:r>
      <w:r w:rsidR="0031044A">
        <w:rPr>
          <w:rFonts w:cs="Arial"/>
        </w:rPr>
        <w:t xml:space="preserve">, </w:t>
      </w:r>
      <w:r w:rsidR="002C7205">
        <w:rPr>
          <w:rFonts w:cs="Arial"/>
        </w:rPr>
        <w:t>Rory Devine</w:t>
      </w:r>
      <w:r w:rsidR="002C7205">
        <w:rPr>
          <w:rFonts w:cs="Arial"/>
          <w:vertAlign w:val="superscript"/>
        </w:rPr>
        <w:t>1</w:t>
      </w:r>
      <w:r w:rsidR="002C7205">
        <w:rPr>
          <w:rFonts w:cs="Arial"/>
        </w:rPr>
        <w:t>, G</w:t>
      </w:r>
      <w:r w:rsidR="0031044A">
        <w:rPr>
          <w:rFonts w:cs="Arial"/>
        </w:rPr>
        <w:t>eorgie Agar</w:t>
      </w:r>
      <w:r w:rsidR="0031044A">
        <w:rPr>
          <w:rFonts w:cs="Arial"/>
          <w:vertAlign w:val="superscript"/>
        </w:rPr>
        <w:t>2</w:t>
      </w:r>
      <w:r w:rsidR="0031044A">
        <w:rPr>
          <w:rFonts w:cs="Arial"/>
        </w:rPr>
        <w:t>, Katherine Marlow</w:t>
      </w:r>
      <w:r w:rsidR="0031044A">
        <w:rPr>
          <w:rFonts w:cs="Arial"/>
          <w:vertAlign w:val="superscript"/>
        </w:rPr>
        <w:t>1</w:t>
      </w:r>
      <w:r w:rsidR="0031044A">
        <w:rPr>
          <w:rFonts w:cs="Arial"/>
        </w:rPr>
        <w:t>, Claire Wright</w:t>
      </w:r>
      <w:r w:rsidR="0031044A">
        <w:rPr>
          <w:rFonts w:cs="Arial"/>
          <w:vertAlign w:val="superscript"/>
        </w:rPr>
        <w:t>1</w:t>
      </w:r>
      <w:r w:rsidR="0031044A">
        <w:rPr>
          <w:rFonts w:cs="Arial"/>
        </w:rPr>
        <w:t>,</w:t>
      </w:r>
      <w:r w:rsidR="00346BA8">
        <w:rPr>
          <w:rFonts w:cs="Arial"/>
        </w:rPr>
        <w:t xml:space="preserve"> </w:t>
      </w:r>
      <w:r w:rsidR="0031044A">
        <w:rPr>
          <w:rFonts w:cs="Arial"/>
        </w:rPr>
        <w:t>Frank Symons</w:t>
      </w:r>
      <w:r w:rsidR="0031044A">
        <w:rPr>
          <w:rFonts w:cs="Arial"/>
          <w:vertAlign w:val="superscript"/>
        </w:rPr>
        <w:t>3</w:t>
      </w:r>
      <w:r w:rsidR="0031044A">
        <w:rPr>
          <w:rFonts w:cs="Arial"/>
        </w:rPr>
        <w:t>, Andy Bagshaw</w:t>
      </w:r>
      <w:r w:rsidR="0031044A">
        <w:rPr>
          <w:rFonts w:cs="Arial"/>
          <w:vertAlign w:val="superscript"/>
        </w:rPr>
        <w:t>1</w:t>
      </w:r>
      <w:r w:rsidR="0031044A">
        <w:rPr>
          <w:rFonts w:cs="Arial"/>
        </w:rPr>
        <w:t>, Rory O’Sullivan</w:t>
      </w:r>
      <w:r w:rsidR="0031044A">
        <w:rPr>
          <w:rFonts w:cs="Arial"/>
          <w:vertAlign w:val="superscript"/>
        </w:rPr>
        <w:t>1</w:t>
      </w:r>
      <w:r w:rsidR="0031044A">
        <w:rPr>
          <w:rFonts w:cs="Arial"/>
        </w:rPr>
        <w:t>, Hayley Crawford</w:t>
      </w:r>
      <w:r w:rsidR="0031044A">
        <w:rPr>
          <w:rFonts w:cs="Arial"/>
          <w:vertAlign w:val="superscript"/>
        </w:rPr>
        <w:t>4</w:t>
      </w:r>
      <w:r w:rsidR="0031044A">
        <w:rPr>
          <w:rFonts w:cs="Arial"/>
        </w:rPr>
        <w:t xml:space="preserve"> &amp; Caroline Richards</w:t>
      </w:r>
      <w:r w:rsidR="0031044A">
        <w:rPr>
          <w:rFonts w:cs="Arial"/>
          <w:vertAlign w:val="superscript"/>
        </w:rPr>
        <w:t>1</w:t>
      </w:r>
    </w:p>
    <w:p w14:paraId="23FB89A8" w14:textId="521EBF2D" w:rsidR="002F336E" w:rsidRPr="00D5082A" w:rsidRDefault="003D6244" w:rsidP="00887BD4">
      <w:pPr>
        <w:spacing w:line="240" w:lineRule="auto"/>
      </w:pPr>
      <w:r w:rsidRPr="009E00A7">
        <w:rPr>
          <w:b/>
          <w:sz w:val="20"/>
          <w:szCs w:val="20"/>
        </w:rPr>
        <w:t>Introduction</w:t>
      </w:r>
      <w:r w:rsidRPr="009E00A7">
        <w:rPr>
          <w:sz w:val="20"/>
          <w:szCs w:val="20"/>
        </w:rPr>
        <w:t>:</w:t>
      </w:r>
      <w:r w:rsidR="000A7D3D">
        <w:rPr>
          <w:sz w:val="20"/>
          <w:szCs w:val="20"/>
        </w:rPr>
        <w:t xml:space="preserve"> </w:t>
      </w:r>
      <w:r w:rsidR="009E0E02" w:rsidRPr="009E0E02">
        <w:t xml:space="preserve">There are 1.5 million people with an intellectual disability (ID) in the UK and over half of these </w:t>
      </w:r>
      <w:proofErr w:type="gramStart"/>
      <w:r w:rsidR="009E0E02" w:rsidRPr="009E0E02">
        <w:t>present</w:t>
      </w:r>
      <w:proofErr w:type="gramEnd"/>
      <w:r w:rsidR="009E0E02" w:rsidRPr="009E0E02">
        <w:t xml:space="preserve"> with </w:t>
      </w:r>
      <w:r w:rsidR="002C7205">
        <w:t>ID</w:t>
      </w:r>
      <w:r w:rsidR="009E0E02" w:rsidRPr="009E0E02">
        <w:t xml:space="preserve"> associated with either a rare genetic syndrome or a co-occurring condition such as autism</w:t>
      </w:r>
      <w:r w:rsidR="009E0E02">
        <w:t xml:space="preserve">. </w:t>
      </w:r>
      <w:r w:rsidR="009E0E02" w:rsidRPr="009E0E02">
        <w:t>Evidence suggests cognitive</w:t>
      </w:r>
      <w:r w:rsidR="009E0E02" w:rsidRPr="00D5082A">
        <w:t xml:space="preserve"> differences may underpin clinical</w:t>
      </w:r>
      <w:r w:rsidR="009E0E02">
        <w:t>ly significant</w:t>
      </w:r>
      <w:r w:rsidR="009E0E02" w:rsidRPr="00D5082A">
        <w:t xml:space="preserve"> behaviors</w:t>
      </w:r>
      <w:r w:rsidR="009E0E02">
        <w:t xml:space="preserve"> for children </w:t>
      </w:r>
      <w:r w:rsidR="009E0E02" w:rsidRPr="00D5082A">
        <w:t>and</w:t>
      </w:r>
      <w:r w:rsidR="009E0E02" w:rsidRPr="000A7D3D">
        <w:t xml:space="preserve"> adults</w:t>
      </w:r>
      <w:r w:rsidR="00887BD4">
        <w:t xml:space="preserve"> within this population</w:t>
      </w:r>
      <w:r w:rsidR="009E0E02" w:rsidRPr="000A7D3D">
        <w:t xml:space="preserve"> </w:t>
      </w:r>
      <w:r w:rsidR="009E0E02" w:rsidRPr="00D5082A">
        <w:t>(for example self-injurious behavior</w:t>
      </w:r>
      <w:r w:rsidR="007D6A2E">
        <w:rPr>
          <w:vertAlign w:val="superscript"/>
        </w:rPr>
        <w:t>1</w:t>
      </w:r>
      <w:r w:rsidR="00A26E2C">
        <w:t xml:space="preserve"> and </w:t>
      </w:r>
      <w:r w:rsidR="007D6A2E" w:rsidRPr="00DB6A24">
        <w:t xml:space="preserve">differences in </w:t>
      </w:r>
      <w:r w:rsidR="00022485" w:rsidRPr="00DB6A24">
        <w:t>adaptive</w:t>
      </w:r>
      <w:r w:rsidR="00887BD4" w:rsidRPr="00DB6A24">
        <w:t xml:space="preserve"> </w:t>
      </w:r>
      <w:r w:rsidR="00022485" w:rsidRPr="00DB6A24">
        <w:t>functioning</w:t>
      </w:r>
      <w:r w:rsidR="00A26E2C">
        <w:rPr>
          <w:vertAlign w:val="superscript"/>
        </w:rPr>
        <w:t>2</w:t>
      </w:r>
      <w:r w:rsidR="009E0E02" w:rsidRPr="00D5082A">
        <w:t xml:space="preserve">), however </w:t>
      </w:r>
      <w:r w:rsidR="00887BD4">
        <w:t xml:space="preserve">thus far </w:t>
      </w:r>
      <w:r w:rsidR="009E0E02" w:rsidRPr="00D5082A">
        <w:t>evidence is based solely on informant report measures</w:t>
      </w:r>
      <w:r w:rsidR="00887BD4">
        <w:t xml:space="preserve">. </w:t>
      </w:r>
      <w:r w:rsidR="00D5082A" w:rsidRPr="00D5082A">
        <w:t xml:space="preserve">One key barrier to the advancement of evidence is the lack of developmentally appropriate, robust and feasible direct cognitive assessments for children and adults with </w:t>
      </w:r>
      <w:r w:rsidR="002C7205">
        <w:t>ID</w:t>
      </w:r>
      <w:r w:rsidR="00D5082A" w:rsidRPr="00D5082A">
        <w:t xml:space="preserve">. </w:t>
      </w:r>
      <w:r w:rsidR="00887BD4">
        <w:t xml:space="preserve">Where measures of cognition have been developed for populations with </w:t>
      </w:r>
      <w:proofErr w:type="gramStart"/>
      <w:r w:rsidR="00887BD4">
        <w:t>ID</w:t>
      </w:r>
      <w:proofErr w:type="gramEnd"/>
      <w:r w:rsidR="00887BD4">
        <w:t xml:space="preserve"> they </w:t>
      </w:r>
      <w:r w:rsidR="002C7205">
        <w:t xml:space="preserve">are often limited in their ability to </w:t>
      </w:r>
      <w:r w:rsidR="00887BD4">
        <w:t>capture performance across the full range of functioning</w:t>
      </w:r>
      <w:r w:rsidR="002C7205">
        <w:t>, especially in those with lower mental age</w:t>
      </w:r>
      <w:r w:rsidR="00A26E2C">
        <w:rPr>
          <w:vertAlign w:val="superscript"/>
        </w:rPr>
        <w:t>3</w:t>
      </w:r>
      <w:r w:rsidR="00887BD4" w:rsidRPr="00022485">
        <w:t>. As such, there are few reliable and valid tools available to detect and track cognitive change in people with ID, particularly</w:t>
      </w:r>
      <w:r w:rsidR="00887BD4">
        <w:t xml:space="preserve"> those with moderate to severe ID. The current study </w:t>
      </w:r>
      <w:r w:rsidR="00022485">
        <w:t xml:space="preserve">therefore </w:t>
      </w:r>
      <w:r w:rsidR="00887BD4">
        <w:t xml:space="preserve">seeks to advance this position, </w:t>
      </w:r>
      <w:r w:rsidR="00022485">
        <w:t>detailing</w:t>
      </w:r>
      <w:r w:rsidR="00887BD4">
        <w:t xml:space="preserve"> feasibility data from a robust protocol of d</w:t>
      </w:r>
      <w:r w:rsidR="002F336E" w:rsidRPr="00D5082A">
        <w:t xml:space="preserve">irect </w:t>
      </w:r>
      <w:r w:rsidR="00887BD4">
        <w:t xml:space="preserve">cognitive </w:t>
      </w:r>
      <w:r w:rsidR="002F336E" w:rsidRPr="00D5082A">
        <w:t xml:space="preserve">assessments </w:t>
      </w:r>
      <w:r w:rsidR="00887BD4">
        <w:t xml:space="preserve">designed to be </w:t>
      </w:r>
      <w:r w:rsidR="002F336E" w:rsidRPr="00D5082A">
        <w:t xml:space="preserve">delivered remotely </w:t>
      </w:r>
      <w:r w:rsidR="00887BD4">
        <w:t xml:space="preserve">by caregivers with </w:t>
      </w:r>
      <w:r w:rsidR="00A26E2C">
        <w:t>real-time</w:t>
      </w:r>
      <w:r w:rsidR="00887BD4">
        <w:t xml:space="preserve"> support from a research team. </w:t>
      </w:r>
      <w:r w:rsidR="00022485" w:rsidRPr="00D5082A">
        <w:t xml:space="preserve">The feasibility of </w:t>
      </w:r>
      <w:r w:rsidR="00022485">
        <w:t>cognitive tasks</w:t>
      </w:r>
      <w:r w:rsidR="00022485" w:rsidRPr="00D5082A">
        <w:t xml:space="preserve">, as well as their ability to capture change over time when repeated </w:t>
      </w:r>
      <w:r w:rsidR="00606F15">
        <w:t>is</w:t>
      </w:r>
      <w:r w:rsidR="00022485" w:rsidRPr="00D5082A">
        <w:t xml:space="preserve"> explored within the current study.</w:t>
      </w:r>
    </w:p>
    <w:p w14:paraId="54266996" w14:textId="737B41DB" w:rsidR="0031044A" w:rsidRPr="007C5E3F" w:rsidRDefault="003D6244" w:rsidP="0031044A">
      <w:pPr>
        <w:rPr>
          <w:b/>
          <w:bCs/>
        </w:rPr>
      </w:pPr>
      <w:r>
        <w:rPr>
          <w:b/>
          <w:color w:val="000000"/>
          <w:sz w:val="20"/>
          <w:szCs w:val="20"/>
          <w:lang w:val="en-GB"/>
        </w:rPr>
        <w:t>Method</w:t>
      </w:r>
      <w:r w:rsidRPr="007C5E3F">
        <w:rPr>
          <w:color w:val="000000"/>
          <w:lang w:val="en-GB"/>
        </w:rPr>
        <w:t xml:space="preserve">: </w:t>
      </w:r>
      <w:r w:rsidR="0031044A" w:rsidRPr="007C5E3F">
        <w:t xml:space="preserve">A novel and developmentally appropriate </w:t>
      </w:r>
      <w:r w:rsidR="007C5E3F">
        <w:t>executive function (</w:t>
      </w:r>
      <w:r w:rsidR="0031044A" w:rsidRPr="007C5E3F">
        <w:t>EF</w:t>
      </w:r>
      <w:r w:rsidR="007C5E3F">
        <w:t>)</w:t>
      </w:r>
      <w:r w:rsidR="0031044A" w:rsidRPr="007C5E3F">
        <w:t xml:space="preserve"> battery was developed as part of a battery of assessments administered remotely to a sample of 1</w:t>
      </w:r>
      <w:r w:rsidR="007A3D16" w:rsidRPr="007C5E3F">
        <w:t>26</w:t>
      </w:r>
      <w:r w:rsidR="0031044A" w:rsidRPr="007C5E3F">
        <w:t xml:space="preserve"> children with autism and a co-occurring intellectual disability </w:t>
      </w:r>
      <w:r w:rsidR="007A3D16" w:rsidRPr="007C5E3F">
        <w:t>(</w:t>
      </w:r>
      <w:r w:rsidR="007A3D16" w:rsidRPr="007C5E3F">
        <w:rPr>
          <w:rFonts w:eastAsia="Times New Roman"/>
        </w:rPr>
        <w:t>mean age = 9.95, range 4-15, 28 female).</w:t>
      </w:r>
      <w:r w:rsidR="007A3D16" w:rsidRPr="007C5E3F">
        <w:t xml:space="preserve"> Tasks were </w:t>
      </w:r>
      <w:r w:rsidR="007A3D16" w:rsidRPr="007C5E3F">
        <w:rPr>
          <w:rFonts w:eastAsia="Times New Roman"/>
        </w:rPr>
        <w:t>adapted from a simplified battery devised for young typically developing children</w:t>
      </w:r>
      <w:r w:rsidR="007C5E3F" w:rsidRPr="007C5E3F">
        <w:rPr>
          <w:rFonts w:eastAsia="Times New Roman"/>
          <w:vertAlign w:val="superscript"/>
        </w:rPr>
        <w:t>4</w:t>
      </w:r>
      <w:r w:rsidR="007A3D16" w:rsidRPr="007C5E3F">
        <w:rPr>
          <w:rFonts w:eastAsia="Times New Roman"/>
        </w:rPr>
        <w:t>, with p</w:t>
      </w:r>
      <w:r w:rsidR="0031044A" w:rsidRPr="007C5E3F">
        <w:t xml:space="preserve">arents and caregivers </w:t>
      </w:r>
      <w:r w:rsidR="007A3D16" w:rsidRPr="007C5E3F">
        <w:t>delivering EF</w:t>
      </w:r>
      <w:r w:rsidR="0031044A" w:rsidRPr="007C5E3F">
        <w:t xml:space="preserve"> tasks in their own home to their child while being guided in real time through Bluetooth headphones by the research team.</w:t>
      </w:r>
      <w:r w:rsidR="007A3D16" w:rsidRPr="007C5E3F">
        <w:t xml:space="preserve"> Tasks targeted three core areas of executive </w:t>
      </w:r>
      <w:proofErr w:type="gramStart"/>
      <w:r w:rsidR="007A3D16" w:rsidRPr="007C5E3F">
        <w:t>functioning;</w:t>
      </w:r>
      <w:proofErr w:type="gramEnd"/>
      <w:r w:rsidR="007A3D16" w:rsidRPr="007C5E3F">
        <w:t xml:space="preserve"> inhibition, cognitive flexibly and working memory. </w:t>
      </w:r>
    </w:p>
    <w:p w14:paraId="2346C6E7" w14:textId="325C9540" w:rsidR="007A3D16" w:rsidRPr="007C5E3F" w:rsidRDefault="003D6244" w:rsidP="003D6244">
      <w:pPr>
        <w:rPr>
          <w:rFonts w:eastAsia="Times New Roman"/>
        </w:rPr>
      </w:pPr>
      <w:r>
        <w:rPr>
          <w:b/>
          <w:color w:val="000000"/>
          <w:sz w:val="20"/>
          <w:szCs w:val="20"/>
          <w:lang w:val="en-GB"/>
        </w:rPr>
        <w:t>Results</w:t>
      </w:r>
      <w:r>
        <w:rPr>
          <w:color w:val="000000"/>
          <w:sz w:val="20"/>
          <w:szCs w:val="20"/>
          <w:lang w:val="en-GB"/>
        </w:rPr>
        <w:t xml:space="preserve">: </w:t>
      </w:r>
      <w:r w:rsidR="007A3D16" w:rsidRPr="007C5E3F">
        <w:rPr>
          <w:rFonts w:cstheme="minorHAnsi"/>
        </w:rPr>
        <w:t xml:space="preserve">Mean prohibition, working memory efficiency and conflict composite scores sat within 80% of the possible range of scores, suggesting </w:t>
      </w:r>
      <w:r w:rsidR="007C5E3F" w:rsidRPr="007C5E3F">
        <w:rPr>
          <w:rFonts w:cstheme="minorHAnsi"/>
        </w:rPr>
        <w:t xml:space="preserve">tasks </w:t>
      </w:r>
      <w:r w:rsidR="002C7205">
        <w:rPr>
          <w:rFonts w:cstheme="minorHAnsi"/>
        </w:rPr>
        <w:t>we</w:t>
      </w:r>
      <w:r w:rsidR="007C5E3F" w:rsidRPr="007C5E3F">
        <w:rPr>
          <w:rFonts w:cstheme="minorHAnsi"/>
        </w:rPr>
        <w:t>re developmentally appropriate for children with ID</w:t>
      </w:r>
      <w:r w:rsidR="007A3D16" w:rsidRPr="007C5E3F">
        <w:rPr>
          <w:rFonts w:cstheme="minorHAnsi"/>
        </w:rPr>
        <w:t xml:space="preserve">. All composite scores ranged from very low to very high with pass and fail rates indicating variable performance across the sample. These inter-individual differences suggest the tasks </w:t>
      </w:r>
      <w:r w:rsidR="002C7205">
        <w:rPr>
          <w:rFonts w:cstheme="minorHAnsi"/>
        </w:rPr>
        <w:t>we</w:t>
      </w:r>
      <w:r w:rsidR="007A3D16" w:rsidRPr="007C5E3F">
        <w:rPr>
          <w:rFonts w:cstheme="minorHAnsi"/>
        </w:rPr>
        <w:t xml:space="preserve">re </w:t>
      </w:r>
      <w:r w:rsidR="007C5E3F" w:rsidRPr="007C5E3F">
        <w:rPr>
          <w:rFonts w:cstheme="minorHAnsi"/>
        </w:rPr>
        <w:t>developmentally</w:t>
      </w:r>
      <w:r w:rsidR="007A3D16" w:rsidRPr="007C5E3F">
        <w:rPr>
          <w:rFonts w:cstheme="minorHAnsi"/>
        </w:rPr>
        <w:t xml:space="preserve"> sensitive for children with </w:t>
      </w:r>
      <w:r w:rsidR="002C7205">
        <w:rPr>
          <w:rFonts w:cstheme="minorHAnsi"/>
        </w:rPr>
        <w:t>ID</w:t>
      </w:r>
      <w:r w:rsidR="007A3D16" w:rsidRPr="007C5E3F">
        <w:rPr>
          <w:rFonts w:cstheme="minorHAnsi"/>
        </w:rPr>
        <w:t xml:space="preserve">. </w:t>
      </w:r>
      <w:r w:rsidR="007C5E3F" w:rsidRPr="007C5E3F">
        <w:rPr>
          <w:rFonts w:eastAsia="Times New Roman"/>
        </w:rPr>
        <w:t xml:space="preserve">Data loss across the sample was minimal, with reasons for data loss in line with wider expectations of administering tasks to children within the age range of the current study (e.g. </w:t>
      </w:r>
      <w:r w:rsidR="007C5E3F" w:rsidRPr="007C5E3F">
        <w:rPr>
          <w:rFonts w:eastAsia="Times New Roman" w:cstheme="minorHAnsi"/>
        </w:rPr>
        <w:t>caregiver or child discontinuing a task</w:t>
      </w:r>
      <w:r w:rsidR="007C5E3F" w:rsidRPr="007C5E3F">
        <w:rPr>
          <w:rFonts w:eastAsia="Times New Roman"/>
        </w:rPr>
        <w:t>).</w:t>
      </w:r>
      <w:r w:rsidR="007C5E3F" w:rsidRPr="007C5E3F">
        <w:rPr>
          <w:rFonts w:eastAsia="Times New Roman" w:cstheme="minorHAnsi"/>
        </w:rPr>
        <w:t xml:space="preserve"> </w:t>
      </w:r>
    </w:p>
    <w:p w14:paraId="1F25563B" w14:textId="29BBCE08" w:rsidR="00107285" w:rsidRPr="007C5E3F" w:rsidRDefault="003D6244" w:rsidP="0031044A">
      <w:pPr>
        <w:rPr>
          <w:bCs/>
          <w:iCs/>
          <w:color w:val="000000"/>
          <w:lang w:val="en-GB"/>
        </w:rPr>
      </w:pPr>
      <w:r>
        <w:rPr>
          <w:b/>
          <w:iCs/>
          <w:color w:val="000000"/>
          <w:sz w:val="20"/>
          <w:szCs w:val="20"/>
          <w:lang w:val="en-GB"/>
        </w:rPr>
        <w:t>Discussion</w:t>
      </w:r>
      <w:r w:rsidR="007C5E3F">
        <w:rPr>
          <w:b/>
          <w:iCs/>
          <w:color w:val="000000"/>
          <w:sz w:val="20"/>
          <w:szCs w:val="20"/>
          <w:lang w:val="en-GB"/>
        </w:rPr>
        <w:t xml:space="preserve">: </w:t>
      </w:r>
      <w:r w:rsidR="007C5E3F">
        <w:rPr>
          <w:bCs/>
          <w:iCs/>
          <w:color w:val="000000"/>
          <w:lang w:val="en-GB"/>
        </w:rPr>
        <w:t>The current study highlights a novel battery of direct, caregiver administered executive functioning tasks is both feasible and developmentally appropriate for children with a</w:t>
      </w:r>
      <w:r w:rsidR="002C7205">
        <w:rPr>
          <w:bCs/>
          <w:iCs/>
          <w:color w:val="000000"/>
          <w:lang w:val="en-GB"/>
        </w:rPr>
        <w:t xml:space="preserve"> ID</w:t>
      </w:r>
      <w:r w:rsidR="007C5E3F">
        <w:rPr>
          <w:bCs/>
          <w:iCs/>
          <w:color w:val="000000"/>
          <w:lang w:val="en-GB"/>
        </w:rPr>
        <w:t xml:space="preserve">. </w:t>
      </w:r>
      <w:r w:rsidR="00606F15">
        <w:rPr>
          <w:bCs/>
          <w:iCs/>
          <w:color w:val="000000"/>
          <w:lang w:val="en-GB"/>
        </w:rPr>
        <w:t xml:space="preserve">The quality of data suggests the battery of assessments have utility across research, education and medical settings to provide meaningful information about individual abilities for people with an intellectual disability that could be used to directly support interventions improving outcomes for individuals. These findings will allow for the extension of our understanding of associations between cognitive abilities and clinically significant behaviours for people with </w:t>
      </w:r>
      <w:r w:rsidR="002C7205">
        <w:rPr>
          <w:bCs/>
          <w:iCs/>
          <w:color w:val="000000"/>
          <w:lang w:val="en-GB"/>
        </w:rPr>
        <w:t>ID</w:t>
      </w:r>
      <w:r w:rsidR="00606F15">
        <w:rPr>
          <w:bCs/>
          <w:iCs/>
          <w:color w:val="000000"/>
          <w:lang w:val="en-GB"/>
        </w:rPr>
        <w:t xml:space="preserve">. </w:t>
      </w:r>
      <w:r w:rsidR="002C7205" w:rsidRPr="007C5E3F">
        <w:rPr>
          <w:rFonts w:eastAsia="Times New Roman" w:cstheme="minorHAnsi"/>
        </w:rPr>
        <w:t xml:space="preserve">Follow up data are currently being collected </w:t>
      </w:r>
      <w:r w:rsidR="00400F37">
        <w:rPr>
          <w:rFonts w:eastAsia="Times New Roman" w:cstheme="minorHAnsi"/>
        </w:rPr>
        <w:t xml:space="preserve">as part of the REFINE (Research into Executive Functions for Individuals </w:t>
      </w:r>
      <w:proofErr w:type="gramStart"/>
      <w:r w:rsidR="00400F37">
        <w:rPr>
          <w:rFonts w:eastAsia="Times New Roman" w:cstheme="minorHAnsi"/>
        </w:rPr>
        <w:t>With</w:t>
      </w:r>
      <w:proofErr w:type="gramEnd"/>
      <w:r w:rsidR="00400F37">
        <w:rPr>
          <w:rFonts w:eastAsia="Times New Roman" w:cstheme="minorHAnsi"/>
        </w:rPr>
        <w:t xml:space="preserve"> Additional Needs) study, to</w:t>
      </w:r>
      <w:r w:rsidR="002C7205" w:rsidRPr="007C5E3F">
        <w:rPr>
          <w:rFonts w:eastAsia="Times New Roman" w:cstheme="minorHAnsi"/>
        </w:rPr>
        <w:t xml:space="preserve"> establish the validity of</w:t>
      </w:r>
      <w:r w:rsidR="002C7205">
        <w:rPr>
          <w:rFonts w:eastAsia="Times New Roman" w:cstheme="minorHAnsi"/>
        </w:rPr>
        <w:t xml:space="preserve"> these</w:t>
      </w:r>
      <w:r w:rsidR="002C7205" w:rsidRPr="007C5E3F">
        <w:rPr>
          <w:rFonts w:eastAsia="Times New Roman" w:cstheme="minorHAnsi"/>
        </w:rPr>
        <w:t xml:space="preserve"> tasks over an extended time period and their utility in capturing meaningful individual change.</w:t>
      </w:r>
    </w:p>
    <w:p w14:paraId="1A95D7C7" w14:textId="77777777" w:rsidR="0031044A" w:rsidRDefault="0031044A" w:rsidP="003D6244">
      <w:pPr>
        <w:rPr>
          <w:b/>
          <w:color w:val="000000"/>
          <w:sz w:val="20"/>
          <w:szCs w:val="20"/>
          <w:lang w:val="en-GB"/>
        </w:rPr>
      </w:pPr>
    </w:p>
    <w:p w14:paraId="7AC50376" w14:textId="417B42CB" w:rsidR="003D6244" w:rsidRDefault="003D6244" w:rsidP="003D6244">
      <w:pPr>
        <w:rPr>
          <w:color w:val="000000"/>
          <w:sz w:val="20"/>
          <w:szCs w:val="20"/>
        </w:rPr>
      </w:pPr>
      <w:r w:rsidRPr="00514B99">
        <w:rPr>
          <w:b/>
          <w:color w:val="000000"/>
          <w:sz w:val="20"/>
          <w:szCs w:val="20"/>
          <w:lang w:val="en-GB"/>
        </w:rPr>
        <w:lastRenderedPageBreak/>
        <w:t>References</w:t>
      </w:r>
      <w:r>
        <w:rPr>
          <w:b/>
          <w:color w:val="000000"/>
          <w:sz w:val="20"/>
          <w:szCs w:val="20"/>
          <w:lang w:val="en-GB"/>
        </w:rPr>
        <w:t xml:space="preserve">: </w:t>
      </w:r>
    </w:p>
    <w:p w14:paraId="5E0FD30B" w14:textId="34FBB1ED" w:rsidR="00CF262D" w:rsidRDefault="007D6A2E" w:rsidP="003D6244">
      <w:pPr>
        <w:rPr>
          <w:color w:val="000000"/>
          <w:sz w:val="20"/>
          <w:szCs w:val="20"/>
        </w:rPr>
      </w:pPr>
      <w:r>
        <w:rPr>
          <w:color w:val="000000"/>
          <w:sz w:val="20"/>
          <w:szCs w:val="20"/>
          <w:vertAlign w:val="superscript"/>
        </w:rPr>
        <w:t>1</w:t>
      </w:r>
      <w:r>
        <w:rPr>
          <w:color w:val="000000"/>
          <w:sz w:val="20"/>
          <w:szCs w:val="20"/>
        </w:rPr>
        <w:t>L</w:t>
      </w:r>
      <w:r w:rsidRPr="007D6A2E">
        <w:rPr>
          <w:color w:val="000000"/>
          <w:sz w:val="20"/>
          <w:szCs w:val="20"/>
        </w:rPr>
        <w:t xml:space="preserve">averty, C., Oliver, C., Moss, J., Nelson, L., &amp; Richards, C. (2020). Persistence and predictors of self-injurious </w:t>
      </w:r>
      <w:proofErr w:type="spellStart"/>
      <w:r w:rsidRPr="007D6A2E">
        <w:rPr>
          <w:color w:val="000000"/>
          <w:sz w:val="20"/>
          <w:szCs w:val="20"/>
        </w:rPr>
        <w:t>behaviour</w:t>
      </w:r>
      <w:proofErr w:type="spellEnd"/>
      <w:r w:rsidRPr="007D6A2E">
        <w:rPr>
          <w:color w:val="000000"/>
          <w:sz w:val="20"/>
          <w:szCs w:val="20"/>
        </w:rPr>
        <w:t xml:space="preserve"> in autism: A ten-year prospective cohort study. Molecular Autism, 11(1), 1–17. </w:t>
      </w:r>
      <w:hyperlink r:id="rId11" w:history="1">
        <w:r w:rsidR="00CF262D" w:rsidRPr="00471FF0">
          <w:rPr>
            <w:rStyle w:val="Hyperlink"/>
            <w:sz w:val="20"/>
            <w:szCs w:val="20"/>
          </w:rPr>
          <w:t>https://doi.org/10.1186/s13229-019-0307-z</w:t>
        </w:r>
      </w:hyperlink>
    </w:p>
    <w:p w14:paraId="22C1D789" w14:textId="22E91002" w:rsidR="00CF262D" w:rsidRDefault="00A26E2C" w:rsidP="003D6244">
      <w:pPr>
        <w:rPr>
          <w:color w:val="000000"/>
          <w:sz w:val="20"/>
          <w:szCs w:val="20"/>
        </w:rPr>
      </w:pPr>
      <w:r>
        <w:rPr>
          <w:color w:val="000000"/>
          <w:sz w:val="20"/>
          <w:szCs w:val="20"/>
          <w:vertAlign w:val="superscript"/>
        </w:rPr>
        <w:t>2</w:t>
      </w:r>
      <w:r w:rsidR="00CF262D" w:rsidRPr="00CF262D">
        <w:rPr>
          <w:color w:val="000000"/>
          <w:sz w:val="20"/>
          <w:szCs w:val="20"/>
        </w:rPr>
        <w:t xml:space="preserve">Gravråkmo, S., Olsen, A., Lydersen, S., </w:t>
      </w:r>
      <w:proofErr w:type="spellStart"/>
      <w:r w:rsidR="00CF262D" w:rsidRPr="00CF262D">
        <w:rPr>
          <w:color w:val="000000"/>
          <w:sz w:val="20"/>
          <w:szCs w:val="20"/>
        </w:rPr>
        <w:t>Ingul</w:t>
      </w:r>
      <w:proofErr w:type="spellEnd"/>
      <w:r w:rsidR="00CF262D" w:rsidRPr="00CF262D">
        <w:rPr>
          <w:color w:val="000000"/>
          <w:sz w:val="20"/>
          <w:szCs w:val="20"/>
        </w:rPr>
        <w:t xml:space="preserve">, J. M., Henry, L., &amp; Øie, M. G. (2023). Associations between executive functions, intelligence and adaptive </w:t>
      </w:r>
      <w:proofErr w:type="spellStart"/>
      <w:r w:rsidR="00CF262D" w:rsidRPr="00CF262D">
        <w:rPr>
          <w:color w:val="000000"/>
          <w:sz w:val="20"/>
          <w:szCs w:val="20"/>
        </w:rPr>
        <w:t>behaviour</w:t>
      </w:r>
      <w:proofErr w:type="spellEnd"/>
      <w:r w:rsidR="00CF262D" w:rsidRPr="00CF262D">
        <w:rPr>
          <w:color w:val="000000"/>
          <w:sz w:val="20"/>
          <w:szCs w:val="20"/>
        </w:rPr>
        <w:t xml:space="preserve"> in children and adolescents with mild intellectual disability. </w:t>
      </w:r>
      <w:r w:rsidR="00CF262D" w:rsidRPr="00CF262D">
        <w:rPr>
          <w:i/>
          <w:iCs/>
          <w:color w:val="000000"/>
          <w:sz w:val="20"/>
          <w:szCs w:val="20"/>
        </w:rPr>
        <w:t>Journal of Intellectual Disabilities</w:t>
      </w:r>
      <w:r w:rsidR="00CF262D" w:rsidRPr="00CF262D">
        <w:rPr>
          <w:color w:val="000000"/>
          <w:sz w:val="20"/>
          <w:szCs w:val="20"/>
        </w:rPr>
        <w:t>, </w:t>
      </w:r>
      <w:r w:rsidR="00CF262D" w:rsidRPr="00CF262D">
        <w:rPr>
          <w:i/>
          <w:iCs/>
          <w:color w:val="000000"/>
          <w:sz w:val="20"/>
          <w:szCs w:val="20"/>
        </w:rPr>
        <w:t>27</w:t>
      </w:r>
      <w:r w:rsidR="00CF262D" w:rsidRPr="00CF262D">
        <w:rPr>
          <w:color w:val="000000"/>
          <w:sz w:val="20"/>
          <w:szCs w:val="20"/>
        </w:rPr>
        <w:t>(3), 715-727.</w:t>
      </w:r>
    </w:p>
    <w:p w14:paraId="0AEB2E14" w14:textId="26580345" w:rsidR="00022485" w:rsidRDefault="00A26E2C" w:rsidP="003D6244">
      <w:pPr>
        <w:rPr>
          <w:color w:val="000000"/>
          <w:sz w:val="20"/>
          <w:szCs w:val="20"/>
        </w:rPr>
      </w:pPr>
      <w:r>
        <w:rPr>
          <w:color w:val="000000"/>
          <w:sz w:val="20"/>
          <w:szCs w:val="20"/>
          <w:vertAlign w:val="superscript"/>
        </w:rPr>
        <w:t>3</w:t>
      </w:r>
      <w:r w:rsidR="00022485">
        <w:rPr>
          <w:color w:val="000000"/>
          <w:sz w:val="20"/>
          <w:szCs w:val="20"/>
          <w:vertAlign w:val="superscript"/>
        </w:rPr>
        <w:t xml:space="preserve"> </w:t>
      </w:r>
      <w:r w:rsidR="00022485" w:rsidRPr="00022485">
        <w:rPr>
          <w:color w:val="000000"/>
          <w:sz w:val="20"/>
          <w:szCs w:val="20"/>
        </w:rPr>
        <w:t xml:space="preserve">Shields, R. H., Kaat, A. J., McKenzie, F. J., Drayton, A., Sansone, S. M., Coleman, J., ... &amp; </w:t>
      </w:r>
      <w:proofErr w:type="spellStart"/>
      <w:r w:rsidR="00022485" w:rsidRPr="00022485">
        <w:rPr>
          <w:color w:val="000000"/>
          <w:sz w:val="20"/>
          <w:szCs w:val="20"/>
        </w:rPr>
        <w:t>Hessl</w:t>
      </w:r>
      <w:proofErr w:type="spellEnd"/>
      <w:r w:rsidR="00022485" w:rsidRPr="00022485">
        <w:rPr>
          <w:color w:val="000000"/>
          <w:sz w:val="20"/>
          <w:szCs w:val="20"/>
        </w:rPr>
        <w:t>, D. (2020). Validation of the NIH Toolbox Cognitive Battery in intellectual disability. Neurology, 94(12), e1229-e1240</w:t>
      </w:r>
    </w:p>
    <w:p w14:paraId="35F941DC" w14:textId="3A7C68BC" w:rsidR="00A26E2C" w:rsidRDefault="007C5E3F" w:rsidP="003D6244">
      <w:pPr>
        <w:rPr>
          <w:color w:val="000000"/>
          <w:sz w:val="20"/>
          <w:szCs w:val="20"/>
        </w:rPr>
      </w:pPr>
      <w:r>
        <w:rPr>
          <w:color w:val="000000"/>
          <w:sz w:val="20"/>
          <w:szCs w:val="20"/>
          <w:vertAlign w:val="superscript"/>
        </w:rPr>
        <w:t>4</w:t>
      </w:r>
      <w:r w:rsidRPr="007C5E3F">
        <w:rPr>
          <w:color w:val="000000"/>
          <w:sz w:val="20"/>
          <w:szCs w:val="20"/>
        </w:rPr>
        <w:t>Devine, R. T., Ribner, A., &amp; Hughes, C. (2019). Measuring and Predicting Individual Differences in Executive Functions at 14 Months: A Longitudinal Study. Child Development, 90(5), e618–e636. https://doi.org/10.1111/cdev.13217</w:t>
      </w:r>
    </w:p>
    <w:p w14:paraId="2B07B1B7" w14:textId="5FC1E82E" w:rsidR="00A26E2C" w:rsidRPr="00A26E2C" w:rsidRDefault="00A26E2C" w:rsidP="003D6244">
      <w:pPr>
        <w:rPr>
          <w:i/>
          <w:iCs/>
          <w:color w:val="000000"/>
          <w:sz w:val="20"/>
          <w:szCs w:val="20"/>
          <w:lang w:val="en-GB"/>
        </w:rPr>
      </w:pPr>
      <w:r w:rsidRPr="00A26E2C">
        <w:rPr>
          <w:i/>
          <w:iCs/>
          <w:color w:val="000000"/>
          <w:sz w:val="20"/>
          <w:szCs w:val="20"/>
          <w:lang w:val="en-GB"/>
        </w:rPr>
        <w:t>Author Affiliations:</w:t>
      </w:r>
    </w:p>
    <w:p w14:paraId="06CBDFC9" w14:textId="77777777" w:rsidR="0031044A" w:rsidRPr="00A26E2C" w:rsidRDefault="0031044A" w:rsidP="0031044A">
      <w:pPr>
        <w:pStyle w:val="Footer"/>
        <w:numPr>
          <w:ilvl w:val="0"/>
          <w:numId w:val="2"/>
        </w:numPr>
        <w:rPr>
          <w:i/>
          <w:iCs/>
        </w:rPr>
      </w:pPr>
      <w:r w:rsidRPr="00A26E2C">
        <w:rPr>
          <w:i/>
          <w:iCs/>
          <w:lang w:val="en-GB"/>
        </w:rPr>
        <w:t>School of Psychology, University of Birmingham</w:t>
      </w:r>
    </w:p>
    <w:p w14:paraId="5654D2CC" w14:textId="77777777" w:rsidR="0031044A" w:rsidRPr="00A26E2C" w:rsidRDefault="0031044A" w:rsidP="0031044A">
      <w:pPr>
        <w:pStyle w:val="Footer"/>
        <w:numPr>
          <w:ilvl w:val="0"/>
          <w:numId w:val="2"/>
        </w:numPr>
        <w:rPr>
          <w:i/>
          <w:iCs/>
        </w:rPr>
      </w:pPr>
      <w:r w:rsidRPr="00A26E2C">
        <w:rPr>
          <w:i/>
          <w:iCs/>
        </w:rPr>
        <w:t>College of Health and Life Sciences, Aston University</w:t>
      </w:r>
    </w:p>
    <w:p w14:paraId="0F27BF78" w14:textId="77777777" w:rsidR="0031044A" w:rsidRPr="00A26E2C" w:rsidRDefault="0031044A" w:rsidP="0031044A">
      <w:pPr>
        <w:pStyle w:val="Footer"/>
        <w:numPr>
          <w:ilvl w:val="0"/>
          <w:numId w:val="2"/>
        </w:numPr>
        <w:rPr>
          <w:i/>
          <w:iCs/>
        </w:rPr>
      </w:pPr>
      <w:r w:rsidRPr="00A26E2C">
        <w:rPr>
          <w:i/>
          <w:iCs/>
        </w:rPr>
        <w:t>Department of Educational Psychology, University of Minnesota</w:t>
      </w:r>
    </w:p>
    <w:p w14:paraId="02E90C87" w14:textId="77777777" w:rsidR="0031044A" w:rsidRPr="00A26E2C" w:rsidRDefault="0031044A" w:rsidP="0031044A">
      <w:pPr>
        <w:pStyle w:val="Footer"/>
        <w:numPr>
          <w:ilvl w:val="0"/>
          <w:numId w:val="2"/>
        </w:numPr>
        <w:rPr>
          <w:i/>
          <w:iCs/>
        </w:rPr>
      </w:pPr>
      <w:r w:rsidRPr="00A26E2C">
        <w:rPr>
          <w:i/>
          <w:iCs/>
        </w:rPr>
        <w:t>University of Warwick</w:t>
      </w:r>
    </w:p>
    <w:p w14:paraId="419257C8" w14:textId="77777777" w:rsidR="0031044A" w:rsidRDefault="0031044A" w:rsidP="0031044A">
      <w:pPr>
        <w:pStyle w:val="Footer"/>
      </w:pPr>
    </w:p>
    <w:p w14:paraId="7AC5037A" w14:textId="77777777" w:rsidR="001C735E" w:rsidRPr="003D6244" w:rsidRDefault="001C735E" w:rsidP="003D6244"/>
    <w:sectPr w:rsidR="001C735E" w:rsidRPr="003D6244" w:rsidSect="00394E2C">
      <w:headerReference w:type="default" r:id="rId12"/>
      <w:footerReference w:type="default" r:id="rId13"/>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7A846" w14:textId="77777777" w:rsidR="00312417" w:rsidRDefault="00312417" w:rsidP="00A16498">
      <w:pPr>
        <w:spacing w:after="0" w:line="240" w:lineRule="auto"/>
      </w:pPr>
      <w:r>
        <w:separator/>
      </w:r>
    </w:p>
  </w:endnote>
  <w:endnote w:type="continuationSeparator" w:id="0">
    <w:p w14:paraId="3C96C08B" w14:textId="77777777" w:rsidR="00312417" w:rsidRDefault="00312417"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efa">
    <w:altName w:val="Times New Roman"/>
    <w:charset w:val="00"/>
    <w:family w:val="auto"/>
    <w:pitch w:val="variable"/>
    <w:sig w:usb0="00000003"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End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B84F0" w14:textId="77777777" w:rsidR="00312417" w:rsidRDefault="00312417" w:rsidP="00A16498">
      <w:pPr>
        <w:spacing w:after="0" w:line="240" w:lineRule="auto"/>
      </w:pPr>
      <w:r>
        <w:separator/>
      </w:r>
    </w:p>
  </w:footnote>
  <w:footnote w:type="continuationSeparator" w:id="0">
    <w:p w14:paraId="413F320F" w14:textId="77777777" w:rsidR="00312417" w:rsidRDefault="00312417"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676857B4" w:rsidR="00A16498" w:rsidRDefault="003864A2">
    <w:pPr>
      <w:pStyle w:val="Header"/>
    </w:pPr>
    <w:r>
      <w:rPr>
        <w:noProof/>
      </w:rPr>
      <mc:AlternateContent>
        <mc:Choice Requires="wps">
          <w:drawing>
            <wp:anchor distT="0" distB="0" distL="114300" distR="114300" simplePos="0" relativeHeight="251659264" behindDoc="0" locked="0" layoutInCell="1" allowOverlap="1" wp14:anchorId="28F97FEA" wp14:editId="26514832">
              <wp:simplePos x="0" y="0"/>
              <wp:positionH relativeFrom="column">
                <wp:posOffset>-21590</wp:posOffset>
              </wp:positionH>
              <wp:positionV relativeFrom="paragraph">
                <wp:posOffset>-225425</wp:posOffset>
              </wp:positionV>
              <wp:extent cx="5371689" cy="457200"/>
              <wp:effectExtent l="0" t="0" r="19685" b="19050"/>
              <wp:wrapNone/>
              <wp:docPr id="411174282"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28F97FEA" id="Rectangle 197" o:spid="_x0000_s1026" style="position:absolute;margin-left:-1.7pt;margin-top:-17.75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8D3955"/>
    <w:multiLevelType w:val="hybridMultilevel"/>
    <w:tmpl w:val="0B4CC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0652626">
    <w:abstractNumId w:val="0"/>
  </w:num>
  <w:num w:numId="2" w16cid:durableId="162207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22485"/>
    <w:rsid w:val="00056FBE"/>
    <w:rsid w:val="000A7D3D"/>
    <w:rsid w:val="000D0162"/>
    <w:rsid w:val="00107285"/>
    <w:rsid w:val="001C735E"/>
    <w:rsid w:val="00226854"/>
    <w:rsid w:val="00244C29"/>
    <w:rsid w:val="002872AA"/>
    <w:rsid w:val="002C7205"/>
    <w:rsid w:val="002F336E"/>
    <w:rsid w:val="00300310"/>
    <w:rsid w:val="0031044A"/>
    <w:rsid w:val="00312417"/>
    <w:rsid w:val="00316B3B"/>
    <w:rsid w:val="0032171F"/>
    <w:rsid w:val="00324E6F"/>
    <w:rsid w:val="0033415B"/>
    <w:rsid w:val="00346BA8"/>
    <w:rsid w:val="003864A2"/>
    <w:rsid w:val="00394E2C"/>
    <w:rsid w:val="003B0285"/>
    <w:rsid w:val="003C2A0A"/>
    <w:rsid w:val="003C4D59"/>
    <w:rsid w:val="003D6244"/>
    <w:rsid w:val="003F558A"/>
    <w:rsid w:val="00400F37"/>
    <w:rsid w:val="00412A17"/>
    <w:rsid w:val="004473AC"/>
    <w:rsid w:val="00452576"/>
    <w:rsid w:val="0045428A"/>
    <w:rsid w:val="004A0462"/>
    <w:rsid w:val="004B4070"/>
    <w:rsid w:val="00550360"/>
    <w:rsid w:val="00577DC4"/>
    <w:rsid w:val="005F3158"/>
    <w:rsid w:val="005F73DF"/>
    <w:rsid w:val="00606F15"/>
    <w:rsid w:val="00625543"/>
    <w:rsid w:val="006535AF"/>
    <w:rsid w:val="006637E7"/>
    <w:rsid w:val="006C05DD"/>
    <w:rsid w:val="00712425"/>
    <w:rsid w:val="00751FEE"/>
    <w:rsid w:val="007722E4"/>
    <w:rsid w:val="0077649B"/>
    <w:rsid w:val="00777D73"/>
    <w:rsid w:val="007A3D16"/>
    <w:rsid w:val="007B4CE7"/>
    <w:rsid w:val="007C5E3F"/>
    <w:rsid w:val="007D6A2E"/>
    <w:rsid w:val="00801D2A"/>
    <w:rsid w:val="00817FE3"/>
    <w:rsid w:val="0087492A"/>
    <w:rsid w:val="00887BD4"/>
    <w:rsid w:val="008938D8"/>
    <w:rsid w:val="008E5307"/>
    <w:rsid w:val="009462E3"/>
    <w:rsid w:val="009B1DAB"/>
    <w:rsid w:val="009E0E02"/>
    <w:rsid w:val="009E1B56"/>
    <w:rsid w:val="00A16498"/>
    <w:rsid w:val="00A26E2C"/>
    <w:rsid w:val="00A72B0D"/>
    <w:rsid w:val="00AB7B37"/>
    <w:rsid w:val="00AE4ADB"/>
    <w:rsid w:val="00B226B4"/>
    <w:rsid w:val="00B71AFF"/>
    <w:rsid w:val="00BA2D2D"/>
    <w:rsid w:val="00C6243D"/>
    <w:rsid w:val="00C708E1"/>
    <w:rsid w:val="00C80718"/>
    <w:rsid w:val="00CF262D"/>
    <w:rsid w:val="00CF3CDF"/>
    <w:rsid w:val="00D46241"/>
    <w:rsid w:val="00D5082A"/>
    <w:rsid w:val="00D60D08"/>
    <w:rsid w:val="00DB6A24"/>
    <w:rsid w:val="00DC15FA"/>
    <w:rsid w:val="00DD533D"/>
    <w:rsid w:val="00E15391"/>
    <w:rsid w:val="00E51741"/>
    <w:rsid w:val="00EC1345"/>
    <w:rsid w:val="00F023E6"/>
    <w:rsid w:val="00F2162A"/>
    <w:rsid w:val="00FA4991"/>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customStyle="1" w:styleId="Default">
    <w:name w:val="Default"/>
    <w:rsid w:val="007A3D16"/>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Hyperlink">
    <w:name w:val="Hyperlink"/>
    <w:basedOn w:val="DefaultParagraphFont"/>
    <w:uiPriority w:val="99"/>
    <w:unhideWhenUsed/>
    <w:rsid w:val="00CF262D"/>
    <w:rPr>
      <w:color w:val="0000FF" w:themeColor="hyperlink"/>
      <w:u w:val="single"/>
    </w:rPr>
  </w:style>
  <w:style w:type="character" w:styleId="UnresolvedMention">
    <w:name w:val="Unresolved Mention"/>
    <w:basedOn w:val="DefaultParagraphFont"/>
    <w:uiPriority w:val="99"/>
    <w:semiHidden/>
    <w:unhideWhenUsed/>
    <w:rsid w:val="00CF262D"/>
    <w:rPr>
      <w:color w:val="605E5C"/>
      <w:shd w:val="clear" w:color="auto" w:fill="E1DFDD"/>
    </w:rPr>
  </w:style>
  <w:style w:type="paragraph" w:styleId="Revision">
    <w:name w:val="Revision"/>
    <w:hidden/>
    <w:uiPriority w:val="99"/>
    <w:semiHidden/>
    <w:rsid w:val="002C7205"/>
    <w:pPr>
      <w:spacing w:after="0" w:line="240" w:lineRule="auto"/>
    </w:pPr>
  </w:style>
  <w:style w:type="character" w:styleId="CommentReference">
    <w:name w:val="annotation reference"/>
    <w:basedOn w:val="DefaultParagraphFont"/>
    <w:uiPriority w:val="99"/>
    <w:semiHidden/>
    <w:unhideWhenUsed/>
    <w:rsid w:val="002C7205"/>
    <w:rPr>
      <w:sz w:val="16"/>
      <w:szCs w:val="16"/>
    </w:rPr>
  </w:style>
  <w:style w:type="paragraph" w:styleId="CommentText">
    <w:name w:val="annotation text"/>
    <w:basedOn w:val="Normal"/>
    <w:link w:val="CommentTextChar"/>
    <w:uiPriority w:val="99"/>
    <w:unhideWhenUsed/>
    <w:rsid w:val="002C7205"/>
    <w:pPr>
      <w:spacing w:line="240" w:lineRule="auto"/>
    </w:pPr>
    <w:rPr>
      <w:sz w:val="20"/>
      <w:szCs w:val="20"/>
    </w:rPr>
  </w:style>
  <w:style w:type="character" w:customStyle="1" w:styleId="CommentTextChar">
    <w:name w:val="Comment Text Char"/>
    <w:basedOn w:val="DefaultParagraphFont"/>
    <w:link w:val="CommentText"/>
    <w:uiPriority w:val="99"/>
    <w:rsid w:val="002C7205"/>
    <w:rPr>
      <w:sz w:val="20"/>
      <w:szCs w:val="20"/>
    </w:rPr>
  </w:style>
  <w:style w:type="paragraph" w:styleId="CommentSubject">
    <w:name w:val="annotation subject"/>
    <w:basedOn w:val="CommentText"/>
    <w:next w:val="CommentText"/>
    <w:link w:val="CommentSubjectChar"/>
    <w:uiPriority w:val="99"/>
    <w:semiHidden/>
    <w:unhideWhenUsed/>
    <w:rsid w:val="002C7205"/>
    <w:rPr>
      <w:b/>
      <w:bCs/>
    </w:rPr>
  </w:style>
  <w:style w:type="character" w:customStyle="1" w:styleId="CommentSubjectChar">
    <w:name w:val="Comment Subject Char"/>
    <w:basedOn w:val="CommentTextChar"/>
    <w:link w:val="CommentSubject"/>
    <w:uiPriority w:val="99"/>
    <w:semiHidden/>
    <w:rsid w:val="002C72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86/s13229-019-0307-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3CDC4E-B5FA-4A23-9005-68F80C8BE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Catherine Laverty (Psychology)</cp:lastModifiedBy>
  <cp:revision>3</cp:revision>
  <dcterms:created xsi:type="dcterms:W3CDTF">2024-10-22T09:59:00Z</dcterms:created>
  <dcterms:modified xsi:type="dcterms:W3CDTF">2024-10-22T10:00:00Z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