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5E29" w14:textId="77777777" w:rsidR="00921C7A" w:rsidRPr="005F31E4" w:rsidRDefault="00921C7A" w:rsidP="00921C7A">
      <w:pPr>
        <w:rPr>
          <w:rFonts w:asciiTheme="minorHAnsi" w:hAnsiTheme="minorHAnsi" w:cstheme="minorHAnsi"/>
          <w:sz w:val="20"/>
          <w:szCs w:val="20"/>
        </w:rPr>
      </w:pPr>
      <w:r w:rsidRPr="003F04AD">
        <w:rPr>
          <w:rFonts w:asciiTheme="minorHAnsi" w:hAnsiTheme="minorHAnsi" w:cstheme="minorHAnsi"/>
          <w:b/>
          <w:sz w:val="20"/>
          <w:szCs w:val="20"/>
        </w:rPr>
        <w:t>Title</w:t>
      </w:r>
      <w:r w:rsidRPr="009E00A7">
        <w:rPr>
          <w:sz w:val="20"/>
          <w:szCs w:val="20"/>
        </w:rPr>
        <w:t xml:space="preserve">: </w:t>
      </w:r>
      <w:r>
        <w:rPr>
          <w:rFonts w:asciiTheme="minorHAnsi" w:hAnsiTheme="minorHAnsi" w:cstheme="minorHAnsi"/>
          <w:sz w:val="20"/>
          <w:szCs w:val="20"/>
        </w:rPr>
        <w:t>Spatial Ability Development in Adolescents and Young Adults with Down Syndrome</w:t>
      </w:r>
      <w:r w:rsidRPr="005F31E4">
        <w:rPr>
          <w:rFonts w:asciiTheme="minorHAnsi" w:hAnsiTheme="minorHAnsi" w:cstheme="minorHAnsi"/>
          <w:sz w:val="20"/>
          <w:szCs w:val="20"/>
        </w:rPr>
        <w:t xml:space="preserve"> </w:t>
      </w:r>
    </w:p>
    <w:p w14:paraId="61BA27BB" w14:textId="77777777" w:rsidR="00921C7A" w:rsidRDefault="00921C7A" w:rsidP="00921C7A">
      <w:pPr>
        <w:rPr>
          <w:b/>
          <w:sz w:val="20"/>
          <w:szCs w:val="20"/>
        </w:rPr>
      </w:pPr>
    </w:p>
    <w:p w14:paraId="3D930CCC" w14:textId="00048A52" w:rsidR="00921C7A" w:rsidRPr="005F31E4" w:rsidRDefault="00921C7A" w:rsidP="00921C7A">
      <w:pPr>
        <w:rPr>
          <w:rFonts w:asciiTheme="minorHAnsi" w:hAnsiTheme="minorHAnsi" w:cstheme="minorHAnsi"/>
          <w:sz w:val="20"/>
          <w:szCs w:val="20"/>
          <w:vertAlign w:val="superscript"/>
        </w:rPr>
      </w:pPr>
      <w:r w:rsidRPr="003F04AD">
        <w:rPr>
          <w:rFonts w:asciiTheme="minorHAnsi" w:hAnsiTheme="minorHAnsi" w:cstheme="minorHAnsi"/>
          <w:b/>
          <w:sz w:val="20"/>
          <w:szCs w:val="20"/>
        </w:rPr>
        <w:t>Authors</w:t>
      </w:r>
      <w:r w:rsidRPr="003F04AD">
        <w:rPr>
          <w:rFonts w:asciiTheme="minorHAnsi" w:hAnsiTheme="minorHAnsi" w:cstheme="minorHAnsi"/>
          <w:sz w:val="20"/>
          <w:szCs w:val="20"/>
        </w:rPr>
        <w:t>:</w:t>
      </w:r>
      <w:r w:rsidRPr="009E00A7">
        <w:rPr>
          <w:sz w:val="20"/>
          <w:szCs w:val="20"/>
        </w:rPr>
        <w:t xml:space="preserve"> </w:t>
      </w:r>
      <w:r w:rsidRPr="005F31E4">
        <w:rPr>
          <w:rFonts w:asciiTheme="minorHAnsi" w:hAnsiTheme="minorHAnsi" w:cstheme="minorHAnsi"/>
          <w:sz w:val="20"/>
          <w:szCs w:val="20"/>
        </w:rPr>
        <w:t>Samantha Zakrzewski</w:t>
      </w:r>
      <w:r w:rsidRPr="005F31E4">
        <w:rPr>
          <w:rFonts w:asciiTheme="minorHAnsi" w:hAnsiTheme="minorHAnsi" w:cstheme="minorHAnsi"/>
          <w:sz w:val="20"/>
          <w:szCs w:val="20"/>
          <w:vertAlign w:val="superscript"/>
        </w:rPr>
        <w:t>1</w:t>
      </w:r>
      <w:r w:rsidRPr="005F31E4">
        <w:rPr>
          <w:rFonts w:asciiTheme="minorHAnsi" w:hAnsiTheme="minorHAnsi" w:cstheme="minorHAnsi"/>
          <w:sz w:val="20"/>
          <w:szCs w:val="20"/>
        </w:rPr>
        <w:t>, Matthew Baker</w:t>
      </w:r>
      <w:r w:rsidRPr="005F31E4">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w:t>
      </w:r>
      <w:r>
        <w:rPr>
          <w:rFonts w:asciiTheme="minorHAnsi" w:hAnsiTheme="minorHAnsi" w:cstheme="minorHAnsi"/>
          <w:sz w:val="20"/>
          <w:szCs w:val="20"/>
        </w:rPr>
        <w:t xml:space="preserve">, </w:t>
      </w:r>
      <w:r w:rsidRPr="005F31E4">
        <w:rPr>
          <w:rFonts w:asciiTheme="minorHAnsi" w:hAnsiTheme="minorHAnsi" w:cstheme="minorHAnsi"/>
          <w:sz w:val="20"/>
          <w:szCs w:val="20"/>
        </w:rPr>
        <w:t xml:space="preserve">Stephanie </w:t>
      </w:r>
      <w:proofErr w:type="spellStart"/>
      <w:r w:rsidRPr="005F31E4">
        <w:rPr>
          <w:rFonts w:asciiTheme="minorHAnsi" w:hAnsiTheme="minorHAnsi" w:cstheme="minorHAnsi"/>
          <w:sz w:val="20"/>
          <w:szCs w:val="20"/>
        </w:rPr>
        <w:t>Grinshpun</w:t>
      </w:r>
      <w:proofErr w:type="spellEnd"/>
      <w:r w:rsidRPr="005F31E4">
        <w:rPr>
          <w:rFonts w:asciiTheme="minorHAnsi" w:hAnsiTheme="minorHAnsi" w:cstheme="minorHAnsi"/>
          <w:sz w:val="20"/>
          <w:szCs w:val="20"/>
          <w:vertAlign w:val="superscript"/>
        </w:rPr>
        <w:t xml:space="preserve"> 1</w:t>
      </w:r>
      <w:r w:rsidRPr="005F31E4">
        <w:rPr>
          <w:rFonts w:asciiTheme="minorHAnsi" w:hAnsiTheme="minorHAnsi" w:cstheme="minorHAnsi"/>
          <w:sz w:val="20"/>
          <w:szCs w:val="20"/>
        </w:rPr>
        <w:t>, Yingying Yang</w:t>
      </w:r>
      <w:r w:rsidRPr="005F31E4">
        <w:rPr>
          <w:rFonts w:asciiTheme="minorHAnsi" w:hAnsiTheme="minorHAnsi" w:cstheme="minorHAnsi"/>
          <w:sz w:val="20"/>
          <w:szCs w:val="20"/>
          <w:vertAlign w:val="superscript"/>
        </w:rPr>
        <w:t>1</w:t>
      </w:r>
      <w:r w:rsidRPr="005F31E4">
        <w:rPr>
          <w:rFonts w:asciiTheme="minorHAnsi" w:hAnsiTheme="minorHAnsi" w:cstheme="minorHAnsi"/>
          <w:sz w:val="20"/>
          <w:szCs w:val="20"/>
        </w:rPr>
        <w:t xml:space="preserve">, </w:t>
      </w:r>
      <w:r w:rsidR="00E73942">
        <w:rPr>
          <w:rFonts w:asciiTheme="minorHAnsi" w:hAnsiTheme="minorHAnsi" w:cstheme="minorHAnsi"/>
          <w:sz w:val="20"/>
          <w:szCs w:val="20"/>
        </w:rPr>
        <w:t>Frances Conners</w:t>
      </w:r>
      <w:r w:rsidR="00E73942">
        <w:rPr>
          <w:rFonts w:asciiTheme="minorHAnsi" w:hAnsiTheme="minorHAnsi" w:cstheme="minorHAnsi"/>
          <w:sz w:val="20"/>
          <w:szCs w:val="20"/>
          <w:vertAlign w:val="superscript"/>
        </w:rPr>
        <w:t>2</w:t>
      </w:r>
      <w:r w:rsidR="00E73942">
        <w:rPr>
          <w:rFonts w:asciiTheme="minorHAnsi" w:hAnsiTheme="minorHAnsi" w:cstheme="minorHAnsi"/>
          <w:sz w:val="20"/>
          <w:szCs w:val="20"/>
        </w:rPr>
        <w:t xml:space="preserve"> </w:t>
      </w:r>
      <w:r w:rsidRPr="005F31E4">
        <w:rPr>
          <w:rFonts w:asciiTheme="minorHAnsi" w:hAnsiTheme="minorHAnsi" w:cstheme="minorHAnsi"/>
          <w:sz w:val="20"/>
          <w:szCs w:val="20"/>
        </w:rPr>
        <w:t>&amp; Edward Merrill</w:t>
      </w:r>
      <w:r w:rsidRPr="005F31E4">
        <w:rPr>
          <w:rFonts w:asciiTheme="minorHAnsi" w:hAnsiTheme="minorHAnsi" w:cstheme="minorHAnsi"/>
          <w:sz w:val="20"/>
          <w:szCs w:val="20"/>
          <w:vertAlign w:val="superscript"/>
        </w:rPr>
        <w:t>2</w:t>
      </w:r>
    </w:p>
    <w:p w14:paraId="4D5EBC1C" w14:textId="77777777" w:rsidR="00921C7A" w:rsidRPr="005F31E4" w:rsidRDefault="00921C7A" w:rsidP="00921C7A">
      <w:pPr>
        <w:rPr>
          <w:rFonts w:asciiTheme="minorHAnsi" w:hAnsiTheme="minorHAnsi" w:cstheme="minorHAnsi"/>
          <w:b/>
          <w:sz w:val="20"/>
          <w:szCs w:val="20"/>
        </w:rPr>
      </w:pPr>
    </w:p>
    <w:p w14:paraId="46635B62" w14:textId="77777777" w:rsidR="00921C7A" w:rsidRDefault="00921C7A" w:rsidP="00921C7A">
      <w:pPr>
        <w:rPr>
          <w:rFonts w:asciiTheme="minorHAnsi" w:hAnsiTheme="minorHAnsi" w:cstheme="minorHAnsi"/>
          <w:sz w:val="20"/>
          <w:szCs w:val="20"/>
        </w:rPr>
      </w:pPr>
      <w:r w:rsidRPr="003F04AD">
        <w:rPr>
          <w:rFonts w:asciiTheme="minorHAnsi" w:hAnsiTheme="minorHAnsi" w:cstheme="minorHAnsi"/>
          <w:b/>
          <w:sz w:val="20"/>
          <w:szCs w:val="20"/>
        </w:rPr>
        <w:t>Introduction</w:t>
      </w:r>
      <w:r w:rsidRPr="009E00A7">
        <w:rPr>
          <w:sz w:val="20"/>
          <w:szCs w:val="20"/>
        </w:rPr>
        <w:t xml:space="preserve">: </w:t>
      </w:r>
      <w:r w:rsidRPr="00DF43ED">
        <w:rPr>
          <w:rFonts w:asciiTheme="minorHAnsi" w:hAnsiTheme="minorHAnsi" w:cstheme="minorHAnsi"/>
          <w:sz w:val="20"/>
          <w:szCs w:val="20"/>
        </w:rPr>
        <w:t>Down syndrome (DS</w:t>
      </w:r>
      <w:r>
        <w:rPr>
          <w:rFonts w:asciiTheme="minorHAnsi" w:hAnsiTheme="minorHAnsi" w:cstheme="minorHAnsi"/>
          <w:sz w:val="20"/>
          <w:szCs w:val="20"/>
        </w:rPr>
        <w:t>) is one of the most common causes of</w:t>
      </w:r>
      <w:r w:rsidRPr="00DF43ED">
        <w:rPr>
          <w:rFonts w:asciiTheme="minorHAnsi" w:hAnsiTheme="minorHAnsi" w:cstheme="minorHAnsi"/>
          <w:sz w:val="20"/>
          <w:szCs w:val="20"/>
        </w:rPr>
        <w:t xml:space="preserve"> intellectual disability</w:t>
      </w:r>
      <w:r>
        <w:rPr>
          <w:rFonts w:asciiTheme="minorHAnsi" w:hAnsiTheme="minorHAnsi" w:cstheme="minorHAnsi"/>
          <w:sz w:val="20"/>
          <w:szCs w:val="20"/>
        </w:rPr>
        <w:t xml:space="preserve">. Individuals with DS often experience deficits in </w:t>
      </w:r>
      <w:r w:rsidRPr="00DF43ED">
        <w:rPr>
          <w:rFonts w:asciiTheme="minorHAnsi" w:hAnsiTheme="minorHAnsi" w:cstheme="minorHAnsi"/>
          <w:sz w:val="20"/>
          <w:szCs w:val="20"/>
        </w:rPr>
        <w:t>speech and language (</w:t>
      </w:r>
      <w:proofErr w:type="spellStart"/>
      <w:r w:rsidRPr="00DF43ED">
        <w:rPr>
          <w:rFonts w:asciiTheme="minorHAnsi" w:hAnsiTheme="minorHAnsi" w:cstheme="minorHAnsi"/>
          <w:sz w:val="20"/>
          <w:szCs w:val="20"/>
        </w:rPr>
        <w:t>Abbeduto</w:t>
      </w:r>
      <w:proofErr w:type="spellEnd"/>
      <w:r w:rsidRPr="00DF43ED">
        <w:rPr>
          <w:rFonts w:asciiTheme="minorHAnsi" w:hAnsiTheme="minorHAnsi" w:cstheme="minorHAnsi"/>
          <w:sz w:val="20"/>
          <w:szCs w:val="20"/>
        </w:rPr>
        <w:t>, Warren, &amp; Conners, 2007), cognitive development (</w:t>
      </w:r>
      <w:proofErr w:type="spellStart"/>
      <w:r w:rsidRPr="00DF43ED">
        <w:rPr>
          <w:rFonts w:asciiTheme="minorHAnsi" w:hAnsiTheme="minorHAnsi" w:cstheme="minorHAnsi"/>
          <w:sz w:val="20"/>
          <w:szCs w:val="20"/>
        </w:rPr>
        <w:t>Weijerman</w:t>
      </w:r>
      <w:proofErr w:type="spellEnd"/>
      <w:r w:rsidRPr="00DF43ED">
        <w:rPr>
          <w:rFonts w:asciiTheme="minorHAnsi" w:hAnsiTheme="minorHAnsi" w:cstheme="minorHAnsi"/>
          <w:sz w:val="20"/>
          <w:szCs w:val="20"/>
        </w:rPr>
        <w:t xml:space="preserve"> &amp; De Winter, 2010), and the acquisition of social/personal skills (National Down Syndrome Society, 2007). </w:t>
      </w:r>
      <w:r>
        <w:rPr>
          <w:rFonts w:asciiTheme="minorHAnsi" w:hAnsiTheme="minorHAnsi" w:cstheme="minorHAnsi"/>
          <w:sz w:val="20"/>
          <w:szCs w:val="20"/>
        </w:rPr>
        <w:t>In their extensive literature review, Yang, Conners, &amp; Merrill (2014) found that certain</w:t>
      </w:r>
      <w:r w:rsidRPr="00DF43ED">
        <w:rPr>
          <w:rFonts w:asciiTheme="minorHAnsi" w:hAnsiTheme="minorHAnsi" w:cstheme="minorHAnsi"/>
          <w:sz w:val="20"/>
          <w:szCs w:val="20"/>
        </w:rPr>
        <w:t xml:space="preserve"> spatial abilities in individuals with DS </w:t>
      </w:r>
      <w:r>
        <w:rPr>
          <w:rFonts w:asciiTheme="minorHAnsi" w:hAnsiTheme="minorHAnsi" w:cstheme="minorHAnsi"/>
          <w:sz w:val="20"/>
          <w:szCs w:val="20"/>
        </w:rPr>
        <w:t xml:space="preserve">may be an area of weakness compared to typically developing (TD) children matched for mental age. </w:t>
      </w:r>
      <w:r w:rsidRPr="00DF43ED">
        <w:rPr>
          <w:rFonts w:asciiTheme="minorHAnsi" w:hAnsiTheme="minorHAnsi" w:cstheme="minorHAnsi"/>
          <w:sz w:val="20"/>
          <w:szCs w:val="20"/>
        </w:rPr>
        <w:t xml:space="preserve">Spatial abilities aid in manipulating, constructing, and navigating the physical world (Newcombe &amp; Shipley, 2014). </w:t>
      </w:r>
      <w:r>
        <w:rPr>
          <w:rFonts w:asciiTheme="minorHAnsi" w:hAnsiTheme="minorHAnsi" w:cstheme="minorHAnsi"/>
          <w:sz w:val="20"/>
          <w:szCs w:val="20"/>
        </w:rPr>
        <w:t xml:space="preserve">According to the framework set forth by Newcombe &amp; Shipley (2014), spatial abilities can be distinguished as intrinsic (within objects) or extrinsic (among and between objects) and statically (stable) or dynamically (movement). Mental rotation, an intrinsic-dynamic skill, is the ability </w:t>
      </w:r>
      <w:r w:rsidRPr="00DF43ED">
        <w:rPr>
          <w:rFonts w:asciiTheme="minorHAnsi" w:hAnsiTheme="minorHAnsi" w:cstheme="minorHAnsi"/>
          <w:sz w:val="20"/>
          <w:szCs w:val="20"/>
        </w:rPr>
        <w:t>to rotate a 2 or 3-dimensional object in one’s mind (Shepard &amp; Metzler, 1971</w:t>
      </w:r>
      <w:r>
        <w:rPr>
          <w:rFonts w:asciiTheme="minorHAnsi" w:hAnsiTheme="minorHAnsi" w:cstheme="minorHAnsi"/>
          <w:sz w:val="20"/>
          <w:szCs w:val="20"/>
        </w:rPr>
        <w:t>). Perspective taking, an extrinsic-dynamic skill, is the ability to mentally represent a viewpoint different from one’s own (</w:t>
      </w:r>
      <w:r w:rsidRPr="007876D7">
        <w:rPr>
          <w:rFonts w:asciiTheme="minorHAnsi" w:hAnsiTheme="minorHAnsi" w:cstheme="minorHAnsi"/>
          <w:sz w:val="20"/>
          <w:szCs w:val="20"/>
        </w:rPr>
        <w:t xml:space="preserve">Frick, </w:t>
      </w:r>
      <w:proofErr w:type="spellStart"/>
      <w:r w:rsidRPr="007876D7">
        <w:rPr>
          <w:rFonts w:asciiTheme="minorHAnsi" w:hAnsiTheme="minorHAnsi" w:cstheme="minorHAnsi"/>
          <w:sz w:val="20"/>
          <w:szCs w:val="20"/>
        </w:rPr>
        <w:t>Möhring</w:t>
      </w:r>
      <w:proofErr w:type="spellEnd"/>
      <w:r w:rsidRPr="007876D7">
        <w:rPr>
          <w:rFonts w:asciiTheme="minorHAnsi" w:hAnsiTheme="minorHAnsi" w:cstheme="minorHAnsi"/>
          <w:sz w:val="20"/>
          <w:szCs w:val="20"/>
        </w:rPr>
        <w:t>, &amp; Newcombe, 2014</w:t>
      </w:r>
      <w:r>
        <w:rPr>
          <w:rFonts w:asciiTheme="minorHAnsi" w:hAnsiTheme="minorHAnsi" w:cstheme="minorHAnsi"/>
          <w:sz w:val="20"/>
          <w:szCs w:val="20"/>
        </w:rPr>
        <w:t>). These two spatial abilities involve common processes, such as encoding spatial images and keeping these representations in memory (</w:t>
      </w:r>
      <w:proofErr w:type="spellStart"/>
      <w:r>
        <w:rPr>
          <w:rFonts w:asciiTheme="minorHAnsi" w:hAnsiTheme="minorHAnsi" w:cstheme="minorHAnsi"/>
          <w:sz w:val="20"/>
          <w:szCs w:val="20"/>
        </w:rPr>
        <w:t>Kosslyn</w:t>
      </w:r>
      <w:proofErr w:type="spellEnd"/>
      <w:r>
        <w:rPr>
          <w:rFonts w:asciiTheme="minorHAnsi" w:hAnsiTheme="minorHAnsi" w:cstheme="minorHAnsi"/>
          <w:sz w:val="20"/>
          <w:szCs w:val="20"/>
        </w:rPr>
        <w:t>, 1994). However, they differ in that mental rotation uses object-based transformations, while perspective taking uses egocentric transformations (Hegarty &amp; Waller, 2004). The goal of this study was to evaluate similarities and differences in mental rotation and perspective taking abilities between people with DS and TD children matched on nonverbal ability.</w:t>
      </w:r>
    </w:p>
    <w:p w14:paraId="6CB596F1" w14:textId="77777777" w:rsidR="00921C7A" w:rsidRDefault="00921C7A" w:rsidP="00921C7A">
      <w:pPr>
        <w:rPr>
          <w:b/>
          <w:color w:val="000000"/>
          <w:sz w:val="20"/>
          <w:szCs w:val="20"/>
          <w:lang w:val="en-GB"/>
        </w:rPr>
      </w:pPr>
    </w:p>
    <w:p w14:paraId="0D6C7B50" w14:textId="7B3229BE" w:rsidR="00921C7A" w:rsidRPr="00D91EFF" w:rsidRDefault="00921C7A" w:rsidP="00921C7A">
      <w:pPr>
        <w:rPr>
          <w:rFonts w:asciiTheme="minorHAnsi" w:hAnsiTheme="minorHAnsi" w:cstheme="minorHAnsi"/>
          <w:color w:val="000000"/>
          <w:sz w:val="20"/>
          <w:szCs w:val="20"/>
          <w:lang w:val="en-GB"/>
        </w:rPr>
      </w:pPr>
      <w:r w:rsidRPr="003F04AD">
        <w:rPr>
          <w:rFonts w:asciiTheme="minorHAnsi" w:hAnsiTheme="minorHAnsi" w:cstheme="minorHAnsi"/>
          <w:b/>
          <w:color w:val="000000"/>
          <w:sz w:val="20"/>
          <w:szCs w:val="20"/>
          <w:lang w:val="en-GB"/>
        </w:rPr>
        <w:t>Method</w:t>
      </w:r>
      <w:r>
        <w:rPr>
          <w:color w:val="000000"/>
          <w:sz w:val="20"/>
          <w:szCs w:val="20"/>
          <w:lang w:val="en-GB"/>
        </w:rPr>
        <w:t xml:space="preserve">: </w:t>
      </w:r>
      <w:r>
        <w:rPr>
          <w:rFonts w:asciiTheme="minorHAnsi" w:hAnsiTheme="minorHAnsi" w:cstheme="minorHAnsi"/>
          <w:color w:val="000000"/>
          <w:sz w:val="20"/>
          <w:szCs w:val="20"/>
          <w:lang w:val="en-GB"/>
        </w:rPr>
        <w:t xml:space="preserve">Twenty-three individuals with DS </w:t>
      </w:r>
      <w:r w:rsidRPr="00D91EFF">
        <w:rPr>
          <w:rFonts w:asciiTheme="minorHAnsi" w:hAnsiTheme="minorHAnsi" w:cstheme="minorHAnsi"/>
          <w:color w:val="000000"/>
          <w:sz w:val="20"/>
          <w:szCs w:val="20"/>
        </w:rPr>
        <w:t>(1</w:t>
      </w:r>
      <w:r>
        <w:rPr>
          <w:rFonts w:asciiTheme="minorHAnsi" w:hAnsiTheme="minorHAnsi" w:cstheme="minorHAnsi"/>
          <w:color w:val="000000"/>
          <w:sz w:val="20"/>
          <w:szCs w:val="20"/>
        </w:rPr>
        <w:t>4</w:t>
      </w:r>
      <w:r w:rsidRPr="00D91EFF">
        <w:rPr>
          <w:rFonts w:asciiTheme="minorHAnsi" w:hAnsiTheme="minorHAnsi" w:cstheme="minorHAnsi"/>
          <w:color w:val="000000"/>
          <w:sz w:val="20"/>
          <w:szCs w:val="20"/>
        </w:rPr>
        <w:t xml:space="preserve"> males; Age: </w:t>
      </w:r>
      <w:r w:rsidRPr="00D91EFF">
        <w:rPr>
          <w:rFonts w:asciiTheme="minorHAnsi" w:hAnsiTheme="minorHAnsi" w:cstheme="minorHAnsi"/>
          <w:i/>
          <w:iCs/>
          <w:color w:val="000000"/>
          <w:sz w:val="20"/>
          <w:szCs w:val="20"/>
        </w:rPr>
        <w:t>M</w:t>
      </w:r>
      <w:r w:rsidRPr="00D91EFF">
        <w:rPr>
          <w:rFonts w:asciiTheme="minorHAnsi" w:hAnsiTheme="minorHAnsi" w:cstheme="minorHAnsi"/>
          <w:color w:val="000000"/>
          <w:sz w:val="20"/>
          <w:szCs w:val="20"/>
        </w:rPr>
        <w:t xml:space="preserve"> = 18.</w:t>
      </w:r>
      <w:r>
        <w:rPr>
          <w:rFonts w:asciiTheme="minorHAnsi" w:hAnsiTheme="minorHAnsi" w:cstheme="minorHAnsi"/>
          <w:color w:val="000000"/>
          <w:sz w:val="20"/>
          <w:szCs w:val="20"/>
        </w:rPr>
        <w:t>49</w:t>
      </w:r>
      <w:r w:rsidRPr="00D91EFF">
        <w:rPr>
          <w:rFonts w:asciiTheme="minorHAnsi" w:hAnsiTheme="minorHAnsi" w:cstheme="minorHAnsi"/>
          <w:color w:val="000000"/>
          <w:sz w:val="20"/>
          <w:szCs w:val="20"/>
        </w:rPr>
        <w:t xml:space="preserve"> years, </w:t>
      </w:r>
      <w:r w:rsidRPr="00D91EFF">
        <w:rPr>
          <w:rFonts w:asciiTheme="minorHAnsi" w:hAnsiTheme="minorHAnsi" w:cstheme="minorHAnsi"/>
          <w:i/>
          <w:iCs/>
          <w:color w:val="000000"/>
          <w:sz w:val="20"/>
          <w:szCs w:val="20"/>
        </w:rPr>
        <w:t xml:space="preserve">SD </w:t>
      </w:r>
      <w:r w:rsidRPr="00D91EFF">
        <w:rPr>
          <w:rFonts w:asciiTheme="minorHAnsi" w:hAnsiTheme="minorHAnsi" w:cstheme="minorHAnsi"/>
          <w:color w:val="000000"/>
          <w:sz w:val="20"/>
          <w:szCs w:val="20"/>
        </w:rPr>
        <w:t>= 4.0</w:t>
      </w:r>
      <w:r>
        <w:rPr>
          <w:rFonts w:asciiTheme="minorHAnsi" w:hAnsiTheme="minorHAnsi" w:cstheme="minorHAnsi"/>
          <w:color w:val="000000"/>
          <w:sz w:val="20"/>
          <w:szCs w:val="20"/>
        </w:rPr>
        <w:t>2</w:t>
      </w:r>
      <w:r w:rsidRPr="00D91EFF">
        <w:rPr>
          <w:rFonts w:asciiTheme="minorHAnsi" w:hAnsiTheme="minorHAnsi" w:cstheme="minorHAnsi"/>
          <w:color w:val="000000"/>
          <w:sz w:val="20"/>
          <w:szCs w:val="20"/>
        </w:rPr>
        <w:t>; range: 11 - 26) and twenty-three TD</w:t>
      </w:r>
      <w:r>
        <w:rPr>
          <w:rFonts w:asciiTheme="minorHAnsi" w:hAnsiTheme="minorHAnsi" w:cstheme="minorHAnsi"/>
          <w:color w:val="000000"/>
          <w:sz w:val="20"/>
          <w:szCs w:val="20"/>
        </w:rPr>
        <w:t xml:space="preserve"> </w:t>
      </w:r>
      <w:r w:rsidRPr="00D91EFF">
        <w:rPr>
          <w:rFonts w:asciiTheme="minorHAnsi" w:hAnsiTheme="minorHAnsi" w:cstheme="minorHAnsi"/>
          <w:color w:val="000000"/>
          <w:sz w:val="20"/>
          <w:szCs w:val="20"/>
        </w:rPr>
        <w:t>children (1</w:t>
      </w:r>
      <w:r>
        <w:rPr>
          <w:rFonts w:asciiTheme="minorHAnsi" w:hAnsiTheme="minorHAnsi" w:cstheme="minorHAnsi"/>
          <w:color w:val="000000"/>
          <w:sz w:val="20"/>
          <w:szCs w:val="20"/>
        </w:rPr>
        <w:t>2</w:t>
      </w:r>
      <w:r w:rsidRPr="00D91EFF">
        <w:rPr>
          <w:rFonts w:asciiTheme="minorHAnsi" w:hAnsiTheme="minorHAnsi" w:cstheme="minorHAnsi"/>
          <w:color w:val="000000"/>
          <w:sz w:val="20"/>
          <w:szCs w:val="20"/>
        </w:rPr>
        <w:t xml:space="preserve"> females; Age: </w:t>
      </w:r>
      <w:r w:rsidRPr="00D91EFF">
        <w:rPr>
          <w:rFonts w:asciiTheme="minorHAnsi" w:hAnsiTheme="minorHAnsi" w:cstheme="minorHAnsi"/>
          <w:i/>
          <w:iCs/>
          <w:color w:val="000000"/>
          <w:sz w:val="20"/>
          <w:szCs w:val="20"/>
        </w:rPr>
        <w:t>M</w:t>
      </w:r>
      <w:r w:rsidRPr="00D91EFF">
        <w:rPr>
          <w:rFonts w:asciiTheme="minorHAnsi" w:hAnsiTheme="minorHAnsi" w:cstheme="minorHAnsi"/>
          <w:color w:val="000000"/>
          <w:sz w:val="20"/>
          <w:szCs w:val="20"/>
        </w:rPr>
        <w:t xml:space="preserve"> = 6.</w:t>
      </w:r>
      <w:r>
        <w:rPr>
          <w:rFonts w:asciiTheme="minorHAnsi" w:hAnsiTheme="minorHAnsi" w:cstheme="minorHAnsi"/>
          <w:color w:val="000000"/>
          <w:sz w:val="20"/>
          <w:szCs w:val="20"/>
        </w:rPr>
        <w:t>34</w:t>
      </w:r>
      <w:r w:rsidRPr="00D91EFF">
        <w:rPr>
          <w:rFonts w:asciiTheme="minorHAnsi" w:hAnsiTheme="minorHAnsi" w:cstheme="minorHAnsi"/>
          <w:color w:val="000000"/>
          <w:sz w:val="20"/>
          <w:szCs w:val="20"/>
        </w:rPr>
        <w:t xml:space="preserve"> years, </w:t>
      </w:r>
      <w:r w:rsidRPr="00D91EFF">
        <w:rPr>
          <w:rFonts w:asciiTheme="minorHAnsi" w:hAnsiTheme="minorHAnsi" w:cstheme="minorHAnsi"/>
          <w:i/>
          <w:iCs/>
          <w:color w:val="000000"/>
          <w:sz w:val="20"/>
          <w:szCs w:val="20"/>
        </w:rPr>
        <w:t xml:space="preserve">SD </w:t>
      </w:r>
      <w:r w:rsidRPr="00D91EFF">
        <w:rPr>
          <w:rFonts w:asciiTheme="minorHAnsi" w:hAnsiTheme="minorHAnsi" w:cstheme="minorHAnsi"/>
          <w:color w:val="000000"/>
          <w:sz w:val="20"/>
          <w:szCs w:val="20"/>
        </w:rPr>
        <w:t>= 1.</w:t>
      </w:r>
      <w:r>
        <w:rPr>
          <w:rFonts w:asciiTheme="minorHAnsi" w:hAnsiTheme="minorHAnsi" w:cstheme="minorHAnsi"/>
          <w:color w:val="000000"/>
          <w:sz w:val="20"/>
          <w:szCs w:val="20"/>
        </w:rPr>
        <w:t>27</w:t>
      </w:r>
      <w:r w:rsidRPr="00D91EFF">
        <w:rPr>
          <w:rFonts w:asciiTheme="minorHAnsi" w:hAnsiTheme="minorHAnsi" w:cstheme="minorHAnsi"/>
          <w:color w:val="000000"/>
          <w:sz w:val="20"/>
          <w:szCs w:val="20"/>
        </w:rPr>
        <w:t xml:space="preserve">; range: 4 - </w:t>
      </w:r>
      <w:r>
        <w:rPr>
          <w:rFonts w:asciiTheme="minorHAnsi" w:hAnsiTheme="minorHAnsi" w:cstheme="minorHAnsi"/>
          <w:color w:val="000000"/>
          <w:sz w:val="20"/>
          <w:szCs w:val="20"/>
        </w:rPr>
        <w:t>8</w:t>
      </w:r>
      <w:r w:rsidRPr="00D91EFF">
        <w:rPr>
          <w:rFonts w:asciiTheme="minorHAnsi" w:hAnsiTheme="minorHAnsi" w:cstheme="minorHAnsi"/>
          <w:color w:val="000000"/>
          <w:sz w:val="20"/>
          <w:szCs w:val="20"/>
        </w:rPr>
        <w:t xml:space="preserve">) </w:t>
      </w:r>
      <w:r>
        <w:rPr>
          <w:rFonts w:asciiTheme="minorHAnsi" w:hAnsiTheme="minorHAnsi" w:cstheme="minorHAnsi"/>
          <w:color w:val="000000"/>
          <w:sz w:val="20"/>
          <w:szCs w:val="20"/>
        </w:rPr>
        <w:t>were matched using the Raven’s Progressive Matrices, a measure of nonverbal ability (Raven, 2003). See Table 1 for descriptive statistics. Participants were individually tested over two days via Zoom. To assess mental rotation, two assessments were utilized: the Ghost Task patterned after Frick et al. (</w:t>
      </w:r>
      <w:r w:rsidR="00186E9A">
        <w:rPr>
          <w:rFonts w:asciiTheme="minorHAnsi" w:hAnsiTheme="minorHAnsi" w:cstheme="minorHAnsi"/>
          <w:color w:val="000000"/>
          <w:sz w:val="20"/>
          <w:szCs w:val="20"/>
        </w:rPr>
        <w:t>2013</w:t>
      </w:r>
      <w:r>
        <w:rPr>
          <w:rFonts w:asciiTheme="minorHAnsi" w:hAnsiTheme="minorHAnsi" w:cstheme="minorHAnsi"/>
          <w:color w:val="000000"/>
          <w:sz w:val="20"/>
          <w:szCs w:val="20"/>
        </w:rPr>
        <w:t xml:space="preserve">) and Puzzle Assessment created for this study. In the Ghost Task, participants were shown an upright ghost shape and needed to determine whether a rotated ghost shape or its mirror image would fit into the space. In the Puzzle Assessment, participants were shown a puzzle with one piece missing and needed to choose between a rotated piece and its mirror image which would fit into the open space of the puzzle. </w:t>
      </w:r>
      <w:r w:rsidRPr="00C6544D">
        <w:rPr>
          <w:rFonts w:asciiTheme="minorHAnsi" w:hAnsiTheme="minorHAnsi" w:cstheme="minorHAnsi"/>
          <w:color w:val="000000"/>
          <w:sz w:val="20"/>
          <w:szCs w:val="20"/>
        </w:rPr>
        <w:t>Stimuli in both assessments were rotated between 30 and 180 degrees.</w:t>
      </w:r>
      <w:r>
        <w:rPr>
          <w:rFonts w:asciiTheme="minorHAnsi" w:hAnsiTheme="minorHAnsi" w:cstheme="minorHAnsi"/>
          <w:color w:val="000000"/>
          <w:sz w:val="20"/>
          <w:szCs w:val="20"/>
        </w:rPr>
        <w:t xml:space="preserve"> To assess perspective taking, two assessments were used: the Three Mountain Task and the Dog Task (see Bracken et al., 2024). In the Three Mountain Task, participants were shown three cones of different sizes and colors, which represented mountains. A stuffed dog would move in 45-degree increments around the mountains and participants were tasked with determining which of 4 pictures represented the dog’s new viewpoint. In the Dog Task, four different colored stuffed dogs were arranged at 0, 90, 180, and 270 degrees forming a diamond shape on the center of a table. Participants were instructed to pretend to be one of the four dogs and choose which of the other dogs was on their right, left, or farthest away.  </w:t>
      </w:r>
    </w:p>
    <w:p w14:paraId="15C364F0" w14:textId="77777777" w:rsidR="00921C7A" w:rsidRDefault="00921C7A" w:rsidP="00921C7A">
      <w:pPr>
        <w:rPr>
          <w:b/>
          <w:color w:val="000000"/>
          <w:sz w:val="20"/>
          <w:szCs w:val="20"/>
          <w:lang w:val="en-GB"/>
        </w:rPr>
      </w:pPr>
    </w:p>
    <w:p w14:paraId="0403F97F" w14:textId="73957501" w:rsidR="00921C7A" w:rsidRPr="0001640D" w:rsidRDefault="00921C7A" w:rsidP="00921C7A">
      <w:pPr>
        <w:rPr>
          <w:rFonts w:asciiTheme="minorHAnsi" w:hAnsiTheme="minorHAnsi" w:cstheme="minorHAnsi"/>
          <w:color w:val="000000"/>
          <w:sz w:val="20"/>
          <w:szCs w:val="20"/>
          <w:lang w:val="en-GB"/>
        </w:rPr>
      </w:pPr>
      <w:r w:rsidRPr="003F04AD">
        <w:rPr>
          <w:rFonts w:asciiTheme="minorHAnsi" w:hAnsiTheme="minorHAnsi" w:cstheme="minorHAnsi"/>
          <w:b/>
          <w:color w:val="000000"/>
          <w:sz w:val="20"/>
          <w:szCs w:val="20"/>
          <w:lang w:val="en-GB"/>
        </w:rPr>
        <w:t>Results</w:t>
      </w:r>
      <w:r>
        <w:rPr>
          <w:color w:val="000000"/>
          <w:sz w:val="20"/>
          <w:szCs w:val="20"/>
          <w:lang w:val="en-GB"/>
        </w:rPr>
        <w:t xml:space="preserve">: </w:t>
      </w:r>
      <w:r>
        <w:rPr>
          <w:rFonts w:asciiTheme="minorHAnsi" w:hAnsiTheme="minorHAnsi" w:cstheme="minorHAnsi"/>
          <w:color w:val="000000"/>
          <w:sz w:val="20"/>
          <w:szCs w:val="20"/>
          <w:lang w:val="en-GB"/>
        </w:rPr>
        <w:t xml:space="preserve"> The percentage correct for two assessments for two abilities w</w:t>
      </w:r>
      <w:r w:rsidR="00127C75">
        <w:rPr>
          <w:rFonts w:asciiTheme="minorHAnsi" w:hAnsiTheme="minorHAnsi" w:cstheme="minorHAnsi"/>
          <w:color w:val="000000"/>
          <w:sz w:val="20"/>
          <w:szCs w:val="20"/>
          <w:lang w:val="en-GB"/>
        </w:rPr>
        <w:t>as</w:t>
      </w:r>
      <w:r>
        <w:rPr>
          <w:rFonts w:asciiTheme="minorHAnsi" w:hAnsiTheme="minorHAnsi" w:cstheme="minorHAnsi"/>
          <w:color w:val="000000"/>
          <w:sz w:val="20"/>
          <w:szCs w:val="20"/>
          <w:lang w:val="en-GB"/>
        </w:rPr>
        <w:t xml:space="preserve"> averaged to compute a composite score for each ability. This resulted in a mental rotation composite score (average score for Ghost Task and Puzzle Assessment) and perspective taking composite score (average score for Three Mountain Task and Dog Task). See Table 1 for descriptive statistics. To assess performance between the two groups, a 2 (ability: mental rotation composite score vs perspective taking composite score) x 2 (group: typically developing vs Down syndrome) repeated measures ANOVA was conducted with ability as a within-subjects factor and group as a between-subjects factor. The main effect of ability was not significant, </w:t>
      </w:r>
      <w:r>
        <w:rPr>
          <w:rFonts w:asciiTheme="minorHAnsi" w:hAnsiTheme="minorHAnsi" w:cstheme="minorHAnsi"/>
          <w:i/>
          <w:iCs/>
          <w:color w:val="000000"/>
          <w:sz w:val="20"/>
          <w:szCs w:val="20"/>
          <w:lang w:val="en-GB"/>
        </w:rPr>
        <w:t>F</w:t>
      </w:r>
      <w:r>
        <w:rPr>
          <w:rFonts w:asciiTheme="minorHAnsi" w:hAnsiTheme="minorHAnsi" w:cstheme="minorHAnsi"/>
          <w:color w:val="000000"/>
          <w:sz w:val="20"/>
          <w:szCs w:val="20"/>
          <w:lang w:val="en-GB"/>
        </w:rPr>
        <w:t xml:space="preserve"> (1, 44) = 1.51, </w:t>
      </w:r>
      <w:r>
        <w:rPr>
          <w:rFonts w:asciiTheme="minorHAnsi" w:hAnsiTheme="minorHAnsi" w:cstheme="minorHAnsi"/>
          <w:i/>
          <w:iCs/>
          <w:color w:val="000000"/>
          <w:sz w:val="20"/>
          <w:szCs w:val="20"/>
          <w:lang w:val="en-GB"/>
        </w:rPr>
        <w:t xml:space="preserve">p </w:t>
      </w:r>
      <w:r>
        <w:rPr>
          <w:rFonts w:asciiTheme="minorHAnsi" w:hAnsiTheme="minorHAnsi" w:cstheme="minorHAnsi"/>
          <w:color w:val="000000"/>
          <w:sz w:val="20"/>
          <w:szCs w:val="20"/>
          <w:lang w:val="en-GB"/>
        </w:rPr>
        <w:t xml:space="preserve">= .226, </w:t>
      </w:r>
      <w:r w:rsidRPr="0001640D">
        <w:rPr>
          <w:rFonts w:asciiTheme="minorHAnsi" w:hAnsiTheme="minorHAnsi" w:cstheme="minorHAnsi"/>
          <w:color w:val="000000"/>
          <w:sz w:val="20"/>
          <w:szCs w:val="20"/>
        </w:rPr>
        <w:t>η</w:t>
      </w:r>
      <w:r w:rsidRPr="0001640D">
        <w:rPr>
          <w:rFonts w:asciiTheme="minorHAnsi" w:hAnsiTheme="minorHAnsi" w:cstheme="minorHAnsi"/>
          <w:color w:val="000000"/>
          <w:sz w:val="20"/>
          <w:szCs w:val="20"/>
          <w:vertAlign w:val="subscript"/>
        </w:rPr>
        <w:t>p</w:t>
      </w:r>
      <w:r w:rsidRPr="0001640D">
        <w:rPr>
          <w:rFonts w:asciiTheme="minorHAnsi" w:hAnsiTheme="minorHAnsi" w:cstheme="minorHAnsi"/>
          <w:color w:val="000000"/>
          <w:sz w:val="20"/>
          <w:szCs w:val="20"/>
          <w:vertAlign w:val="superscript"/>
        </w:rPr>
        <w:t>2</w:t>
      </w:r>
      <w:r>
        <w:rPr>
          <w:rFonts w:asciiTheme="minorHAnsi" w:hAnsiTheme="minorHAnsi" w:cstheme="minorHAnsi"/>
          <w:color w:val="000000"/>
          <w:sz w:val="20"/>
          <w:szCs w:val="20"/>
          <w:vertAlign w:val="superscript"/>
        </w:rPr>
        <w:t xml:space="preserve"> </w:t>
      </w:r>
      <w:r>
        <w:rPr>
          <w:rFonts w:asciiTheme="minorHAnsi" w:hAnsiTheme="minorHAnsi" w:cstheme="minorHAnsi"/>
          <w:color w:val="000000"/>
          <w:sz w:val="20"/>
          <w:szCs w:val="20"/>
          <w:lang w:val="en-GB"/>
        </w:rPr>
        <w:t xml:space="preserve">= .033. However, there was a significant interaction between ability and group, </w:t>
      </w:r>
      <w:r>
        <w:rPr>
          <w:rFonts w:asciiTheme="minorHAnsi" w:hAnsiTheme="minorHAnsi" w:cstheme="minorHAnsi"/>
          <w:i/>
          <w:iCs/>
          <w:color w:val="000000"/>
          <w:sz w:val="20"/>
          <w:szCs w:val="20"/>
          <w:lang w:val="en-GB"/>
        </w:rPr>
        <w:t>F</w:t>
      </w:r>
      <w:r>
        <w:rPr>
          <w:rFonts w:asciiTheme="minorHAnsi" w:hAnsiTheme="minorHAnsi" w:cstheme="minorHAnsi"/>
          <w:color w:val="000000"/>
          <w:sz w:val="20"/>
          <w:szCs w:val="20"/>
          <w:lang w:val="en-GB"/>
        </w:rPr>
        <w:t xml:space="preserve"> (1, 44) = 10.34, </w:t>
      </w:r>
      <w:r>
        <w:rPr>
          <w:rFonts w:asciiTheme="minorHAnsi" w:hAnsiTheme="minorHAnsi" w:cstheme="minorHAnsi"/>
          <w:i/>
          <w:iCs/>
          <w:color w:val="000000"/>
          <w:sz w:val="20"/>
          <w:szCs w:val="20"/>
          <w:lang w:val="en-GB"/>
        </w:rPr>
        <w:t xml:space="preserve">p </w:t>
      </w:r>
      <w:r>
        <w:rPr>
          <w:rFonts w:asciiTheme="minorHAnsi" w:hAnsiTheme="minorHAnsi" w:cstheme="minorHAnsi"/>
          <w:color w:val="000000"/>
          <w:sz w:val="20"/>
          <w:szCs w:val="20"/>
          <w:lang w:val="en-GB"/>
        </w:rPr>
        <w:t xml:space="preserve">= .002, </w:t>
      </w:r>
      <w:r w:rsidRPr="0001640D">
        <w:rPr>
          <w:rFonts w:asciiTheme="minorHAnsi" w:hAnsiTheme="minorHAnsi" w:cstheme="minorHAnsi"/>
          <w:color w:val="000000"/>
          <w:sz w:val="20"/>
          <w:szCs w:val="20"/>
        </w:rPr>
        <w:t>η</w:t>
      </w:r>
      <w:r w:rsidRPr="0001640D">
        <w:rPr>
          <w:rFonts w:asciiTheme="minorHAnsi" w:hAnsiTheme="minorHAnsi" w:cstheme="minorHAnsi"/>
          <w:color w:val="000000"/>
          <w:sz w:val="20"/>
          <w:szCs w:val="20"/>
          <w:vertAlign w:val="subscript"/>
        </w:rPr>
        <w:t>p</w:t>
      </w:r>
      <w:r w:rsidRPr="0001640D">
        <w:rPr>
          <w:rFonts w:asciiTheme="minorHAnsi" w:hAnsiTheme="minorHAnsi" w:cstheme="minorHAnsi"/>
          <w:color w:val="000000"/>
          <w:sz w:val="20"/>
          <w:szCs w:val="20"/>
          <w:vertAlign w:val="superscript"/>
        </w:rPr>
        <w:t>2</w:t>
      </w:r>
      <w:r>
        <w:rPr>
          <w:rFonts w:asciiTheme="minorHAnsi" w:hAnsiTheme="minorHAnsi" w:cstheme="minorHAnsi"/>
          <w:color w:val="000000"/>
          <w:sz w:val="20"/>
          <w:szCs w:val="20"/>
          <w:vertAlign w:val="superscript"/>
        </w:rPr>
        <w:t xml:space="preserve"> </w:t>
      </w:r>
      <w:r>
        <w:rPr>
          <w:rFonts w:asciiTheme="minorHAnsi" w:hAnsiTheme="minorHAnsi" w:cstheme="minorHAnsi"/>
          <w:color w:val="000000"/>
          <w:sz w:val="20"/>
          <w:szCs w:val="20"/>
          <w:lang w:val="en-GB"/>
        </w:rPr>
        <w:t>= .190. Post hoc tests corrected with the Bonferroni adjustment showed that performance on perspective taking did not significantly differ (</w:t>
      </w:r>
      <w:r>
        <w:rPr>
          <w:rFonts w:asciiTheme="minorHAnsi" w:hAnsiTheme="minorHAnsi" w:cstheme="minorHAnsi"/>
          <w:i/>
          <w:iCs/>
          <w:color w:val="000000"/>
          <w:sz w:val="20"/>
          <w:szCs w:val="20"/>
          <w:lang w:val="en-GB"/>
        </w:rPr>
        <w:t xml:space="preserve">p </w:t>
      </w:r>
      <w:r>
        <w:rPr>
          <w:rFonts w:asciiTheme="minorHAnsi" w:hAnsiTheme="minorHAnsi" w:cstheme="minorHAnsi"/>
          <w:color w:val="000000"/>
          <w:sz w:val="20"/>
          <w:szCs w:val="20"/>
          <w:lang w:val="en-GB"/>
        </w:rPr>
        <w:t>= .75) between TD (</w:t>
      </w:r>
      <w:r>
        <w:rPr>
          <w:rFonts w:asciiTheme="minorHAnsi" w:hAnsiTheme="minorHAnsi" w:cstheme="minorHAnsi"/>
          <w:i/>
          <w:iCs/>
          <w:color w:val="000000"/>
          <w:sz w:val="20"/>
          <w:szCs w:val="20"/>
          <w:lang w:val="en-GB"/>
        </w:rPr>
        <w:t xml:space="preserve">M </w:t>
      </w:r>
      <w:r>
        <w:rPr>
          <w:rFonts w:asciiTheme="minorHAnsi" w:hAnsiTheme="minorHAnsi" w:cstheme="minorHAnsi"/>
          <w:color w:val="000000"/>
          <w:sz w:val="20"/>
          <w:szCs w:val="20"/>
          <w:lang w:val="en-GB"/>
        </w:rPr>
        <w:t xml:space="preserve">= 66.24, </w:t>
      </w:r>
      <w:r>
        <w:rPr>
          <w:rFonts w:asciiTheme="minorHAnsi" w:hAnsiTheme="minorHAnsi" w:cstheme="minorHAnsi"/>
          <w:i/>
          <w:iCs/>
          <w:color w:val="000000"/>
          <w:sz w:val="20"/>
          <w:szCs w:val="20"/>
          <w:lang w:val="en-GB"/>
        </w:rPr>
        <w:t xml:space="preserve">SE </w:t>
      </w:r>
      <w:r>
        <w:rPr>
          <w:rFonts w:asciiTheme="minorHAnsi" w:hAnsiTheme="minorHAnsi" w:cstheme="minorHAnsi"/>
          <w:color w:val="000000"/>
          <w:sz w:val="20"/>
          <w:szCs w:val="20"/>
          <w:lang w:val="en-GB"/>
        </w:rPr>
        <w:t>= 3.23) and DS (</w:t>
      </w:r>
      <w:r>
        <w:rPr>
          <w:rFonts w:asciiTheme="minorHAnsi" w:hAnsiTheme="minorHAnsi" w:cstheme="minorHAnsi"/>
          <w:i/>
          <w:iCs/>
          <w:color w:val="000000"/>
          <w:sz w:val="20"/>
          <w:szCs w:val="20"/>
          <w:lang w:val="en-GB"/>
        </w:rPr>
        <w:t>M</w:t>
      </w:r>
      <w:r>
        <w:rPr>
          <w:rFonts w:asciiTheme="minorHAnsi" w:hAnsiTheme="minorHAnsi" w:cstheme="minorHAnsi"/>
          <w:color w:val="000000"/>
          <w:sz w:val="20"/>
          <w:szCs w:val="20"/>
          <w:lang w:val="en-GB"/>
        </w:rPr>
        <w:t xml:space="preserve"> = 64.76, </w:t>
      </w:r>
      <w:r>
        <w:rPr>
          <w:rFonts w:asciiTheme="minorHAnsi" w:hAnsiTheme="minorHAnsi" w:cstheme="minorHAnsi"/>
          <w:i/>
          <w:iCs/>
          <w:color w:val="000000"/>
          <w:sz w:val="20"/>
          <w:szCs w:val="20"/>
          <w:lang w:val="en-GB"/>
        </w:rPr>
        <w:t xml:space="preserve">SE </w:t>
      </w:r>
      <w:r>
        <w:rPr>
          <w:rFonts w:asciiTheme="minorHAnsi" w:hAnsiTheme="minorHAnsi" w:cstheme="minorHAnsi"/>
          <w:color w:val="000000"/>
          <w:sz w:val="20"/>
          <w:szCs w:val="20"/>
          <w:lang w:val="en-GB"/>
        </w:rPr>
        <w:t>= 3.23) participants. For mental rotation, the TD group (</w:t>
      </w:r>
      <w:r>
        <w:rPr>
          <w:rFonts w:asciiTheme="minorHAnsi" w:hAnsiTheme="minorHAnsi" w:cstheme="minorHAnsi"/>
          <w:i/>
          <w:iCs/>
          <w:color w:val="000000"/>
          <w:sz w:val="20"/>
          <w:szCs w:val="20"/>
          <w:lang w:val="en-GB"/>
        </w:rPr>
        <w:t xml:space="preserve">M </w:t>
      </w:r>
      <w:r>
        <w:rPr>
          <w:rFonts w:asciiTheme="minorHAnsi" w:hAnsiTheme="minorHAnsi" w:cstheme="minorHAnsi"/>
          <w:color w:val="000000"/>
          <w:sz w:val="20"/>
          <w:szCs w:val="20"/>
          <w:lang w:val="en-GB"/>
        </w:rPr>
        <w:t xml:space="preserve">= 77.78, </w:t>
      </w:r>
      <w:r>
        <w:rPr>
          <w:rFonts w:asciiTheme="minorHAnsi" w:hAnsiTheme="minorHAnsi" w:cstheme="minorHAnsi"/>
          <w:i/>
          <w:iCs/>
          <w:color w:val="000000"/>
          <w:sz w:val="20"/>
          <w:szCs w:val="20"/>
          <w:lang w:val="en-GB"/>
        </w:rPr>
        <w:t xml:space="preserve">SE </w:t>
      </w:r>
      <w:r>
        <w:rPr>
          <w:rFonts w:asciiTheme="minorHAnsi" w:hAnsiTheme="minorHAnsi" w:cstheme="minorHAnsi"/>
          <w:color w:val="000000"/>
          <w:sz w:val="20"/>
          <w:szCs w:val="20"/>
          <w:lang w:val="en-GB"/>
        </w:rPr>
        <w:t>= 3.55) performed significantly better (</w:t>
      </w:r>
      <w:r>
        <w:rPr>
          <w:rFonts w:asciiTheme="minorHAnsi" w:hAnsiTheme="minorHAnsi" w:cstheme="minorHAnsi"/>
          <w:i/>
          <w:iCs/>
          <w:color w:val="000000"/>
          <w:sz w:val="20"/>
          <w:szCs w:val="20"/>
          <w:lang w:val="en-GB"/>
        </w:rPr>
        <w:t xml:space="preserve">p </w:t>
      </w:r>
      <w:r>
        <w:rPr>
          <w:rFonts w:asciiTheme="minorHAnsi" w:hAnsiTheme="minorHAnsi" w:cstheme="minorHAnsi"/>
          <w:color w:val="000000"/>
          <w:sz w:val="20"/>
          <w:szCs w:val="20"/>
          <w:lang w:val="en-GB"/>
        </w:rPr>
        <w:t>&lt; .001) than the DS group (</w:t>
      </w:r>
      <w:r>
        <w:rPr>
          <w:rFonts w:asciiTheme="minorHAnsi" w:hAnsiTheme="minorHAnsi" w:cstheme="minorHAnsi"/>
          <w:i/>
          <w:iCs/>
          <w:color w:val="000000"/>
          <w:sz w:val="20"/>
          <w:szCs w:val="20"/>
          <w:lang w:val="en-GB"/>
        </w:rPr>
        <w:t xml:space="preserve">M </w:t>
      </w:r>
      <w:r>
        <w:rPr>
          <w:rFonts w:asciiTheme="minorHAnsi" w:hAnsiTheme="minorHAnsi" w:cstheme="minorHAnsi"/>
          <w:color w:val="000000"/>
          <w:sz w:val="20"/>
          <w:szCs w:val="20"/>
          <w:lang w:val="en-GB"/>
        </w:rPr>
        <w:t xml:space="preserve">= 59.60, </w:t>
      </w:r>
      <w:r>
        <w:rPr>
          <w:rFonts w:asciiTheme="minorHAnsi" w:hAnsiTheme="minorHAnsi" w:cstheme="minorHAnsi"/>
          <w:i/>
          <w:iCs/>
          <w:color w:val="000000"/>
          <w:sz w:val="20"/>
          <w:szCs w:val="20"/>
          <w:lang w:val="en-GB"/>
        </w:rPr>
        <w:t xml:space="preserve">SE </w:t>
      </w:r>
      <w:r>
        <w:rPr>
          <w:rFonts w:asciiTheme="minorHAnsi" w:hAnsiTheme="minorHAnsi" w:cstheme="minorHAnsi"/>
          <w:color w:val="000000"/>
          <w:sz w:val="20"/>
          <w:szCs w:val="20"/>
          <w:lang w:val="en-GB"/>
        </w:rPr>
        <w:t xml:space="preserve">= 3.55). See Figure 1. </w:t>
      </w:r>
    </w:p>
    <w:p w14:paraId="27873A5B" w14:textId="77777777" w:rsidR="00921C7A" w:rsidRPr="00A8613E" w:rsidRDefault="00921C7A" w:rsidP="00921C7A">
      <w:pPr>
        <w:rPr>
          <w:rFonts w:asciiTheme="minorHAnsi" w:hAnsiTheme="minorHAnsi" w:cstheme="minorHAnsi"/>
          <w:b/>
          <w:iCs/>
          <w:color w:val="000000"/>
          <w:sz w:val="20"/>
          <w:szCs w:val="20"/>
          <w:lang w:val="en-GB"/>
        </w:rPr>
      </w:pPr>
    </w:p>
    <w:p w14:paraId="09D677E6" w14:textId="77777777" w:rsidR="00921C7A" w:rsidRDefault="00921C7A" w:rsidP="00921C7A">
      <w:pPr>
        <w:rPr>
          <w:rFonts w:asciiTheme="minorHAnsi" w:hAnsiTheme="minorHAnsi" w:cstheme="minorHAnsi"/>
          <w:bCs/>
          <w:iCs/>
          <w:color w:val="000000"/>
          <w:sz w:val="20"/>
          <w:szCs w:val="20"/>
          <w:lang w:val="en-GB"/>
        </w:rPr>
      </w:pPr>
      <w:r w:rsidRPr="003F04AD">
        <w:rPr>
          <w:rFonts w:asciiTheme="minorHAnsi" w:hAnsiTheme="minorHAnsi" w:cstheme="minorHAnsi"/>
          <w:b/>
          <w:iCs/>
          <w:color w:val="000000"/>
          <w:sz w:val="20"/>
          <w:szCs w:val="20"/>
          <w:lang w:val="en-GB"/>
        </w:rPr>
        <w:t>Discussion</w:t>
      </w:r>
      <w:r>
        <w:rPr>
          <w:b/>
          <w:iCs/>
          <w:color w:val="000000"/>
          <w:sz w:val="20"/>
          <w:szCs w:val="20"/>
          <w:lang w:val="en-GB"/>
        </w:rPr>
        <w:t>:</w:t>
      </w:r>
      <w:r>
        <w:rPr>
          <w:rFonts w:asciiTheme="minorHAnsi" w:hAnsiTheme="minorHAnsi" w:cstheme="minorHAnsi"/>
          <w:bCs/>
          <w:iCs/>
          <w:color w:val="000000"/>
          <w:sz w:val="20"/>
          <w:szCs w:val="20"/>
          <w:lang w:val="en-GB"/>
        </w:rPr>
        <w:t xml:space="preserve"> Our results suggest that when matched on Ravens Ability, performance on our perspective taking tasks was not significantly different for the DS and TD participants. However, TD participants performed significantly better than participants with DS on the mental rotation tasks. </w:t>
      </w:r>
      <w:r w:rsidRPr="00166F8C">
        <w:rPr>
          <w:rFonts w:asciiTheme="minorHAnsi" w:hAnsiTheme="minorHAnsi" w:cstheme="minorHAnsi"/>
          <w:bCs/>
          <w:iCs/>
          <w:color w:val="000000"/>
          <w:sz w:val="20"/>
          <w:szCs w:val="20"/>
        </w:rPr>
        <w:t xml:space="preserve">This may be because </w:t>
      </w:r>
      <w:r>
        <w:rPr>
          <w:rFonts w:asciiTheme="minorHAnsi" w:hAnsiTheme="minorHAnsi" w:cstheme="minorHAnsi"/>
          <w:bCs/>
          <w:iCs/>
          <w:color w:val="000000"/>
          <w:sz w:val="20"/>
          <w:szCs w:val="20"/>
        </w:rPr>
        <w:t>m</w:t>
      </w:r>
      <w:r w:rsidRPr="00166F8C">
        <w:rPr>
          <w:rFonts w:asciiTheme="minorHAnsi" w:hAnsiTheme="minorHAnsi" w:cstheme="minorHAnsi"/>
          <w:bCs/>
          <w:iCs/>
          <w:color w:val="000000"/>
          <w:sz w:val="20"/>
          <w:szCs w:val="20"/>
        </w:rPr>
        <w:t xml:space="preserve">ental </w:t>
      </w:r>
      <w:r>
        <w:rPr>
          <w:rFonts w:asciiTheme="minorHAnsi" w:hAnsiTheme="minorHAnsi" w:cstheme="minorHAnsi"/>
          <w:bCs/>
          <w:iCs/>
          <w:color w:val="000000"/>
          <w:sz w:val="20"/>
          <w:szCs w:val="20"/>
        </w:rPr>
        <w:t>r</w:t>
      </w:r>
      <w:r w:rsidRPr="00166F8C">
        <w:rPr>
          <w:rFonts w:asciiTheme="minorHAnsi" w:hAnsiTheme="minorHAnsi" w:cstheme="minorHAnsi"/>
          <w:bCs/>
          <w:iCs/>
          <w:color w:val="000000"/>
          <w:sz w:val="20"/>
          <w:szCs w:val="20"/>
        </w:rPr>
        <w:t>otation is an earlier developing ability for TD children, and hence</w:t>
      </w:r>
      <w:r>
        <w:rPr>
          <w:rFonts w:asciiTheme="minorHAnsi" w:hAnsiTheme="minorHAnsi" w:cstheme="minorHAnsi"/>
          <w:bCs/>
          <w:iCs/>
          <w:color w:val="000000"/>
          <w:sz w:val="20"/>
          <w:szCs w:val="20"/>
        </w:rPr>
        <w:t>,</w:t>
      </w:r>
      <w:r w:rsidRPr="00166F8C">
        <w:rPr>
          <w:rFonts w:asciiTheme="minorHAnsi" w:hAnsiTheme="minorHAnsi" w:cstheme="minorHAnsi"/>
          <w:bCs/>
          <w:iCs/>
          <w:color w:val="000000"/>
          <w:sz w:val="20"/>
          <w:szCs w:val="20"/>
        </w:rPr>
        <w:t xml:space="preserve"> we see </w:t>
      </w:r>
      <w:proofErr w:type="gramStart"/>
      <w:r>
        <w:rPr>
          <w:rFonts w:asciiTheme="minorHAnsi" w:hAnsiTheme="minorHAnsi" w:cstheme="minorHAnsi"/>
          <w:bCs/>
          <w:iCs/>
          <w:color w:val="000000"/>
          <w:sz w:val="20"/>
          <w:szCs w:val="20"/>
        </w:rPr>
        <w:t>that</w:t>
      </w:r>
      <w:r w:rsidRPr="00166F8C">
        <w:rPr>
          <w:rFonts w:asciiTheme="minorHAnsi" w:hAnsiTheme="minorHAnsi" w:cstheme="minorHAnsi"/>
          <w:bCs/>
          <w:iCs/>
          <w:color w:val="000000"/>
          <w:sz w:val="20"/>
          <w:szCs w:val="20"/>
        </w:rPr>
        <w:t xml:space="preserve"> </w:t>
      </w:r>
      <w:r>
        <w:rPr>
          <w:rFonts w:asciiTheme="minorHAnsi" w:hAnsiTheme="minorHAnsi" w:cstheme="minorHAnsi"/>
          <w:bCs/>
          <w:iCs/>
          <w:color w:val="000000"/>
          <w:sz w:val="20"/>
          <w:szCs w:val="20"/>
        </w:rPr>
        <w:t>individuals</w:t>
      </w:r>
      <w:proofErr w:type="gramEnd"/>
      <w:r w:rsidRPr="00166F8C">
        <w:rPr>
          <w:rFonts w:asciiTheme="minorHAnsi" w:hAnsiTheme="minorHAnsi" w:cstheme="minorHAnsi"/>
          <w:bCs/>
          <w:iCs/>
          <w:color w:val="000000"/>
          <w:sz w:val="20"/>
          <w:szCs w:val="20"/>
        </w:rPr>
        <w:t xml:space="preserve"> with DS lag behind as the ability develops. Regardless, this result does suggest the importance of focusing on mental rotation skills as an important component of cognitive training for those with DS</w:t>
      </w:r>
      <w:r>
        <w:rPr>
          <w:rFonts w:asciiTheme="minorHAnsi" w:hAnsiTheme="minorHAnsi" w:cstheme="minorHAnsi"/>
          <w:bCs/>
          <w:iCs/>
          <w:color w:val="000000"/>
          <w:sz w:val="20"/>
          <w:szCs w:val="20"/>
        </w:rPr>
        <w:t>.</w:t>
      </w:r>
    </w:p>
    <w:p w14:paraId="03C266EF" w14:textId="77777777" w:rsidR="00921C7A" w:rsidRDefault="00921C7A" w:rsidP="00921C7A">
      <w:pPr>
        <w:rPr>
          <w:rFonts w:asciiTheme="minorHAnsi" w:hAnsiTheme="minorHAnsi" w:cstheme="minorHAnsi"/>
          <w:bCs/>
          <w:iCs/>
          <w:color w:val="000000"/>
          <w:sz w:val="20"/>
          <w:szCs w:val="20"/>
          <w:lang w:val="en-GB"/>
        </w:rPr>
      </w:pPr>
    </w:p>
    <w:p w14:paraId="53F39106" w14:textId="77777777" w:rsidR="00921C7A" w:rsidRDefault="00921C7A" w:rsidP="00921C7A">
      <w:pPr>
        <w:pStyle w:val="NormalWeb"/>
        <w:spacing w:before="0" w:beforeAutospacing="0" w:after="0" w:afterAutospacing="0"/>
        <w:rPr>
          <w:b/>
          <w:color w:val="000000"/>
          <w:sz w:val="20"/>
          <w:szCs w:val="20"/>
          <w:lang w:val="en-GB"/>
        </w:rPr>
      </w:pPr>
      <w:r w:rsidRPr="003F04AD">
        <w:rPr>
          <w:rFonts w:asciiTheme="minorHAnsi" w:hAnsiTheme="minorHAnsi" w:cstheme="minorHAnsi"/>
          <w:b/>
          <w:color w:val="000000"/>
          <w:sz w:val="20"/>
          <w:szCs w:val="20"/>
          <w:lang w:val="en-GB"/>
        </w:rPr>
        <w:t>References</w:t>
      </w:r>
      <w:r>
        <w:rPr>
          <w:b/>
          <w:color w:val="000000"/>
          <w:sz w:val="20"/>
          <w:szCs w:val="20"/>
          <w:lang w:val="en-GB"/>
        </w:rPr>
        <w:t>:</w:t>
      </w:r>
    </w:p>
    <w:p w14:paraId="420F87D8" w14:textId="77777777" w:rsidR="00921C7A" w:rsidRPr="008118AB" w:rsidRDefault="00921C7A" w:rsidP="00921C7A">
      <w:pPr>
        <w:ind w:left="720" w:hanging="720"/>
        <w:rPr>
          <w:rFonts w:asciiTheme="minorHAnsi" w:hAnsiTheme="minorHAnsi" w:cstheme="minorHAnsi"/>
          <w:sz w:val="17"/>
          <w:szCs w:val="17"/>
        </w:rPr>
      </w:pPr>
      <w:proofErr w:type="spellStart"/>
      <w:r w:rsidRPr="008118AB">
        <w:rPr>
          <w:rFonts w:asciiTheme="minorHAnsi" w:hAnsiTheme="minorHAnsi" w:cstheme="minorHAnsi"/>
          <w:sz w:val="17"/>
          <w:szCs w:val="17"/>
        </w:rPr>
        <w:lastRenderedPageBreak/>
        <w:t>Abbeduto</w:t>
      </w:r>
      <w:proofErr w:type="spellEnd"/>
      <w:r w:rsidRPr="008118AB">
        <w:rPr>
          <w:rFonts w:asciiTheme="minorHAnsi" w:hAnsiTheme="minorHAnsi" w:cstheme="minorHAnsi"/>
          <w:sz w:val="17"/>
          <w:szCs w:val="17"/>
        </w:rPr>
        <w:t>, L., Warren, S. F., &amp; Conners, F. A. (2007). Language development in Down syndrome: From the prelinguistic period to the acquisition of literacy. </w:t>
      </w:r>
      <w:r w:rsidRPr="008118AB">
        <w:rPr>
          <w:rFonts w:asciiTheme="minorHAnsi" w:hAnsiTheme="minorHAnsi" w:cstheme="minorHAnsi"/>
          <w:i/>
          <w:iCs/>
          <w:sz w:val="17"/>
          <w:szCs w:val="17"/>
        </w:rPr>
        <w:t>Mental retardation and developmental disabilities research reviews</w:t>
      </w:r>
      <w:r w:rsidRPr="008118AB">
        <w:rPr>
          <w:rFonts w:asciiTheme="minorHAnsi" w:hAnsiTheme="minorHAnsi" w:cstheme="minorHAnsi"/>
          <w:sz w:val="17"/>
          <w:szCs w:val="17"/>
        </w:rPr>
        <w:t>, </w:t>
      </w:r>
      <w:r w:rsidRPr="008118AB">
        <w:rPr>
          <w:rFonts w:asciiTheme="minorHAnsi" w:hAnsiTheme="minorHAnsi" w:cstheme="minorHAnsi"/>
          <w:i/>
          <w:iCs/>
          <w:sz w:val="17"/>
          <w:szCs w:val="17"/>
        </w:rPr>
        <w:t>13</w:t>
      </w:r>
      <w:r w:rsidRPr="008118AB">
        <w:rPr>
          <w:rFonts w:asciiTheme="minorHAnsi" w:hAnsiTheme="minorHAnsi" w:cstheme="minorHAnsi"/>
          <w:sz w:val="17"/>
          <w:szCs w:val="17"/>
        </w:rPr>
        <w:t>(3), 247-261.</w:t>
      </w:r>
    </w:p>
    <w:p w14:paraId="68DB3C30" w14:textId="77777777" w:rsidR="00921C7A" w:rsidRDefault="00921C7A" w:rsidP="00921C7A">
      <w:pPr>
        <w:ind w:left="720" w:hanging="720"/>
        <w:rPr>
          <w:rFonts w:asciiTheme="minorHAnsi" w:hAnsiTheme="minorHAnsi" w:cstheme="minorHAnsi"/>
          <w:sz w:val="17"/>
          <w:szCs w:val="17"/>
        </w:rPr>
      </w:pPr>
      <w:r w:rsidRPr="00BA31F0">
        <w:rPr>
          <w:rFonts w:asciiTheme="minorHAnsi" w:hAnsiTheme="minorHAnsi" w:cstheme="minorHAnsi"/>
          <w:sz w:val="17"/>
          <w:szCs w:val="17"/>
        </w:rPr>
        <w:t xml:space="preserve">Bracken, A., </w:t>
      </w:r>
      <w:proofErr w:type="spellStart"/>
      <w:r w:rsidRPr="00BA31F0">
        <w:rPr>
          <w:rFonts w:asciiTheme="minorHAnsi" w:hAnsiTheme="minorHAnsi" w:cstheme="minorHAnsi"/>
          <w:sz w:val="17"/>
          <w:szCs w:val="17"/>
        </w:rPr>
        <w:t>Hauss</w:t>
      </w:r>
      <w:proofErr w:type="spellEnd"/>
      <w:r w:rsidRPr="00BA31F0">
        <w:rPr>
          <w:rFonts w:asciiTheme="minorHAnsi" w:hAnsiTheme="minorHAnsi" w:cstheme="minorHAnsi"/>
          <w:sz w:val="17"/>
          <w:szCs w:val="17"/>
        </w:rPr>
        <w:t xml:space="preserve">, J., </w:t>
      </w:r>
      <w:proofErr w:type="spellStart"/>
      <w:r w:rsidRPr="00BA31F0">
        <w:rPr>
          <w:rFonts w:asciiTheme="minorHAnsi" w:hAnsiTheme="minorHAnsi" w:cstheme="minorHAnsi"/>
          <w:sz w:val="17"/>
          <w:szCs w:val="17"/>
        </w:rPr>
        <w:t>Grinshpun</w:t>
      </w:r>
      <w:proofErr w:type="spellEnd"/>
      <w:r w:rsidRPr="00BA31F0">
        <w:rPr>
          <w:rFonts w:asciiTheme="minorHAnsi" w:hAnsiTheme="minorHAnsi" w:cstheme="minorHAnsi"/>
          <w:sz w:val="17"/>
          <w:szCs w:val="17"/>
        </w:rPr>
        <w:t xml:space="preserve">, S., </w:t>
      </w:r>
      <w:proofErr w:type="spellStart"/>
      <w:r w:rsidRPr="00BA31F0">
        <w:rPr>
          <w:rFonts w:asciiTheme="minorHAnsi" w:hAnsiTheme="minorHAnsi" w:cstheme="minorHAnsi"/>
          <w:sz w:val="17"/>
          <w:szCs w:val="17"/>
        </w:rPr>
        <w:t>Lasc</w:t>
      </w:r>
      <w:proofErr w:type="spellEnd"/>
      <w:r w:rsidRPr="00BA31F0">
        <w:rPr>
          <w:rFonts w:asciiTheme="minorHAnsi" w:hAnsiTheme="minorHAnsi" w:cstheme="minorHAnsi"/>
          <w:sz w:val="17"/>
          <w:szCs w:val="17"/>
        </w:rPr>
        <w:t xml:space="preserve">, D., </w:t>
      </w:r>
      <w:proofErr w:type="spellStart"/>
      <w:r w:rsidRPr="00BA31F0">
        <w:rPr>
          <w:rFonts w:asciiTheme="minorHAnsi" w:hAnsiTheme="minorHAnsi" w:cstheme="minorHAnsi"/>
          <w:sz w:val="17"/>
          <w:szCs w:val="17"/>
        </w:rPr>
        <w:t>Hershkovich</w:t>
      </w:r>
      <w:proofErr w:type="spellEnd"/>
      <w:r w:rsidRPr="00BA31F0">
        <w:rPr>
          <w:rFonts w:asciiTheme="minorHAnsi" w:hAnsiTheme="minorHAnsi" w:cstheme="minorHAnsi"/>
          <w:sz w:val="17"/>
          <w:szCs w:val="17"/>
        </w:rPr>
        <w:t>, A., &amp; Yang, Y. (2024). A profile of spatial abilities in people with Down syndrome. </w:t>
      </w:r>
      <w:r w:rsidRPr="00BA31F0">
        <w:rPr>
          <w:rFonts w:asciiTheme="minorHAnsi" w:hAnsiTheme="minorHAnsi" w:cstheme="minorHAnsi"/>
          <w:i/>
          <w:iCs/>
          <w:sz w:val="17"/>
          <w:szCs w:val="17"/>
        </w:rPr>
        <w:t>Journal of Intellectual Disability Research</w:t>
      </w:r>
      <w:r w:rsidRPr="00BA31F0">
        <w:rPr>
          <w:rFonts w:asciiTheme="minorHAnsi" w:hAnsiTheme="minorHAnsi" w:cstheme="minorHAnsi"/>
          <w:sz w:val="17"/>
          <w:szCs w:val="17"/>
        </w:rPr>
        <w:t>, </w:t>
      </w:r>
      <w:r w:rsidRPr="00BA31F0">
        <w:rPr>
          <w:rFonts w:asciiTheme="minorHAnsi" w:hAnsiTheme="minorHAnsi" w:cstheme="minorHAnsi"/>
          <w:i/>
          <w:iCs/>
          <w:sz w:val="17"/>
          <w:szCs w:val="17"/>
        </w:rPr>
        <w:t>68</w:t>
      </w:r>
      <w:r w:rsidRPr="00BA31F0">
        <w:rPr>
          <w:rFonts w:asciiTheme="minorHAnsi" w:hAnsiTheme="minorHAnsi" w:cstheme="minorHAnsi"/>
          <w:sz w:val="17"/>
          <w:szCs w:val="17"/>
        </w:rPr>
        <w:t>(3), 223-236.</w:t>
      </w:r>
    </w:p>
    <w:p w14:paraId="39A00A88" w14:textId="4683C20B" w:rsidR="00186E9A" w:rsidRPr="008118AB" w:rsidRDefault="00186E9A" w:rsidP="00186E9A">
      <w:pPr>
        <w:ind w:left="720" w:hanging="720"/>
        <w:rPr>
          <w:rFonts w:asciiTheme="minorHAnsi" w:hAnsiTheme="minorHAnsi" w:cstheme="minorHAnsi"/>
          <w:sz w:val="17"/>
          <w:szCs w:val="17"/>
        </w:rPr>
      </w:pPr>
      <w:r w:rsidRPr="00186E9A">
        <w:rPr>
          <w:rFonts w:asciiTheme="minorHAnsi" w:hAnsiTheme="minorHAnsi" w:cstheme="minorHAnsi"/>
          <w:sz w:val="17"/>
          <w:szCs w:val="17"/>
        </w:rPr>
        <w:t>Frick, A., Hansen, M. A., &amp; Newcombe, N. S. (2013). Development of mental rotation in 3-to 5-year-old children. </w:t>
      </w:r>
      <w:r w:rsidRPr="00186E9A">
        <w:rPr>
          <w:rFonts w:asciiTheme="minorHAnsi" w:hAnsiTheme="minorHAnsi" w:cstheme="minorHAnsi"/>
          <w:i/>
          <w:iCs/>
          <w:sz w:val="17"/>
          <w:szCs w:val="17"/>
        </w:rPr>
        <w:t>Cognitive Development</w:t>
      </w:r>
      <w:r w:rsidRPr="00186E9A">
        <w:rPr>
          <w:rFonts w:asciiTheme="minorHAnsi" w:hAnsiTheme="minorHAnsi" w:cstheme="minorHAnsi"/>
          <w:sz w:val="17"/>
          <w:szCs w:val="17"/>
        </w:rPr>
        <w:t>, </w:t>
      </w:r>
      <w:r w:rsidRPr="00186E9A">
        <w:rPr>
          <w:rFonts w:asciiTheme="minorHAnsi" w:hAnsiTheme="minorHAnsi" w:cstheme="minorHAnsi"/>
          <w:i/>
          <w:iCs/>
          <w:sz w:val="17"/>
          <w:szCs w:val="17"/>
        </w:rPr>
        <w:t>28</w:t>
      </w:r>
      <w:r w:rsidRPr="00186E9A">
        <w:rPr>
          <w:rFonts w:asciiTheme="minorHAnsi" w:hAnsiTheme="minorHAnsi" w:cstheme="minorHAnsi"/>
          <w:sz w:val="17"/>
          <w:szCs w:val="17"/>
        </w:rPr>
        <w:t>(4), 386-399.</w:t>
      </w:r>
    </w:p>
    <w:p w14:paraId="3DA0EBA8"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 xml:space="preserve">Frick, A., </w:t>
      </w:r>
      <w:proofErr w:type="spellStart"/>
      <w:r w:rsidRPr="008118AB">
        <w:rPr>
          <w:rFonts w:asciiTheme="minorHAnsi" w:hAnsiTheme="minorHAnsi" w:cstheme="minorHAnsi"/>
          <w:sz w:val="17"/>
          <w:szCs w:val="17"/>
        </w:rPr>
        <w:t>Möhring</w:t>
      </w:r>
      <w:proofErr w:type="spellEnd"/>
      <w:r w:rsidRPr="008118AB">
        <w:rPr>
          <w:rFonts w:asciiTheme="minorHAnsi" w:hAnsiTheme="minorHAnsi" w:cstheme="minorHAnsi"/>
          <w:sz w:val="17"/>
          <w:szCs w:val="17"/>
        </w:rPr>
        <w:t>, W., &amp; Newcombe, N. S. (2014). Picturing perspectives: development of perspective-taking abilities in 4-to 8-year-olds. </w:t>
      </w:r>
      <w:r w:rsidRPr="008118AB">
        <w:rPr>
          <w:rFonts w:asciiTheme="minorHAnsi" w:hAnsiTheme="minorHAnsi" w:cstheme="minorHAnsi"/>
          <w:i/>
          <w:iCs/>
          <w:sz w:val="17"/>
          <w:szCs w:val="17"/>
        </w:rPr>
        <w:t>Frontiers in psychology</w:t>
      </w:r>
      <w:r w:rsidRPr="008118AB">
        <w:rPr>
          <w:rFonts w:asciiTheme="minorHAnsi" w:hAnsiTheme="minorHAnsi" w:cstheme="minorHAnsi"/>
          <w:sz w:val="17"/>
          <w:szCs w:val="17"/>
        </w:rPr>
        <w:t>, </w:t>
      </w:r>
      <w:r w:rsidRPr="008118AB">
        <w:rPr>
          <w:rFonts w:asciiTheme="minorHAnsi" w:hAnsiTheme="minorHAnsi" w:cstheme="minorHAnsi"/>
          <w:i/>
          <w:iCs/>
          <w:sz w:val="17"/>
          <w:szCs w:val="17"/>
        </w:rPr>
        <w:t>5</w:t>
      </w:r>
      <w:r w:rsidRPr="008118AB">
        <w:rPr>
          <w:rFonts w:asciiTheme="minorHAnsi" w:hAnsiTheme="minorHAnsi" w:cstheme="minorHAnsi"/>
          <w:sz w:val="17"/>
          <w:szCs w:val="17"/>
        </w:rPr>
        <w:t>, 386.</w:t>
      </w:r>
    </w:p>
    <w:p w14:paraId="617D6D49"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Hegarty, M., &amp; Waller, D. (2004). A dissociation between mental rotation and perspective-taking spatial abilities. </w:t>
      </w:r>
      <w:r w:rsidRPr="008118AB">
        <w:rPr>
          <w:rFonts w:asciiTheme="minorHAnsi" w:hAnsiTheme="minorHAnsi" w:cstheme="minorHAnsi"/>
          <w:i/>
          <w:iCs/>
          <w:sz w:val="17"/>
          <w:szCs w:val="17"/>
        </w:rPr>
        <w:t>Intelligence</w:t>
      </w:r>
      <w:r w:rsidRPr="008118AB">
        <w:rPr>
          <w:rFonts w:asciiTheme="minorHAnsi" w:hAnsiTheme="minorHAnsi" w:cstheme="minorHAnsi"/>
          <w:sz w:val="17"/>
          <w:szCs w:val="17"/>
        </w:rPr>
        <w:t>, </w:t>
      </w:r>
      <w:r w:rsidRPr="008118AB">
        <w:rPr>
          <w:rFonts w:asciiTheme="minorHAnsi" w:hAnsiTheme="minorHAnsi" w:cstheme="minorHAnsi"/>
          <w:i/>
          <w:iCs/>
          <w:sz w:val="17"/>
          <w:szCs w:val="17"/>
        </w:rPr>
        <w:t>32</w:t>
      </w:r>
      <w:r w:rsidRPr="008118AB">
        <w:rPr>
          <w:rFonts w:asciiTheme="minorHAnsi" w:hAnsiTheme="minorHAnsi" w:cstheme="minorHAnsi"/>
          <w:sz w:val="17"/>
          <w:szCs w:val="17"/>
        </w:rPr>
        <w:t>(2), 175-191</w:t>
      </w:r>
    </w:p>
    <w:p w14:paraId="23D680E2" w14:textId="77777777" w:rsidR="00921C7A" w:rsidRPr="008118AB" w:rsidRDefault="00921C7A" w:rsidP="00921C7A">
      <w:pPr>
        <w:ind w:left="720" w:hanging="720"/>
        <w:rPr>
          <w:rFonts w:asciiTheme="minorHAnsi" w:hAnsiTheme="minorHAnsi" w:cstheme="minorHAnsi"/>
          <w:sz w:val="17"/>
          <w:szCs w:val="17"/>
        </w:rPr>
      </w:pPr>
      <w:proofErr w:type="spellStart"/>
      <w:r w:rsidRPr="008118AB">
        <w:rPr>
          <w:rFonts w:asciiTheme="minorHAnsi" w:hAnsiTheme="minorHAnsi" w:cstheme="minorHAnsi"/>
          <w:sz w:val="17"/>
          <w:szCs w:val="17"/>
        </w:rPr>
        <w:t>Kosslyn</w:t>
      </w:r>
      <w:proofErr w:type="spellEnd"/>
      <w:r w:rsidRPr="008118AB">
        <w:rPr>
          <w:rFonts w:asciiTheme="minorHAnsi" w:hAnsiTheme="minorHAnsi" w:cstheme="minorHAnsi"/>
          <w:sz w:val="17"/>
          <w:szCs w:val="17"/>
        </w:rPr>
        <w:t>, S. M. (1994). Image and brain. Cambridge, MA: MIT Press.</w:t>
      </w:r>
    </w:p>
    <w:p w14:paraId="771B1F23"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National Down Syndrome Society. (2007). Down Syndrome Facts. Available at: http://www.ndss.org [accessed April 26, 2009].</w:t>
      </w:r>
    </w:p>
    <w:p w14:paraId="66867507"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Newcombe, N. S., &amp; Shipley, T. F. (2014). Thinking about spatial thinking: New typology, new assessments. In </w:t>
      </w:r>
      <w:r w:rsidRPr="008118AB">
        <w:rPr>
          <w:rFonts w:asciiTheme="minorHAnsi" w:hAnsiTheme="minorHAnsi" w:cstheme="minorHAnsi"/>
          <w:i/>
          <w:iCs/>
          <w:sz w:val="17"/>
          <w:szCs w:val="17"/>
        </w:rPr>
        <w:t>Studying visual and spatial reasoning for design creativity</w:t>
      </w:r>
      <w:r w:rsidRPr="008118AB">
        <w:rPr>
          <w:rFonts w:asciiTheme="minorHAnsi" w:hAnsiTheme="minorHAnsi" w:cstheme="minorHAnsi"/>
          <w:sz w:val="17"/>
          <w:szCs w:val="17"/>
        </w:rPr>
        <w:t> (pp. 179-192). Dordrecht: Springer Netherlands.</w:t>
      </w:r>
    </w:p>
    <w:p w14:paraId="4F447C5C"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 xml:space="preserve">Shepard, R. N., &amp; Metzler, J. (1971). Mental rotation of three-dimensional objects. </w:t>
      </w:r>
      <w:r w:rsidRPr="008118AB">
        <w:rPr>
          <w:rFonts w:asciiTheme="minorHAnsi" w:hAnsiTheme="minorHAnsi" w:cstheme="minorHAnsi"/>
          <w:i/>
          <w:sz w:val="17"/>
          <w:szCs w:val="17"/>
        </w:rPr>
        <w:t>Science</w:t>
      </w:r>
      <w:r w:rsidRPr="008118AB">
        <w:rPr>
          <w:rFonts w:asciiTheme="minorHAnsi" w:hAnsiTheme="minorHAnsi" w:cstheme="minorHAnsi"/>
          <w:sz w:val="17"/>
          <w:szCs w:val="17"/>
        </w:rPr>
        <w:t xml:space="preserve">, </w:t>
      </w:r>
      <w:r w:rsidRPr="008118AB">
        <w:rPr>
          <w:rFonts w:asciiTheme="minorHAnsi" w:hAnsiTheme="minorHAnsi" w:cstheme="minorHAnsi"/>
          <w:i/>
          <w:sz w:val="17"/>
          <w:szCs w:val="17"/>
        </w:rPr>
        <w:t>171</w:t>
      </w:r>
      <w:r w:rsidRPr="008118AB">
        <w:rPr>
          <w:rFonts w:asciiTheme="minorHAnsi" w:hAnsiTheme="minorHAnsi" w:cstheme="minorHAnsi"/>
          <w:sz w:val="17"/>
          <w:szCs w:val="17"/>
        </w:rPr>
        <w:t xml:space="preserve">(3972), 701–703. </w:t>
      </w:r>
      <w:hyperlink r:id="rId10">
        <w:r w:rsidRPr="008118AB">
          <w:rPr>
            <w:rFonts w:asciiTheme="minorHAnsi" w:hAnsiTheme="minorHAnsi" w:cstheme="minorHAnsi"/>
            <w:sz w:val="17"/>
            <w:szCs w:val="17"/>
            <w:u w:val="single"/>
          </w:rPr>
          <w:t>https://doi.org/10.1126/science.171.3972.701</w:t>
        </w:r>
      </w:hyperlink>
      <w:r w:rsidRPr="008118AB">
        <w:rPr>
          <w:rFonts w:asciiTheme="minorHAnsi" w:hAnsiTheme="minorHAnsi" w:cstheme="minorHAnsi"/>
          <w:sz w:val="17"/>
          <w:szCs w:val="17"/>
        </w:rPr>
        <w:t xml:space="preserve"> </w:t>
      </w:r>
    </w:p>
    <w:p w14:paraId="1163C811"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 xml:space="preserve">Thomas, M. S., </w:t>
      </w:r>
      <w:proofErr w:type="spellStart"/>
      <w:r w:rsidRPr="008118AB">
        <w:rPr>
          <w:rFonts w:asciiTheme="minorHAnsi" w:hAnsiTheme="minorHAnsi" w:cstheme="minorHAnsi"/>
          <w:sz w:val="17"/>
          <w:szCs w:val="17"/>
        </w:rPr>
        <w:t>Annaz</w:t>
      </w:r>
      <w:proofErr w:type="spellEnd"/>
      <w:r w:rsidRPr="008118AB">
        <w:rPr>
          <w:rFonts w:asciiTheme="minorHAnsi" w:hAnsiTheme="minorHAnsi" w:cstheme="minorHAnsi"/>
          <w:sz w:val="17"/>
          <w:szCs w:val="17"/>
        </w:rPr>
        <w:t xml:space="preserve">, D., Ansari, D., </w:t>
      </w:r>
      <w:proofErr w:type="spellStart"/>
      <w:r w:rsidRPr="008118AB">
        <w:rPr>
          <w:rFonts w:asciiTheme="minorHAnsi" w:hAnsiTheme="minorHAnsi" w:cstheme="minorHAnsi"/>
          <w:sz w:val="17"/>
          <w:szCs w:val="17"/>
        </w:rPr>
        <w:t>Scerif</w:t>
      </w:r>
      <w:proofErr w:type="spellEnd"/>
      <w:r w:rsidRPr="008118AB">
        <w:rPr>
          <w:rFonts w:asciiTheme="minorHAnsi" w:hAnsiTheme="minorHAnsi" w:cstheme="minorHAnsi"/>
          <w:sz w:val="17"/>
          <w:szCs w:val="17"/>
        </w:rPr>
        <w:t xml:space="preserve">, G., </w:t>
      </w:r>
      <w:proofErr w:type="spellStart"/>
      <w:r w:rsidRPr="008118AB">
        <w:rPr>
          <w:rFonts w:asciiTheme="minorHAnsi" w:hAnsiTheme="minorHAnsi" w:cstheme="minorHAnsi"/>
          <w:sz w:val="17"/>
          <w:szCs w:val="17"/>
        </w:rPr>
        <w:t>Jarrold</w:t>
      </w:r>
      <w:proofErr w:type="spellEnd"/>
      <w:r w:rsidRPr="008118AB">
        <w:rPr>
          <w:rFonts w:asciiTheme="minorHAnsi" w:hAnsiTheme="minorHAnsi" w:cstheme="minorHAnsi"/>
          <w:sz w:val="17"/>
          <w:szCs w:val="17"/>
        </w:rPr>
        <w:t>, C., &amp; Karmiloff-Smith, A. (2009). Using developmental trajectories to understand developmental disorders.</w:t>
      </w:r>
    </w:p>
    <w:p w14:paraId="3BFEE435" w14:textId="77777777" w:rsidR="00921C7A" w:rsidRPr="008118AB" w:rsidRDefault="00921C7A" w:rsidP="00921C7A">
      <w:pPr>
        <w:ind w:left="720" w:hanging="720"/>
        <w:rPr>
          <w:rFonts w:asciiTheme="minorHAnsi" w:hAnsiTheme="minorHAnsi" w:cstheme="minorHAnsi"/>
          <w:sz w:val="17"/>
          <w:szCs w:val="17"/>
        </w:rPr>
      </w:pPr>
      <w:proofErr w:type="spellStart"/>
      <w:r w:rsidRPr="008118AB">
        <w:rPr>
          <w:rFonts w:asciiTheme="minorHAnsi" w:hAnsiTheme="minorHAnsi" w:cstheme="minorHAnsi"/>
          <w:sz w:val="17"/>
          <w:szCs w:val="17"/>
        </w:rPr>
        <w:t>Weijerman</w:t>
      </w:r>
      <w:proofErr w:type="spellEnd"/>
      <w:r w:rsidRPr="008118AB">
        <w:rPr>
          <w:rFonts w:asciiTheme="minorHAnsi" w:hAnsiTheme="minorHAnsi" w:cstheme="minorHAnsi"/>
          <w:sz w:val="17"/>
          <w:szCs w:val="17"/>
        </w:rPr>
        <w:t>, M. E., &amp; De Winter, J. P. (2010). Clinical practice: The care of children with Down syndrome. </w:t>
      </w:r>
      <w:r w:rsidRPr="008118AB">
        <w:rPr>
          <w:rFonts w:asciiTheme="minorHAnsi" w:hAnsiTheme="minorHAnsi" w:cstheme="minorHAnsi"/>
          <w:i/>
          <w:iCs/>
          <w:sz w:val="17"/>
          <w:szCs w:val="17"/>
        </w:rPr>
        <w:t>European journal of pediatrics</w:t>
      </w:r>
      <w:r w:rsidRPr="008118AB">
        <w:rPr>
          <w:rFonts w:asciiTheme="minorHAnsi" w:hAnsiTheme="minorHAnsi" w:cstheme="minorHAnsi"/>
          <w:sz w:val="17"/>
          <w:szCs w:val="17"/>
        </w:rPr>
        <w:t>, </w:t>
      </w:r>
      <w:r w:rsidRPr="008118AB">
        <w:rPr>
          <w:rFonts w:asciiTheme="minorHAnsi" w:hAnsiTheme="minorHAnsi" w:cstheme="minorHAnsi"/>
          <w:i/>
          <w:iCs/>
          <w:sz w:val="17"/>
          <w:szCs w:val="17"/>
        </w:rPr>
        <w:t>169</w:t>
      </w:r>
      <w:r w:rsidRPr="008118AB">
        <w:rPr>
          <w:rFonts w:asciiTheme="minorHAnsi" w:hAnsiTheme="minorHAnsi" w:cstheme="minorHAnsi"/>
          <w:sz w:val="17"/>
          <w:szCs w:val="17"/>
        </w:rPr>
        <w:t>, 1445-1452.</w:t>
      </w:r>
    </w:p>
    <w:p w14:paraId="3C85894A" w14:textId="77777777" w:rsidR="00921C7A" w:rsidRPr="008118AB" w:rsidRDefault="00921C7A" w:rsidP="00921C7A">
      <w:pPr>
        <w:ind w:left="720" w:hanging="720"/>
        <w:rPr>
          <w:rFonts w:asciiTheme="minorHAnsi" w:hAnsiTheme="minorHAnsi" w:cstheme="minorHAnsi"/>
          <w:sz w:val="17"/>
          <w:szCs w:val="17"/>
        </w:rPr>
      </w:pPr>
      <w:r w:rsidRPr="008118AB">
        <w:rPr>
          <w:rFonts w:asciiTheme="minorHAnsi" w:hAnsiTheme="minorHAnsi" w:cstheme="minorHAnsi"/>
          <w:sz w:val="17"/>
          <w:szCs w:val="17"/>
        </w:rPr>
        <w:t>Yang, Y., Conners, F. A., &amp; Merrill, E. C. (2014). Visuo-spatial ability in individuals with Down syndrome: Is it really a strength?. </w:t>
      </w:r>
      <w:r w:rsidRPr="008118AB">
        <w:rPr>
          <w:rFonts w:asciiTheme="minorHAnsi" w:hAnsiTheme="minorHAnsi" w:cstheme="minorHAnsi"/>
          <w:i/>
          <w:iCs/>
          <w:sz w:val="17"/>
          <w:szCs w:val="17"/>
        </w:rPr>
        <w:t>Research in developmental disabilities</w:t>
      </w:r>
      <w:r w:rsidRPr="008118AB">
        <w:rPr>
          <w:rFonts w:asciiTheme="minorHAnsi" w:hAnsiTheme="minorHAnsi" w:cstheme="minorHAnsi"/>
          <w:sz w:val="17"/>
          <w:szCs w:val="17"/>
        </w:rPr>
        <w:t>, </w:t>
      </w:r>
      <w:r w:rsidRPr="008118AB">
        <w:rPr>
          <w:rFonts w:asciiTheme="minorHAnsi" w:hAnsiTheme="minorHAnsi" w:cstheme="minorHAnsi"/>
          <w:i/>
          <w:iCs/>
          <w:sz w:val="17"/>
          <w:szCs w:val="17"/>
        </w:rPr>
        <w:t>35</w:t>
      </w:r>
      <w:r w:rsidRPr="008118AB">
        <w:rPr>
          <w:rFonts w:asciiTheme="minorHAnsi" w:hAnsiTheme="minorHAnsi" w:cstheme="minorHAnsi"/>
          <w:sz w:val="17"/>
          <w:szCs w:val="17"/>
        </w:rPr>
        <w:t>(7), 1473-1500.</w:t>
      </w:r>
    </w:p>
    <w:p w14:paraId="69F0B306" w14:textId="77777777" w:rsidR="00921C7A" w:rsidRPr="001E0DFE" w:rsidRDefault="00921C7A" w:rsidP="00921C7A">
      <w:pPr>
        <w:ind w:left="720" w:hanging="720"/>
        <w:rPr>
          <w:rFonts w:asciiTheme="minorHAnsi" w:hAnsiTheme="minorHAnsi" w:cstheme="minorHAnsi"/>
          <w:sz w:val="20"/>
          <w:szCs w:val="20"/>
        </w:rPr>
      </w:pPr>
    </w:p>
    <w:p w14:paraId="5210D089" w14:textId="77777777" w:rsidR="00921C7A" w:rsidRPr="008B1E03" w:rsidRDefault="00921C7A" w:rsidP="00921C7A">
      <w:pPr>
        <w:pStyle w:val="FootnoteText"/>
        <w:rPr>
          <w:lang w:val="en-CA"/>
        </w:rPr>
      </w:pPr>
      <w:r w:rsidRPr="008B1E03">
        <w:rPr>
          <w:rStyle w:val="FootnoteReference"/>
        </w:rPr>
        <w:footnoteRef/>
      </w:r>
      <w:r w:rsidRPr="008B1E03">
        <w:t xml:space="preserve"> </w:t>
      </w:r>
      <w:r>
        <w:rPr>
          <w:lang w:val="en-CA"/>
        </w:rPr>
        <w:t>Montclair</w:t>
      </w:r>
      <w:r w:rsidRPr="008B1E03">
        <w:rPr>
          <w:lang w:val="en-CA"/>
        </w:rPr>
        <w:t xml:space="preserve"> State University</w:t>
      </w:r>
    </w:p>
    <w:p w14:paraId="6A1CEC10" w14:textId="77777777" w:rsidR="00921C7A" w:rsidRPr="00C6544D" w:rsidRDefault="00921C7A" w:rsidP="00921C7A">
      <w:pPr>
        <w:pStyle w:val="FootnoteText"/>
        <w:rPr>
          <w:lang w:val="en-CA"/>
        </w:rPr>
      </w:pPr>
      <w:r>
        <w:rPr>
          <w:rStyle w:val="FootnoteReference"/>
        </w:rPr>
        <w:t>2</w:t>
      </w:r>
      <w:r w:rsidRPr="008B1E03">
        <w:t xml:space="preserve"> </w:t>
      </w:r>
      <w:r w:rsidRPr="008B1E03">
        <w:rPr>
          <w:lang w:val="en-CA"/>
        </w:rPr>
        <w:t xml:space="preserve">University of </w:t>
      </w:r>
      <w:r>
        <w:rPr>
          <w:lang w:val="en-CA"/>
        </w:rPr>
        <w:t>Alabama</w:t>
      </w:r>
    </w:p>
    <w:p w14:paraId="729908E9" w14:textId="77777777" w:rsidR="00921C7A" w:rsidRDefault="00921C7A" w:rsidP="00921C7A">
      <w:pPr>
        <w:rPr>
          <w:rFonts w:asciiTheme="minorHAnsi" w:hAnsiTheme="minorHAnsi" w:cstheme="minorHAnsi"/>
          <w:color w:val="000000"/>
          <w:sz w:val="20"/>
          <w:szCs w:val="20"/>
          <w:bdr w:val="none" w:sz="0" w:space="0" w:color="auto" w:frame="1"/>
        </w:rPr>
      </w:pPr>
    </w:p>
    <w:p w14:paraId="73F7D072" w14:textId="77777777" w:rsidR="00921C7A" w:rsidRDefault="00921C7A" w:rsidP="00921C7A">
      <w:pPr>
        <w:rPr>
          <w:rFonts w:asciiTheme="minorHAnsi" w:hAnsiTheme="minorHAnsi" w:cstheme="minorHAnsi"/>
          <w:b/>
          <w:bCs/>
          <w:color w:val="000000"/>
          <w:sz w:val="20"/>
          <w:szCs w:val="20"/>
          <w:bdr w:val="none" w:sz="0" w:space="0" w:color="auto" w:frame="1"/>
        </w:rPr>
      </w:pPr>
      <w:r>
        <w:rPr>
          <w:rFonts w:asciiTheme="minorHAnsi" w:hAnsiTheme="minorHAnsi" w:cstheme="minorHAnsi"/>
          <w:b/>
          <w:bCs/>
          <w:color w:val="000000"/>
          <w:sz w:val="20"/>
          <w:szCs w:val="20"/>
          <w:bdr w:val="none" w:sz="0" w:space="0" w:color="auto" w:frame="1"/>
        </w:rPr>
        <w:t xml:space="preserve">Table 1 </w:t>
      </w:r>
    </w:p>
    <w:p w14:paraId="0504A4B9" w14:textId="77777777" w:rsidR="00921C7A" w:rsidRDefault="00921C7A" w:rsidP="00921C7A">
      <w:pPr>
        <w:rPr>
          <w:rFonts w:asciiTheme="minorHAnsi" w:hAnsiTheme="minorHAnsi" w:cstheme="minorHAnsi"/>
          <w:color w:val="000000"/>
          <w:sz w:val="20"/>
          <w:szCs w:val="20"/>
          <w:bdr w:val="none" w:sz="0" w:space="0" w:color="auto" w:frame="1"/>
        </w:rPr>
      </w:pPr>
      <w:r>
        <w:rPr>
          <w:rFonts w:asciiTheme="minorHAnsi" w:hAnsiTheme="minorHAnsi" w:cstheme="minorHAnsi"/>
          <w:i/>
          <w:iCs/>
          <w:color w:val="000000"/>
          <w:sz w:val="20"/>
          <w:szCs w:val="20"/>
          <w:bdr w:val="none" w:sz="0" w:space="0" w:color="auto" w:frame="1"/>
        </w:rPr>
        <w:t>Descriptive Statistics</w:t>
      </w:r>
    </w:p>
    <w:tbl>
      <w:tblPr>
        <w:tblStyle w:val="TableGrid"/>
        <w:tblW w:w="0" w:type="auto"/>
        <w:tblLook w:val="04A0" w:firstRow="1" w:lastRow="0" w:firstColumn="1" w:lastColumn="0" w:noHBand="0" w:noVBand="1"/>
      </w:tblPr>
      <w:tblGrid>
        <w:gridCol w:w="3150"/>
        <w:gridCol w:w="2100"/>
        <w:gridCol w:w="2626"/>
      </w:tblGrid>
      <w:tr w:rsidR="00921C7A" w14:paraId="1E444E78" w14:textId="77777777" w:rsidTr="00382219">
        <w:tc>
          <w:tcPr>
            <w:tcW w:w="3150" w:type="dxa"/>
            <w:tcBorders>
              <w:left w:val="nil"/>
              <w:right w:val="nil"/>
            </w:tcBorders>
          </w:tcPr>
          <w:p w14:paraId="1E2FF1B3" w14:textId="77777777" w:rsidR="00921C7A" w:rsidRDefault="00921C7A" w:rsidP="00382219">
            <w:pPr>
              <w:jc w:val="center"/>
              <w:rPr>
                <w:rFonts w:asciiTheme="minorHAnsi" w:hAnsiTheme="minorHAnsi" w:cstheme="minorHAnsi"/>
                <w:color w:val="000000"/>
                <w:sz w:val="20"/>
                <w:szCs w:val="20"/>
                <w:bdr w:val="none" w:sz="0" w:space="0" w:color="auto" w:frame="1"/>
              </w:rPr>
            </w:pPr>
          </w:p>
        </w:tc>
        <w:tc>
          <w:tcPr>
            <w:tcW w:w="2100" w:type="dxa"/>
            <w:tcBorders>
              <w:left w:val="nil"/>
              <w:right w:val="nil"/>
            </w:tcBorders>
          </w:tcPr>
          <w:p w14:paraId="3058251D" w14:textId="77777777" w:rsidR="00921C7A" w:rsidRPr="00811258" w:rsidRDefault="00921C7A" w:rsidP="00382219">
            <w:pPr>
              <w:jc w:val="center"/>
              <w:rPr>
                <w:rFonts w:asciiTheme="minorHAnsi" w:hAnsiTheme="minorHAnsi" w:cstheme="minorHAnsi"/>
                <w:i/>
                <w:iCs/>
                <w:color w:val="000000"/>
                <w:sz w:val="20"/>
                <w:szCs w:val="20"/>
                <w:bdr w:val="none" w:sz="0" w:space="0" w:color="auto" w:frame="1"/>
              </w:rPr>
            </w:pPr>
            <w:r>
              <w:rPr>
                <w:rFonts w:asciiTheme="minorHAnsi" w:hAnsiTheme="minorHAnsi" w:cstheme="minorHAnsi"/>
                <w:i/>
                <w:iCs/>
                <w:color w:val="000000"/>
                <w:sz w:val="20"/>
                <w:szCs w:val="20"/>
                <w:bdr w:val="none" w:sz="0" w:space="0" w:color="auto" w:frame="1"/>
              </w:rPr>
              <w:t>M</w:t>
            </w:r>
          </w:p>
        </w:tc>
        <w:tc>
          <w:tcPr>
            <w:tcW w:w="2626" w:type="dxa"/>
            <w:tcBorders>
              <w:left w:val="nil"/>
              <w:right w:val="nil"/>
            </w:tcBorders>
          </w:tcPr>
          <w:p w14:paraId="40948F25" w14:textId="77777777" w:rsidR="00921C7A" w:rsidRPr="00811258" w:rsidRDefault="00921C7A" w:rsidP="00382219">
            <w:pPr>
              <w:jc w:val="center"/>
              <w:rPr>
                <w:rFonts w:asciiTheme="minorHAnsi" w:hAnsiTheme="minorHAnsi" w:cstheme="minorHAnsi"/>
                <w:i/>
                <w:iCs/>
                <w:color w:val="000000"/>
                <w:sz w:val="20"/>
                <w:szCs w:val="20"/>
                <w:bdr w:val="none" w:sz="0" w:space="0" w:color="auto" w:frame="1"/>
              </w:rPr>
            </w:pPr>
            <w:r>
              <w:rPr>
                <w:rFonts w:asciiTheme="minorHAnsi" w:hAnsiTheme="minorHAnsi" w:cstheme="minorHAnsi"/>
                <w:i/>
                <w:iCs/>
                <w:color w:val="000000"/>
                <w:sz w:val="20"/>
                <w:szCs w:val="20"/>
                <w:bdr w:val="none" w:sz="0" w:space="0" w:color="auto" w:frame="1"/>
              </w:rPr>
              <w:t>SD</w:t>
            </w:r>
          </w:p>
        </w:tc>
      </w:tr>
      <w:tr w:rsidR="00921C7A" w14:paraId="5E572424" w14:textId="77777777" w:rsidTr="00382219">
        <w:tc>
          <w:tcPr>
            <w:tcW w:w="3150" w:type="dxa"/>
            <w:tcBorders>
              <w:left w:val="nil"/>
              <w:bottom w:val="nil"/>
              <w:right w:val="nil"/>
            </w:tcBorders>
            <w:shd w:val="clear" w:color="auto" w:fill="auto"/>
          </w:tcPr>
          <w:p w14:paraId="3D8304C5" w14:textId="77777777" w:rsidR="00921C7A" w:rsidRDefault="00921C7A" w:rsidP="00382219">
            <w:pPr>
              <w:jc w:val="center"/>
              <w:rPr>
                <w:rFonts w:asciiTheme="minorHAnsi" w:hAnsiTheme="minorHAnsi" w:cstheme="minorHAnsi"/>
                <w:color w:val="000000"/>
                <w:sz w:val="20"/>
                <w:szCs w:val="20"/>
                <w:bdr w:val="none" w:sz="0" w:space="0" w:color="auto" w:frame="1"/>
              </w:rPr>
            </w:pPr>
          </w:p>
        </w:tc>
        <w:tc>
          <w:tcPr>
            <w:tcW w:w="2100" w:type="dxa"/>
            <w:tcBorders>
              <w:left w:val="nil"/>
              <w:bottom w:val="nil"/>
              <w:right w:val="nil"/>
            </w:tcBorders>
          </w:tcPr>
          <w:p w14:paraId="665AD5BA"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Typically Developing</w:t>
            </w:r>
          </w:p>
        </w:tc>
        <w:tc>
          <w:tcPr>
            <w:tcW w:w="2626" w:type="dxa"/>
            <w:tcBorders>
              <w:left w:val="nil"/>
              <w:bottom w:val="nil"/>
              <w:right w:val="nil"/>
            </w:tcBorders>
          </w:tcPr>
          <w:p w14:paraId="45C62A72" w14:textId="77777777" w:rsidR="00921C7A" w:rsidRDefault="00921C7A" w:rsidP="00382219">
            <w:pPr>
              <w:jc w:val="center"/>
              <w:rPr>
                <w:rFonts w:asciiTheme="minorHAnsi" w:hAnsiTheme="minorHAnsi" w:cstheme="minorHAnsi"/>
                <w:color w:val="000000"/>
                <w:sz w:val="20"/>
                <w:szCs w:val="20"/>
                <w:bdr w:val="none" w:sz="0" w:space="0" w:color="auto" w:frame="1"/>
              </w:rPr>
            </w:pPr>
          </w:p>
        </w:tc>
      </w:tr>
      <w:tr w:rsidR="00921C7A" w14:paraId="13017231" w14:textId="77777777" w:rsidTr="00382219">
        <w:tc>
          <w:tcPr>
            <w:tcW w:w="3150" w:type="dxa"/>
            <w:tcBorders>
              <w:top w:val="nil"/>
              <w:left w:val="nil"/>
              <w:bottom w:val="nil"/>
              <w:right w:val="nil"/>
            </w:tcBorders>
          </w:tcPr>
          <w:p w14:paraId="501252EB"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Perspective Taking Composite Score</w:t>
            </w:r>
          </w:p>
        </w:tc>
        <w:tc>
          <w:tcPr>
            <w:tcW w:w="2100" w:type="dxa"/>
            <w:tcBorders>
              <w:top w:val="nil"/>
              <w:left w:val="nil"/>
              <w:bottom w:val="nil"/>
              <w:right w:val="nil"/>
            </w:tcBorders>
          </w:tcPr>
          <w:p w14:paraId="6A03D30A"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66.24</w:t>
            </w:r>
          </w:p>
        </w:tc>
        <w:tc>
          <w:tcPr>
            <w:tcW w:w="2626" w:type="dxa"/>
            <w:tcBorders>
              <w:top w:val="nil"/>
              <w:left w:val="nil"/>
              <w:bottom w:val="nil"/>
              <w:right w:val="nil"/>
            </w:tcBorders>
          </w:tcPr>
          <w:p w14:paraId="2FC42663"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18.17</w:t>
            </w:r>
          </w:p>
        </w:tc>
      </w:tr>
      <w:tr w:rsidR="00921C7A" w14:paraId="2B877FC2" w14:textId="77777777" w:rsidTr="00382219">
        <w:tc>
          <w:tcPr>
            <w:tcW w:w="3150" w:type="dxa"/>
            <w:tcBorders>
              <w:top w:val="nil"/>
              <w:left w:val="nil"/>
              <w:bottom w:val="nil"/>
              <w:right w:val="nil"/>
            </w:tcBorders>
          </w:tcPr>
          <w:p w14:paraId="39868D8E"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Mental Rotation Composite Score</w:t>
            </w:r>
          </w:p>
        </w:tc>
        <w:tc>
          <w:tcPr>
            <w:tcW w:w="2100" w:type="dxa"/>
            <w:tcBorders>
              <w:top w:val="nil"/>
              <w:left w:val="nil"/>
              <w:bottom w:val="nil"/>
              <w:right w:val="nil"/>
            </w:tcBorders>
          </w:tcPr>
          <w:p w14:paraId="79F14C8F"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77.78</w:t>
            </w:r>
          </w:p>
        </w:tc>
        <w:tc>
          <w:tcPr>
            <w:tcW w:w="2626" w:type="dxa"/>
            <w:tcBorders>
              <w:top w:val="nil"/>
              <w:left w:val="nil"/>
              <w:bottom w:val="nil"/>
              <w:right w:val="nil"/>
            </w:tcBorders>
          </w:tcPr>
          <w:p w14:paraId="39131132"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14.93</w:t>
            </w:r>
          </w:p>
        </w:tc>
      </w:tr>
      <w:tr w:rsidR="00921C7A" w14:paraId="192067B0" w14:textId="77777777" w:rsidTr="00382219">
        <w:tc>
          <w:tcPr>
            <w:tcW w:w="3150" w:type="dxa"/>
            <w:tcBorders>
              <w:top w:val="nil"/>
              <w:left w:val="nil"/>
              <w:bottom w:val="nil"/>
              <w:right w:val="nil"/>
            </w:tcBorders>
          </w:tcPr>
          <w:p w14:paraId="083D1217"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Ravens Ability</w:t>
            </w:r>
          </w:p>
        </w:tc>
        <w:tc>
          <w:tcPr>
            <w:tcW w:w="2100" w:type="dxa"/>
            <w:tcBorders>
              <w:top w:val="nil"/>
              <w:left w:val="nil"/>
              <w:bottom w:val="nil"/>
              <w:right w:val="nil"/>
            </w:tcBorders>
          </w:tcPr>
          <w:p w14:paraId="29EBC350"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449.39</w:t>
            </w:r>
          </w:p>
        </w:tc>
        <w:tc>
          <w:tcPr>
            <w:tcW w:w="2626" w:type="dxa"/>
            <w:tcBorders>
              <w:top w:val="nil"/>
              <w:left w:val="nil"/>
              <w:bottom w:val="nil"/>
              <w:right w:val="nil"/>
            </w:tcBorders>
          </w:tcPr>
          <w:p w14:paraId="54B0AE6D"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32.44</w:t>
            </w:r>
          </w:p>
        </w:tc>
      </w:tr>
      <w:tr w:rsidR="00921C7A" w14:paraId="59706C34" w14:textId="77777777" w:rsidTr="00382219">
        <w:tc>
          <w:tcPr>
            <w:tcW w:w="3150" w:type="dxa"/>
            <w:tcBorders>
              <w:top w:val="nil"/>
              <w:left w:val="nil"/>
              <w:bottom w:val="nil"/>
              <w:right w:val="nil"/>
            </w:tcBorders>
          </w:tcPr>
          <w:p w14:paraId="0B36877C" w14:textId="77777777" w:rsidR="00921C7A" w:rsidRDefault="00921C7A" w:rsidP="00382219">
            <w:pPr>
              <w:rPr>
                <w:rFonts w:asciiTheme="minorHAnsi" w:hAnsiTheme="minorHAnsi" w:cstheme="minorHAnsi"/>
                <w:color w:val="000000"/>
                <w:sz w:val="20"/>
                <w:szCs w:val="20"/>
                <w:bdr w:val="none" w:sz="0" w:space="0" w:color="auto" w:frame="1"/>
              </w:rPr>
            </w:pPr>
          </w:p>
        </w:tc>
        <w:tc>
          <w:tcPr>
            <w:tcW w:w="2100" w:type="dxa"/>
            <w:tcBorders>
              <w:top w:val="nil"/>
              <w:left w:val="nil"/>
              <w:bottom w:val="nil"/>
              <w:right w:val="nil"/>
            </w:tcBorders>
          </w:tcPr>
          <w:p w14:paraId="45F84A88"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Down syndrome</w:t>
            </w:r>
          </w:p>
        </w:tc>
        <w:tc>
          <w:tcPr>
            <w:tcW w:w="2626" w:type="dxa"/>
            <w:tcBorders>
              <w:top w:val="nil"/>
              <w:left w:val="nil"/>
              <w:bottom w:val="nil"/>
              <w:right w:val="nil"/>
            </w:tcBorders>
          </w:tcPr>
          <w:p w14:paraId="61501CDE" w14:textId="77777777" w:rsidR="00921C7A" w:rsidRDefault="00921C7A" w:rsidP="00382219">
            <w:pPr>
              <w:jc w:val="center"/>
              <w:rPr>
                <w:rFonts w:asciiTheme="minorHAnsi" w:hAnsiTheme="minorHAnsi" w:cstheme="minorHAnsi"/>
                <w:color w:val="000000"/>
                <w:sz w:val="20"/>
                <w:szCs w:val="20"/>
                <w:bdr w:val="none" w:sz="0" w:space="0" w:color="auto" w:frame="1"/>
              </w:rPr>
            </w:pPr>
          </w:p>
        </w:tc>
      </w:tr>
      <w:tr w:rsidR="00921C7A" w14:paraId="3FD3FDCC" w14:textId="77777777" w:rsidTr="00382219">
        <w:tc>
          <w:tcPr>
            <w:tcW w:w="3150" w:type="dxa"/>
            <w:tcBorders>
              <w:top w:val="nil"/>
              <w:left w:val="nil"/>
              <w:bottom w:val="nil"/>
              <w:right w:val="nil"/>
            </w:tcBorders>
          </w:tcPr>
          <w:p w14:paraId="48F3F4E3"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Perspective Taking Composite Score</w:t>
            </w:r>
          </w:p>
        </w:tc>
        <w:tc>
          <w:tcPr>
            <w:tcW w:w="2100" w:type="dxa"/>
            <w:tcBorders>
              <w:top w:val="nil"/>
              <w:left w:val="nil"/>
              <w:bottom w:val="nil"/>
              <w:right w:val="nil"/>
            </w:tcBorders>
          </w:tcPr>
          <w:p w14:paraId="520674D1"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64.76</w:t>
            </w:r>
          </w:p>
        </w:tc>
        <w:tc>
          <w:tcPr>
            <w:tcW w:w="2626" w:type="dxa"/>
            <w:tcBorders>
              <w:top w:val="nil"/>
              <w:left w:val="nil"/>
              <w:bottom w:val="nil"/>
              <w:right w:val="nil"/>
            </w:tcBorders>
          </w:tcPr>
          <w:p w14:paraId="5CBC5349"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12.52</w:t>
            </w:r>
          </w:p>
        </w:tc>
      </w:tr>
      <w:tr w:rsidR="00921C7A" w14:paraId="4844060F" w14:textId="77777777" w:rsidTr="00382219">
        <w:tc>
          <w:tcPr>
            <w:tcW w:w="3150" w:type="dxa"/>
            <w:tcBorders>
              <w:top w:val="nil"/>
              <w:left w:val="nil"/>
              <w:bottom w:val="nil"/>
              <w:right w:val="nil"/>
            </w:tcBorders>
          </w:tcPr>
          <w:p w14:paraId="42BC52A0"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Mental Rotation Composite Score</w:t>
            </w:r>
          </w:p>
        </w:tc>
        <w:tc>
          <w:tcPr>
            <w:tcW w:w="2100" w:type="dxa"/>
            <w:tcBorders>
              <w:top w:val="nil"/>
              <w:left w:val="nil"/>
              <w:bottom w:val="nil"/>
              <w:right w:val="nil"/>
            </w:tcBorders>
          </w:tcPr>
          <w:p w14:paraId="4DBAA3F5"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59.60</w:t>
            </w:r>
          </w:p>
        </w:tc>
        <w:tc>
          <w:tcPr>
            <w:tcW w:w="2626" w:type="dxa"/>
            <w:tcBorders>
              <w:top w:val="nil"/>
              <w:left w:val="nil"/>
              <w:bottom w:val="nil"/>
              <w:right w:val="nil"/>
            </w:tcBorders>
          </w:tcPr>
          <w:p w14:paraId="0C30D40F"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18.85</w:t>
            </w:r>
          </w:p>
        </w:tc>
      </w:tr>
      <w:tr w:rsidR="00921C7A" w14:paraId="3F371198" w14:textId="77777777" w:rsidTr="00382219">
        <w:tc>
          <w:tcPr>
            <w:tcW w:w="3150" w:type="dxa"/>
            <w:tcBorders>
              <w:top w:val="nil"/>
              <w:left w:val="nil"/>
              <w:right w:val="nil"/>
            </w:tcBorders>
          </w:tcPr>
          <w:p w14:paraId="74A959A5" w14:textId="77777777" w:rsidR="00921C7A" w:rsidRDefault="00921C7A" w:rsidP="00382219">
            <w:pP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Ravens Ability</w:t>
            </w:r>
          </w:p>
        </w:tc>
        <w:tc>
          <w:tcPr>
            <w:tcW w:w="2100" w:type="dxa"/>
            <w:tcBorders>
              <w:top w:val="nil"/>
              <w:left w:val="nil"/>
              <w:right w:val="nil"/>
            </w:tcBorders>
          </w:tcPr>
          <w:p w14:paraId="1FE0F3DF"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449.57</w:t>
            </w:r>
          </w:p>
        </w:tc>
        <w:tc>
          <w:tcPr>
            <w:tcW w:w="2626" w:type="dxa"/>
            <w:tcBorders>
              <w:top w:val="nil"/>
              <w:left w:val="nil"/>
              <w:right w:val="nil"/>
            </w:tcBorders>
          </w:tcPr>
          <w:p w14:paraId="13F87F44" w14:textId="77777777" w:rsidR="00921C7A" w:rsidRDefault="00921C7A" w:rsidP="00382219">
            <w:pPr>
              <w:jc w:val="center"/>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35.67</w:t>
            </w:r>
          </w:p>
        </w:tc>
      </w:tr>
    </w:tbl>
    <w:p w14:paraId="3EAACF68" w14:textId="77777777" w:rsidR="00921C7A" w:rsidRPr="005E3A1D" w:rsidRDefault="00921C7A" w:rsidP="00921C7A">
      <w:pPr>
        <w:rPr>
          <w:rFonts w:asciiTheme="minorHAnsi" w:hAnsiTheme="minorHAnsi" w:cstheme="minorHAnsi"/>
          <w:color w:val="000000"/>
          <w:sz w:val="20"/>
          <w:szCs w:val="20"/>
          <w:bdr w:val="none" w:sz="0" w:space="0" w:color="auto" w:frame="1"/>
        </w:rPr>
      </w:pPr>
    </w:p>
    <w:p w14:paraId="39E3A4CB" w14:textId="77777777" w:rsidR="00921C7A" w:rsidRDefault="00921C7A" w:rsidP="00921C7A">
      <w:pPr>
        <w:rPr>
          <w:rFonts w:asciiTheme="minorHAnsi" w:hAnsiTheme="minorHAnsi" w:cstheme="minorHAnsi"/>
          <w:b/>
          <w:bCs/>
          <w:color w:val="000000"/>
          <w:sz w:val="20"/>
          <w:szCs w:val="20"/>
          <w:bdr w:val="none" w:sz="0" w:space="0" w:color="auto" w:frame="1"/>
        </w:rPr>
      </w:pPr>
      <w:r w:rsidRPr="005E3A1D">
        <w:rPr>
          <w:rFonts w:asciiTheme="minorHAnsi" w:hAnsiTheme="minorHAnsi" w:cstheme="minorHAnsi"/>
          <w:b/>
          <w:bCs/>
          <w:color w:val="000000"/>
          <w:sz w:val="20"/>
          <w:szCs w:val="20"/>
          <w:bdr w:val="none" w:sz="0" w:space="0" w:color="auto" w:frame="1"/>
        </w:rPr>
        <w:t>Figure 1</w:t>
      </w:r>
    </w:p>
    <w:p w14:paraId="6D35DBAE" w14:textId="77777777" w:rsidR="00921C7A" w:rsidRPr="00F62D36" w:rsidRDefault="00921C7A" w:rsidP="00921C7A">
      <w:pPr>
        <w:rPr>
          <w:rFonts w:asciiTheme="minorHAnsi" w:hAnsiTheme="minorHAnsi" w:cstheme="minorHAnsi"/>
          <w:i/>
          <w:iCs/>
          <w:color w:val="000000"/>
          <w:sz w:val="20"/>
          <w:szCs w:val="20"/>
          <w:bdr w:val="none" w:sz="0" w:space="0" w:color="auto" w:frame="1"/>
        </w:rPr>
      </w:pPr>
      <w:r>
        <w:rPr>
          <w:rFonts w:asciiTheme="minorHAnsi" w:hAnsiTheme="minorHAnsi" w:cstheme="minorHAnsi"/>
          <w:i/>
          <w:iCs/>
          <w:color w:val="000000"/>
          <w:sz w:val="20"/>
          <w:szCs w:val="20"/>
          <w:bdr w:val="none" w:sz="0" w:space="0" w:color="auto" w:frame="1"/>
        </w:rPr>
        <w:t>Spatial Ability Performance by Group</w:t>
      </w:r>
    </w:p>
    <w:p w14:paraId="0AD30B74" w14:textId="68EEF1A1" w:rsidR="007E0470" w:rsidRPr="007E0482" w:rsidRDefault="00921C7A" w:rsidP="00921C7A">
      <w:pPr>
        <w:rPr>
          <w:rFonts w:asciiTheme="minorHAnsi" w:hAnsiTheme="minorHAnsi" w:cstheme="minorHAnsi"/>
          <w:b/>
          <w:bCs/>
          <w:color w:val="000000"/>
          <w:sz w:val="20"/>
          <w:szCs w:val="20"/>
          <w:bdr w:val="none" w:sz="0" w:space="0" w:color="auto" w:frame="1"/>
        </w:rPr>
      </w:pPr>
      <w:r>
        <w:rPr>
          <w:noProof/>
        </w:rPr>
        <w:drawing>
          <wp:inline distT="0" distB="0" distL="0" distR="0" wp14:anchorId="44D96F48" wp14:editId="3919B0AA">
            <wp:extent cx="4682929" cy="2903220"/>
            <wp:effectExtent l="0" t="0" r="3810" b="5080"/>
            <wp:docPr id="4393365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36559" name="Picture 4393365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8527" cy="2906690"/>
                    </a:xfrm>
                    <a:prstGeom prst="rect">
                      <a:avLst/>
                    </a:prstGeom>
                  </pic:spPr>
                </pic:pic>
              </a:graphicData>
            </a:graphic>
          </wp:inline>
        </w:drawing>
      </w:r>
    </w:p>
    <w:sectPr w:rsidR="007E0470" w:rsidRPr="007E0482" w:rsidSect="00394E2C">
      <w:headerReference w:type="default" r:id="rId12"/>
      <w:footerReference w:type="default" r:id="rId1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6553" w14:textId="77777777" w:rsidR="00CC5E44" w:rsidRDefault="00CC5E44" w:rsidP="00A16498">
      <w:r>
        <w:separator/>
      </w:r>
    </w:p>
  </w:endnote>
  <w:endnote w:type="continuationSeparator" w:id="0">
    <w:p w14:paraId="4AE59F30" w14:textId="77777777" w:rsidR="00CC5E44" w:rsidRDefault="00CC5E44" w:rsidP="00A1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6569" w14:textId="77777777" w:rsidR="00CC5E44" w:rsidRDefault="00CC5E44" w:rsidP="00A16498">
      <w:r>
        <w:separator/>
      </w:r>
    </w:p>
  </w:footnote>
  <w:footnote w:type="continuationSeparator" w:id="0">
    <w:p w14:paraId="00DC51E9" w14:textId="77777777" w:rsidR="00CC5E44" w:rsidRDefault="00CC5E44" w:rsidP="00A1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45DC4AF7" w:rsidR="00A16498" w:rsidRDefault="00C6544D">
    <w:pPr>
      <w:pStyle w:val="Header"/>
    </w:pPr>
    <w:r>
      <w:rPr>
        <w:noProof/>
      </w:rPr>
      <mc:AlternateContent>
        <mc:Choice Requires="wps">
          <w:drawing>
            <wp:anchor distT="0" distB="0" distL="114300" distR="114300" simplePos="0" relativeHeight="251659264" behindDoc="0" locked="0" layoutInCell="1" allowOverlap="1" wp14:anchorId="2F34C4BE" wp14:editId="1229E43B">
              <wp:simplePos x="0" y="0"/>
              <wp:positionH relativeFrom="column">
                <wp:posOffset>-19105</wp:posOffset>
              </wp:positionH>
              <wp:positionV relativeFrom="paragraph">
                <wp:posOffset>-229815</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27BD5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0E5D9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2F34C4BE" id="Rectangle 197" o:spid="_x0000_s1026" style="position:absolute;margin-left:-1.5pt;margin-top:-18.1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onVA6+YAAAAOAQAADwAAAAAAAAAAAAAAAABpBAAAZHJzL2Rvd25yZXYueG1sUEsFBgAA&#13;&#10;AAAEAAQA8wAAAHw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27BD5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0E5D9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010B"/>
    <w:rsid w:val="000130DA"/>
    <w:rsid w:val="0001640D"/>
    <w:rsid w:val="0003682C"/>
    <w:rsid w:val="00043A31"/>
    <w:rsid w:val="00051C17"/>
    <w:rsid w:val="00064FEE"/>
    <w:rsid w:val="00066B49"/>
    <w:rsid w:val="00091CBC"/>
    <w:rsid w:val="00094DB8"/>
    <w:rsid w:val="00096C64"/>
    <w:rsid w:val="00097114"/>
    <w:rsid w:val="000B12B2"/>
    <w:rsid w:val="000C2189"/>
    <w:rsid w:val="000D0162"/>
    <w:rsid w:val="000E3AA1"/>
    <w:rsid w:val="000E5D92"/>
    <w:rsid w:val="0010059F"/>
    <w:rsid w:val="001142E1"/>
    <w:rsid w:val="00127C75"/>
    <w:rsid w:val="00154D3A"/>
    <w:rsid w:val="00166F8C"/>
    <w:rsid w:val="0018402F"/>
    <w:rsid w:val="001862CD"/>
    <w:rsid w:val="00186E9A"/>
    <w:rsid w:val="001B0238"/>
    <w:rsid w:val="001B254A"/>
    <w:rsid w:val="001C735E"/>
    <w:rsid w:val="001E0DFE"/>
    <w:rsid w:val="001F03E5"/>
    <w:rsid w:val="00205A97"/>
    <w:rsid w:val="002264D5"/>
    <w:rsid w:val="00226854"/>
    <w:rsid w:val="002315D1"/>
    <w:rsid w:val="00243727"/>
    <w:rsid w:val="00244C29"/>
    <w:rsid w:val="00251462"/>
    <w:rsid w:val="002623CE"/>
    <w:rsid w:val="002755E8"/>
    <w:rsid w:val="00285A4D"/>
    <w:rsid w:val="002872AA"/>
    <w:rsid w:val="00293C76"/>
    <w:rsid w:val="002A2EFC"/>
    <w:rsid w:val="002B3B92"/>
    <w:rsid w:val="002D54CA"/>
    <w:rsid w:val="002E129F"/>
    <w:rsid w:val="002E308D"/>
    <w:rsid w:val="002E52C8"/>
    <w:rsid w:val="002F1150"/>
    <w:rsid w:val="002F4320"/>
    <w:rsid w:val="003000AD"/>
    <w:rsid w:val="00300310"/>
    <w:rsid w:val="00312417"/>
    <w:rsid w:val="00316B3B"/>
    <w:rsid w:val="0032171F"/>
    <w:rsid w:val="00321ABF"/>
    <w:rsid w:val="00324E6F"/>
    <w:rsid w:val="00326871"/>
    <w:rsid w:val="0033415B"/>
    <w:rsid w:val="00336CCD"/>
    <w:rsid w:val="00341111"/>
    <w:rsid w:val="00350FF3"/>
    <w:rsid w:val="0035291E"/>
    <w:rsid w:val="00394E2C"/>
    <w:rsid w:val="003A03D4"/>
    <w:rsid w:val="003B0285"/>
    <w:rsid w:val="003C19F1"/>
    <w:rsid w:val="003C2A0A"/>
    <w:rsid w:val="003C4D59"/>
    <w:rsid w:val="003D1D28"/>
    <w:rsid w:val="003D3F93"/>
    <w:rsid w:val="003D6244"/>
    <w:rsid w:val="003E20F7"/>
    <w:rsid w:val="003F04AD"/>
    <w:rsid w:val="003F3DB9"/>
    <w:rsid w:val="003F558A"/>
    <w:rsid w:val="00401724"/>
    <w:rsid w:val="004040A0"/>
    <w:rsid w:val="00406D94"/>
    <w:rsid w:val="004106B2"/>
    <w:rsid w:val="00412A17"/>
    <w:rsid w:val="00417728"/>
    <w:rsid w:val="00446909"/>
    <w:rsid w:val="004473AC"/>
    <w:rsid w:val="00452576"/>
    <w:rsid w:val="0045428A"/>
    <w:rsid w:val="004869B5"/>
    <w:rsid w:val="004B2CF8"/>
    <w:rsid w:val="004B503D"/>
    <w:rsid w:val="004C384A"/>
    <w:rsid w:val="004D066C"/>
    <w:rsid w:val="004D7E13"/>
    <w:rsid w:val="00502223"/>
    <w:rsid w:val="00502CA5"/>
    <w:rsid w:val="005176D3"/>
    <w:rsid w:val="00521583"/>
    <w:rsid w:val="005234DA"/>
    <w:rsid w:val="00550360"/>
    <w:rsid w:val="00552CC5"/>
    <w:rsid w:val="00577DC4"/>
    <w:rsid w:val="00585D3F"/>
    <w:rsid w:val="00587046"/>
    <w:rsid w:val="005A48DB"/>
    <w:rsid w:val="005B5B4F"/>
    <w:rsid w:val="005C3245"/>
    <w:rsid w:val="005E3A1D"/>
    <w:rsid w:val="005E4F51"/>
    <w:rsid w:val="005F3158"/>
    <w:rsid w:val="005F31E4"/>
    <w:rsid w:val="005F743E"/>
    <w:rsid w:val="006129E1"/>
    <w:rsid w:val="00625543"/>
    <w:rsid w:val="00641C49"/>
    <w:rsid w:val="00643E43"/>
    <w:rsid w:val="00645D4D"/>
    <w:rsid w:val="006535AF"/>
    <w:rsid w:val="00655924"/>
    <w:rsid w:val="006637E7"/>
    <w:rsid w:val="006648F3"/>
    <w:rsid w:val="00665334"/>
    <w:rsid w:val="00693E85"/>
    <w:rsid w:val="006A1F72"/>
    <w:rsid w:val="006A5D3E"/>
    <w:rsid w:val="006C05DD"/>
    <w:rsid w:val="006C282F"/>
    <w:rsid w:val="006D2758"/>
    <w:rsid w:val="006D62E2"/>
    <w:rsid w:val="006E379F"/>
    <w:rsid w:val="006E5D07"/>
    <w:rsid w:val="006F6FA6"/>
    <w:rsid w:val="00710077"/>
    <w:rsid w:val="00711DD6"/>
    <w:rsid w:val="0071390E"/>
    <w:rsid w:val="00731D4C"/>
    <w:rsid w:val="007405CA"/>
    <w:rsid w:val="0075009E"/>
    <w:rsid w:val="00751FEE"/>
    <w:rsid w:val="007722E4"/>
    <w:rsid w:val="007731E0"/>
    <w:rsid w:val="0077649B"/>
    <w:rsid w:val="00777D73"/>
    <w:rsid w:val="00786A93"/>
    <w:rsid w:val="007876D7"/>
    <w:rsid w:val="007B4CE7"/>
    <w:rsid w:val="007B62D0"/>
    <w:rsid w:val="007C7EC6"/>
    <w:rsid w:val="007E0470"/>
    <w:rsid w:val="007E0482"/>
    <w:rsid w:val="00801D2A"/>
    <w:rsid w:val="00811258"/>
    <w:rsid w:val="008118AB"/>
    <w:rsid w:val="00811E21"/>
    <w:rsid w:val="00812A6E"/>
    <w:rsid w:val="0081558C"/>
    <w:rsid w:val="00817FE3"/>
    <w:rsid w:val="00835434"/>
    <w:rsid w:val="0087492A"/>
    <w:rsid w:val="00892AFE"/>
    <w:rsid w:val="008938D8"/>
    <w:rsid w:val="00897DA2"/>
    <w:rsid w:val="008A2D17"/>
    <w:rsid w:val="008C0BF5"/>
    <w:rsid w:val="008D0F83"/>
    <w:rsid w:val="00901753"/>
    <w:rsid w:val="00904FB0"/>
    <w:rsid w:val="009115ED"/>
    <w:rsid w:val="00921C7A"/>
    <w:rsid w:val="00922547"/>
    <w:rsid w:val="0093412E"/>
    <w:rsid w:val="009437E1"/>
    <w:rsid w:val="009462E3"/>
    <w:rsid w:val="0095183F"/>
    <w:rsid w:val="00973005"/>
    <w:rsid w:val="009955C7"/>
    <w:rsid w:val="009A313D"/>
    <w:rsid w:val="009B1DAB"/>
    <w:rsid w:val="009B288F"/>
    <w:rsid w:val="009C78DB"/>
    <w:rsid w:val="009E1B56"/>
    <w:rsid w:val="009E2880"/>
    <w:rsid w:val="009F3778"/>
    <w:rsid w:val="00A0246B"/>
    <w:rsid w:val="00A0489F"/>
    <w:rsid w:val="00A16498"/>
    <w:rsid w:val="00A43B8A"/>
    <w:rsid w:val="00A47373"/>
    <w:rsid w:val="00A60305"/>
    <w:rsid w:val="00A65EF1"/>
    <w:rsid w:val="00A70DB0"/>
    <w:rsid w:val="00A71627"/>
    <w:rsid w:val="00A7340F"/>
    <w:rsid w:val="00A82517"/>
    <w:rsid w:val="00A8613E"/>
    <w:rsid w:val="00A91327"/>
    <w:rsid w:val="00A9525E"/>
    <w:rsid w:val="00AB7B37"/>
    <w:rsid w:val="00AC540F"/>
    <w:rsid w:val="00AC6984"/>
    <w:rsid w:val="00AD4D6F"/>
    <w:rsid w:val="00AE4ADB"/>
    <w:rsid w:val="00B226B4"/>
    <w:rsid w:val="00B240EC"/>
    <w:rsid w:val="00B611AF"/>
    <w:rsid w:val="00B61F53"/>
    <w:rsid w:val="00B65E26"/>
    <w:rsid w:val="00B71970"/>
    <w:rsid w:val="00B71AFF"/>
    <w:rsid w:val="00B9078C"/>
    <w:rsid w:val="00B92C33"/>
    <w:rsid w:val="00B96E45"/>
    <w:rsid w:val="00BA131C"/>
    <w:rsid w:val="00BA2D2D"/>
    <w:rsid w:val="00BA31F0"/>
    <w:rsid w:val="00BB0738"/>
    <w:rsid w:val="00BB2B08"/>
    <w:rsid w:val="00BC246A"/>
    <w:rsid w:val="00BC6158"/>
    <w:rsid w:val="00BC65E6"/>
    <w:rsid w:val="00BE1DBC"/>
    <w:rsid w:val="00BF7E7C"/>
    <w:rsid w:val="00C60D72"/>
    <w:rsid w:val="00C61F43"/>
    <w:rsid w:val="00C6243D"/>
    <w:rsid w:val="00C62EE7"/>
    <w:rsid w:val="00C6544D"/>
    <w:rsid w:val="00C66277"/>
    <w:rsid w:val="00C80718"/>
    <w:rsid w:val="00C82447"/>
    <w:rsid w:val="00C92612"/>
    <w:rsid w:val="00C97007"/>
    <w:rsid w:val="00CA2951"/>
    <w:rsid w:val="00CB2C53"/>
    <w:rsid w:val="00CB33EB"/>
    <w:rsid w:val="00CB7037"/>
    <w:rsid w:val="00CC5E44"/>
    <w:rsid w:val="00CD28B5"/>
    <w:rsid w:val="00CD456A"/>
    <w:rsid w:val="00CE792B"/>
    <w:rsid w:val="00CF0113"/>
    <w:rsid w:val="00CF3CDF"/>
    <w:rsid w:val="00D06DF0"/>
    <w:rsid w:val="00D46241"/>
    <w:rsid w:val="00D50284"/>
    <w:rsid w:val="00D60D08"/>
    <w:rsid w:val="00D712E2"/>
    <w:rsid w:val="00D73C96"/>
    <w:rsid w:val="00D83AF0"/>
    <w:rsid w:val="00D91EFF"/>
    <w:rsid w:val="00DA435D"/>
    <w:rsid w:val="00DA5978"/>
    <w:rsid w:val="00DA7F3E"/>
    <w:rsid w:val="00DC007C"/>
    <w:rsid w:val="00DC15FA"/>
    <w:rsid w:val="00DE1232"/>
    <w:rsid w:val="00DE5850"/>
    <w:rsid w:val="00DF22B1"/>
    <w:rsid w:val="00DF43ED"/>
    <w:rsid w:val="00E05C13"/>
    <w:rsid w:val="00E105D5"/>
    <w:rsid w:val="00E14674"/>
    <w:rsid w:val="00E15391"/>
    <w:rsid w:val="00E2516C"/>
    <w:rsid w:val="00E47BD3"/>
    <w:rsid w:val="00E70A01"/>
    <w:rsid w:val="00E73942"/>
    <w:rsid w:val="00E74F88"/>
    <w:rsid w:val="00E80FEE"/>
    <w:rsid w:val="00E81BEB"/>
    <w:rsid w:val="00E9330A"/>
    <w:rsid w:val="00EA0348"/>
    <w:rsid w:val="00EA394D"/>
    <w:rsid w:val="00EA5868"/>
    <w:rsid w:val="00EC1345"/>
    <w:rsid w:val="00EE1B27"/>
    <w:rsid w:val="00EF2C6C"/>
    <w:rsid w:val="00EF4A34"/>
    <w:rsid w:val="00EF6F3E"/>
    <w:rsid w:val="00F00920"/>
    <w:rsid w:val="00F023E6"/>
    <w:rsid w:val="00F2162A"/>
    <w:rsid w:val="00F601BB"/>
    <w:rsid w:val="00F62D36"/>
    <w:rsid w:val="00F6689D"/>
    <w:rsid w:val="00F90C5E"/>
    <w:rsid w:val="00F976EA"/>
    <w:rsid w:val="00FA44C1"/>
    <w:rsid w:val="00FA542E"/>
    <w:rsid w:val="00FB6FD9"/>
    <w:rsid w:val="00FC76E4"/>
    <w:rsid w:val="00FD0ABD"/>
    <w:rsid w:val="00FD7D3E"/>
    <w:rsid w:val="00FE6249"/>
    <w:rsid w:val="00FF0820"/>
    <w:rsid w:val="00FF0901"/>
    <w:rsid w:val="00FF1D16"/>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E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637E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rPr>
      <w:rFonts w:ascii="Calibri" w:eastAsia="Calibri" w:hAnsi="Calibri"/>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693E85"/>
    <w:pPr>
      <w:spacing w:before="100" w:beforeAutospacing="1" w:after="100" w:afterAutospacing="1"/>
    </w:pPr>
  </w:style>
  <w:style w:type="character" w:styleId="Hyperlink">
    <w:name w:val="Hyperlink"/>
    <w:basedOn w:val="DefaultParagraphFont"/>
    <w:uiPriority w:val="99"/>
    <w:unhideWhenUsed/>
    <w:rsid w:val="00693E85"/>
    <w:rPr>
      <w:color w:val="0000FF"/>
      <w:u w:val="single"/>
    </w:rPr>
  </w:style>
  <w:style w:type="character" w:styleId="UnresolvedMention">
    <w:name w:val="Unresolved Mention"/>
    <w:basedOn w:val="DefaultParagraphFont"/>
    <w:uiPriority w:val="99"/>
    <w:semiHidden/>
    <w:unhideWhenUsed/>
    <w:rsid w:val="00066B49"/>
    <w:rPr>
      <w:color w:val="605E5C"/>
      <w:shd w:val="clear" w:color="auto" w:fill="E1DFDD"/>
    </w:rPr>
  </w:style>
  <w:style w:type="table" w:styleId="TableGrid">
    <w:name w:val="Table Grid"/>
    <w:basedOn w:val="TableNormal"/>
    <w:uiPriority w:val="59"/>
    <w:rsid w:val="00B2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94D"/>
    <w:rPr>
      <w:sz w:val="16"/>
      <w:szCs w:val="16"/>
    </w:rPr>
  </w:style>
  <w:style w:type="paragraph" w:styleId="CommentText">
    <w:name w:val="annotation text"/>
    <w:basedOn w:val="Normal"/>
    <w:link w:val="CommentTextChar"/>
    <w:uiPriority w:val="99"/>
    <w:unhideWhenUsed/>
    <w:rsid w:val="00EA394D"/>
    <w:rPr>
      <w:sz w:val="20"/>
      <w:szCs w:val="20"/>
    </w:rPr>
  </w:style>
  <w:style w:type="character" w:customStyle="1" w:styleId="CommentTextChar">
    <w:name w:val="Comment Text Char"/>
    <w:basedOn w:val="DefaultParagraphFont"/>
    <w:link w:val="CommentText"/>
    <w:uiPriority w:val="99"/>
    <w:rsid w:val="00EA39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94D"/>
    <w:rPr>
      <w:b/>
      <w:bCs/>
    </w:rPr>
  </w:style>
  <w:style w:type="character" w:customStyle="1" w:styleId="CommentSubjectChar">
    <w:name w:val="Comment Subject Char"/>
    <w:basedOn w:val="CommentTextChar"/>
    <w:link w:val="CommentSubject"/>
    <w:uiPriority w:val="99"/>
    <w:semiHidden/>
    <w:rsid w:val="00EA394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1640D"/>
    <w:rPr>
      <w:color w:val="666666"/>
    </w:rPr>
  </w:style>
  <w:style w:type="paragraph" w:styleId="Revision">
    <w:name w:val="Revision"/>
    <w:hidden/>
    <w:uiPriority w:val="99"/>
    <w:semiHidden/>
    <w:rsid w:val="007100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18166">
      <w:bodyDiv w:val="1"/>
      <w:marLeft w:val="0"/>
      <w:marRight w:val="0"/>
      <w:marTop w:val="0"/>
      <w:marBottom w:val="0"/>
      <w:divBdr>
        <w:top w:val="none" w:sz="0" w:space="0" w:color="auto"/>
        <w:left w:val="none" w:sz="0" w:space="0" w:color="auto"/>
        <w:bottom w:val="none" w:sz="0" w:space="0" w:color="auto"/>
        <w:right w:val="none" w:sz="0" w:space="0" w:color="auto"/>
      </w:divBdr>
    </w:div>
    <w:div w:id="20894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126/science.171.3972.7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Samantha Zakrzewski</cp:lastModifiedBy>
  <cp:revision>2</cp:revision>
  <dcterms:created xsi:type="dcterms:W3CDTF">2024-10-21T15:23:00Z</dcterms:created>
  <dcterms:modified xsi:type="dcterms:W3CDTF">2024-10-21T15:23:00Z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