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8077C7" w14:textId="77777777" w:rsidR="00EA3A89"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Spatial Abilities in Aging Adults with Down Syndrome: Normative Aging and Implications for Dementia</w:t>
      </w:r>
    </w:p>
    <w:p w14:paraId="1D7FC63E" w14:textId="77777777" w:rsidR="00EA3A89" w:rsidRDefault="00000000">
      <w:pPr>
        <w:spacing w:after="200"/>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Authors</w:t>
      </w:r>
      <w:r>
        <w:rPr>
          <w:rFonts w:ascii="Times New Roman" w:eastAsia="Times New Roman" w:hAnsi="Times New Roman" w:cs="Times New Roman"/>
          <w:sz w:val="24"/>
          <w:szCs w:val="24"/>
        </w:rPr>
        <w:t>: Sonia Conde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Romal</w:t>
      </w:r>
      <w:proofErr w:type="spellEnd"/>
      <w:r>
        <w:rPr>
          <w:rFonts w:ascii="Times New Roman" w:eastAsia="Times New Roman" w:hAnsi="Times New Roman" w:cs="Times New Roman"/>
          <w:sz w:val="24"/>
          <w:szCs w:val="24"/>
        </w:rPr>
        <w:t xml:space="preserve"> Bhullar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&amp; Dr. Yingying Yang</w:t>
      </w:r>
      <w:r>
        <w:rPr>
          <w:rFonts w:ascii="Times New Roman" w:eastAsia="Times New Roman" w:hAnsi="Times New Roman" w:cs="Times New Roman"/>
          <w:sz w:val="24"/>
          <w:szCs w:val="24"/>
          <w:vertAlign w:val="superscript"/>
        </w:rPr>
        <w:t>1</w:t>
      </w:r>
    </w:p>
    <w:p w14:paraId="49E4EDCC" w14:textId="77777777" w:rsidR="00EA3A89"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People with Down syndrome (DS) have a higher likelihood of developing Alzheimer’s Disease (AD). Previous research has shown that deficits in spatial abilities could serve as predictors of early stages of AD (Mandal et al., 2012). Here, we aimed to examine the normative development of spatial abilities in individuals with DS and whether different spatial tasks could differentiate the different stages of dementia (i.e., cognitively stable (CS), mild cognitive impairment (MCI), and dementia). </w:t>
      </w:r>
    </w:p>
    <w:p w14:paraId="6E838A91" w14:textId="77777777" w:rsidR="00EA3A89"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w:t>
      </w:r>
      <w:r>
        <w:rPr>
          <w:rFonts w:ascii="Times New Roman" w:eastAsia="Times New Roman" w:hAnsi="Times New Roman" w:cs="Times New Roman"/>
          <w:sz w:val="24"/>
          <w:szCs w:val="24"/>
        </w:rPr>
        <w:t>: This study used the dataset from the ABC-DS project, a large-scale longitudinal study that tracks cognitive and health outcomes in individuals with DS across the lifespan (</w:t>
      </w:r>
      <w:proofErr w:type="spellStart"/>
      <w:r>
        <w:rPr>
          <w:rFonts w:ascii="Times New Roman" w:eastAsia="Times New Roman" w:hAnsi="Times New Roman" w:cs="Times New Roman"/>
          <w:sz w:val="24"/>
          <w:szCs w:val="24"/>
        </w:rPr>
        <w:t>Handen</w:t>
      </w:r>
      <w:proofErr w:type="spellEnd"/>
      <w:r>
        <w:rPr>
          <w:rFonts w:ascii="Times New Roman" w:eastAsia="Times New Roman" w:hAnsi="Times New Roman" w:cs="Times New Roman"/>
          <w:sz w:val="24"/>
          <w:szCs w:val="24"/>
        </w:rPr>
        <w:t xml:space="preserve"> et al., 2020). The sample consisted of 376 participants with DS (204 males; 359 Caucasian; 362 non-Hispanic), with a mean age of 45.34 years old (SD = 9.86; range = 25 to 81). An expert committee classified the participants into four groups: 259 CS (no MCI/dementia), 53 with MCI, 45 with dementia, and 19 as undetermined. Relevant to the current study, we focused on two spatial construction tasks (Block design, Down Syndrome Mental Status Exam (DSMSE -Visuospatial)), a spatial-motor integration task (the Beery Buktenica Developmental Test of Visual Motor Integration or VMI), and a spatial memory task (DSMSE-Memory). The total scores of DSMSE were used to indicate general cognitive ability (</w:t>
      </w:r>
      <w:proofErr w:type="spellStart"/>
      <w:r>
        <w:rPr>
          <w:rFonts w:ascii="Times New Roman" w:eastAsia="Times New Roman" w:hAnsi="Times New Roman" w:cs="Times New Roman"/>
          <w:sz w:val="24"/>
          <w:szCs w:val="24"/>
        </w:rPr>
        <w:t>Krinsky</w:t>
      </w:r>
      <w:proofErr w:type="spellEnd"/>
      <w:r>
        <w:rPr>
          <w:rFonts w:ascii="Times New Roman" w:eastAsia="Times New Roman" w:hAnsi="Times New Roman" w:cs="Times New Roman"/>
          <w:sz w:val="24"/>
          <w:szCs w:val="24"/>
        </w:rPr>
        <w:t>-McHale et al., 2020).</w:t>
      </w:r>
    </w:p>
    <w:p w14:paraId="4767C640" w14:textId="77777777" w:rsidR="00EA3A89"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After accounting for general cognitive ability and intellectual impairment level, hierarchical regressions showed that age was a significant predictor for VMI and DSMSE-memory but not for Block Design or DSMSE-spatial. See Table 1. After excluding the “undetermined” group, one-way ANOVAs showed significant differences between groups on all spatial tasks. We then evaluated the discriminative sensitivities of four spatial tasks in distinguishing between CS, MCI, and dementia groups using ROC (Receiver Operating Characteristic) analyses. DSMSE-memory had the highest predictive power for differentiating between groups, especially between the CS and dementia groups (AUC = .921). The combined models had the highest AUC, yet Delong’s test found that the combined models did not differ from the individual models of DSMSE-memory. See Table 2. </w:t>
      </w:r>
    </w:p>
    <w:p w14:paraId="732D5C8A" w14:textId="77777777" w:rsidR="00EA3A89"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w:t>
      </w:r>
      <w:r>
        <w:rPr>
          <w:rFonts w:ascii="Times New Roman" w:eastAsia="Times New Roman" w:hAnsi="Times New Roman" w:cs="Times New Roman"/>
          <w:sz w:val="24"/>
          <w:szCs w:val="24"/>
        </w:rPr>
        <w:t>Spatial abilities in adults with DS showed different sensitivities to age. More specifically, spatial-motor integration and spatial memory are more susceptible to age-related declines but not for visuospatial construction. Spatial memory showed the best discriminative ability to differentiate between groups suggesting that it could serve as a valuable tool for detecting early markers of cognitive decline in adults with DS. Future research should continue to refine spatial assessments as diagnostic tools and explore the efficacy of interventions aimed at preserving and enhancing cognitive function, including spatial cognition, for aging adults with DS.</w:t>
      </w:r>
    </w:p>
    <w:p w14:paraId="2E440B6D"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 Hierarchical Regression Results</w:t>
      </w:r>
    </w:p>
    <w:tbl>
      <w:tblPr>
        <w:tblStyle w:val="a"/>
        <w:tblW w:w="9420" w:type="dxa"/>
        <w:tblInd w:w="-345" w:type="dxa"/>
        <w:tblBorders>
          <w:top w:val="nil"/>
          <w:left w:val="nil"/>
          <w:bottom w:val="nil"/>
          <w:right w:val="nil"/>
          <w:insideH w:val="nil"/>
          <w:insideV w:val="nil"/>
        </w:tblBorders>
        <w:tblLayout w:type="fixed"/>
        <w:tblLook w:val="0600" w:firstRow="0" w:lastRow="0" w:firstColumn="0" w:lastColumn="0" w:noHBand="1" w:noVBand="1"/>
      </w:tblPr>
      <w:tblGrid>
        <w:gridCol w:w="1920"/>
        <w:gridCol w:w="975"/>
        <w:gridCol w:w="2145"/>
        <w:gridCol w:w="720"/>
        <w:gridCol w:w="720"/>
        <w:gridCol w:w="810"/>
        <w:gridCol w:w="1125"/>
        <w:gridCol w:w="1005"/>
      </w:tblGrid>
      <w:tr w:rsidR="00EA3A89" w14:paraId="5D584E0F" w14:textId="77777777">
        <w:trPr>
          <w:trHeight w:val="345"/>
        </w:trPr>
        <w:tc>
          <w:tcPr>
            <w:tcW w:w="1920" w:type="dxa"/>
            <w:tcBorders>
              <w:top w:val="single" w:sz="8" w:space="0" w:color="000000"/>
              <w:left w:val="nil"/>
              <w:bottom w:val="single" w:sz="8" w:space="0" w:color="000000"/>
              <w:right w:val="nil"/>
            </w:tcBorders>
            <w:tcMar>
              <w:top w:w="0" w:type="dxa"/>
              <w:left w:w="0" w:type="dxa"/>
              <w:bottom w:w="0" w:type="dxa"/>
              <w:right w:w="0" w:type="dxa"/>
            </w:tcMar>
          </w:tcPr>
          <w:p w14:paraId="037720A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DV</w:t>
            </w:r>
          </w:p>
        </w:tc>
        <w:tc>
          <w:tcPr>
            <w:tcW w:w="975" w:type="dxa"/>
            <w:tcBorders>
              <w:top w:val="single" w:sz="8" w:space="0" w:color="000000"/>
              <w:left w:val="nil"/>
              <w:bottom w:val="single" w:sz="8" w:space="0" w:color="000000"/>
              <w:right w:val="nil"/>
            </w:tcBorders>
            <w:tcMar>
              <w:top w:w="0" w:type="dxa"/>
              <w:left w:w="0" w:type="dxa"/>
              <w:bottom w:w="0" w:type="dxa"/>
              <w:right w:w="0" w:type="dxa"/>
            </w:tcMar>
          </w:tcPr>
          <w:p w14:paraId="0C2C6829"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2145" w:type="dxa"/>
            <w:tcBorders>
              <w:top w:val="single" w:sz="8" w:space="0" w:color="000000"/>
              <w:left w:val="nil"/>
              <w:bottom w:val="single" w:sz="8" w:space="0" w:color="000000"/>
              <w:right w:val="nil"/>
            </w:tcBorders>
            <w:tcMar>
              <w:top w:w="0" w:type="dxa"/>
              <w:left w:w="0" w:type="dxa"/>
              <w:bottom w:w="0" w:type="dxa"/>
              <w:right w:w="0" w:type="dxa"/>
            </w:tcMar>
          </w:tcPr>
          <w:p w14:paraId="1EA496EF" w14:textId="77777777" w:rsidR="00EA3A89" w:rsidRDefault="00EA3A89">
            <w:pPr>
              <w:spacing w:before="240" w:line="240" w:lineRule="auto"/>
              <w:rPr>
                <w:rFonts w:ascii="Times New Roman" w:eastAsia="Times New Roman" w:hAnsi="Times New Roman" w:cs="Times New Roman"/>
                <w:sz w:val="24"/>
                <w:szCs w:val="24"/>
              </w:rPr>
            </w:pPr>
          </w:p>
        </w:tc>
        <w:tc>
          <w:tcPr>
            <w:tcW w:w="720" w:type="dxa"/>
            <w:tcBorders>
              <w:top w:val="single" w:sz="8" w:space="0" w:color="000000"/>
              <w:left w:val="nil"/>
              <w:bottom w:val="single" w:sz="8" w:space="0" w:color="000000"/>
              <w:right w:val="nil"/>
            </w:tcBorders>
            <w:tcMar>
              <w:top w:w="0" w:type="dxa"/>
              <w:left w:w="0" w:type="dxa"/>
              <w:bottom w:w="0" w:type="dxa"/>
              <w:right w:w="0" w:type="dxa"/>
            </w:tcMar>
          </w:tcPr>
          <w:p w14:paraId="2B3EFE7B"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β</w:t>
            </w:r>
          </w:p>
        </w:tc>
        <w:tc>
          <w:tcPr>
            <w:tcW w:w="720" w:type="dxa"/>
            <w:tcBorders>
              <w:top w:val="single" w:sz="8" w:space="0" w:color="000000"/>
              <w:left w:val="nil"/>
              <w:bottom w:val="single" w:sz="8" w:space="0" w:color="000000"/>
              <w:right w:val="nil"/>
            </w:tcBorders>
            <w:tcMar>
              <w:top w:w="0" w:type="dxa"/>
              <w:left w:w="0" w:type="dxa"/>
              <w:bottom w:w="0" w:type="dxa"/>
              <w:right w:w="0" w:type="dxa"/>
            </w:tcMar>
            <w:vAlign w:val="bottom"/>
          </w:tcPr>
          <w:p w14:paraId="2AB57C3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810" w:type="dxa"/>
            <w:tcBorders>
              <w:top w:val="single" w:sz="8" w:space="0" w:color="000000"/>
              <w:left w:val="nil"/>
              <w:bottom w:val="single" w:sz="8" w:space="0" w:color="000000"/>
              <w:right w:val="nil"/>
            </w:tcBorders>
            <w:tcMar>
              <w:top w:w="0" w:type="dxa"/>
              <w:left w:w="0" w:type="dxa"/>
              <w:bottom w:w="0" w:type="dxa"/>
              <w:right w:w="0" w:type="dxa"/>
            </w:tcMar>
            <w:vAlign w:val="bottom"/>
          </w:tcPr>
          <w:p w14:paraId="0F6C1BE9"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1125" w:type="dxa"/>
            <w:tcBorders>
              <w:top w:val="single" w:sz="8" w:space="0" w:color="000000"/>
              <w:left w:val="nil"/>
              <w:bottom w:val="single" w:sz="8" w:space="0" w:color="000000"/>
              <w:right w:val="nil"/>
            </w:tcBorders>
            <w:tcMar>
              <w:top w:w="0" w:type="dxa"/>
              <w:left w:w="0" w:type="dxa"/>
              <w:bottom w:w="0" w:type="dxa"/>
              <w:right w:w="0" w:type="dxa"/>
            </w:tcMar>
          </w:tcPr>
          <w:p w14:paraId="417774C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005" w:type="dxa"/>
            <w:tcBorders>
              <w:top w:val="single" w:sz="8" w:space="0" w:color="000000"/>
              <w:left w:val="nil"/>
              <w:bottom w:val="single" w:sz="8" w:space="0" w:color="000000"/>
              <w:right w:val="nil"/>
            </w:tcBorders>
            <w:tcMar>
              <w:top w:w="0" w:type="dxa"/>
              <w:left w:w="0" w:type="dxa"/>
              <w:bottom w:w="0" w:type="dxa"/>
              <w:right w:w="0" w:type="dxa"/>
            </w:tcMar>
          </w:tcPr>
          <w:p w14:paraId="1EC742BF" w14:textId="77777777" w:rsidR="00EA3A89" w:rsidRDefault="00000000">
            <w:pPr>
              <w:spacing w:before="240" w:line="240" w:lineRule="auto"/>
              <w:rPr>
                <w:rFonts w:ascii="Times New Roman" w:eastAsia="Times New Roman" w:hAnsi="Times New Roman" w:cs="Times New Roman"/>
                <w:sz w:val="24"/>
                <w:szCs w:val="24"/>
              </w:rPr>
            </w:pPr>
            <w:r>
              <w:rPr>
                <w:rFonts w:ascii="Gungsuh" w:eastAsia="Gungsuh" w:hAnsi="Gungsuh" w:cs="Gungsuh"/>
                <w:sz w:val="24"/>
                <w:szCs w:val="24"/>
              </w:rPr>
              <w:t>∆R</w:t>
            </w:r>
            <w:r>
              <w:rPr>
                <w:rFonts w:ascii="Times New Roman" w:eastAsia="Times New Roman" w:hAnsi="Times New Roman" w:cs="Times New Roman"/>
                <w:sz w:val="24"/>
                <w:szCs w:val="24"/>
                <w:vertAlign w:val="superscript"/>
              </w:rPr>
              <w:t>2</w:t>
            </w:r>
          </w:p>
        </w:tc>
      </w:tr>
      <w:tr w:rsidR="00EA3A89" w14:paraId="194D547E" w14:textId="77777777">
        <w:trPr>
          <w:trHeight w:val="405"/>
        </w:trPr>
        <w:tc>
          <w:tcPr>
            <w:tcW w:w="1920" w:type="dxa"/>
            <w:tcBorders>
              <w:top w:val="nil"/>
              <w:left w:val="nil"/>
              <w:bottom w:val="nil"/>
              <w:right w:val="nil"/>
            </w:tcBorders>
            <w:tcMar>
              <w:top w:w="0" w:type="dxa"/>
              <w:left w:w="0" w:type="dxa"/>
              <w:bottom w:w="0" w:type="dxa"/>
              <w:right w:w="0" w:type="dxa"/>
            </w:tcMar>
          </w:tcPr>
          <w:p w14:paraId="1FB789E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Block Design</w:t>
            </w:r>
          </w:p>
        </w:tc>
        <w:tc>
          <w:tcPr>
            <w:tcW w:w="975" w:type="dxa"/>
            <w:vMerge w:val="restart"/>
            <w:tcBorders>
              <w:top w:val="nil"/>
              <w:left w:val="nil"/>
              <w:bottom w:val="nil"/>
              <w:right w:val="nil"/>
            </w:tcBorders>
            <w:tcMar>
              <w:top w:w="0" w:type="dxa"/>
              <w:left w:w="0" w:type="dxa"/>
              <w:bottom w:w="0" w:type="dxa"/>
              <w:right w:w="0" w:type="dxa"/>
            </w:tcMar>
          </w:tcPr>
          <w:p w14:paraId="5F31ADA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w:t>
            </w:r>
          </w:p>
        </w:tc>
        <w:tc>
          <w:tcPr>
            <w:tcW w:w="2145" w:type="dxa"/>
            <w:tcBorders>
              <w:top w:val="nil"/>
              <w:left w:val="nil"/>
              <w:bottom w:val="nil"/>
              <w:right w:val="nil"/>
            </w:tcBorders>
            <w:tcMar>
              <w:top w:w="0" w:type="dxa"/>
              <w:left w:w="0" w:type="dxa"/>
              <w:bottom w:w="0" w:type="dxa"/>
              <w:right w:w="0" w:type="dxa"/>
            </w:tcMar>
          </w:tcPr>
          <w:p w14:paraId="0FDF672A"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tcMar>
              <w:top w:w="0" w:type="dxa"/>
              <w:left w:w="0" w:type="dxa"/>
              <w:bottom w:w="0" w:type="dxa"/>
              <w:right w:w="0" w:type="dxa"/>
            </w:tcMar>
          </w:tcPr>
          <w:p w14:paraId="0885700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tcMar>
              <w:top w:w="0" w:type="dxa"/>
              <w:left w:w="0" w:type="dxa"/>
              <w:bottom w:w="0" w:type="dxa"/>
              <w:right w:w="0" w:type="dxa"/>
            </w:tcMar>
            <w:vAlign w:val="bottom"/>
          </w:tcPr>
          <w:p w14:paraId="0227981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tcBorders>
              <w:top w:val="nil"/>
              <w:left w:val="nil"/>
              <w:bottom w:val="nil"/>
              <w:right w:val="nil"/>
            </w:tcBorders>
            <w:tcMar>
              <w:top w:w="0" w:type="dxa"/>
              <w:left w:w="0" w:type="dxa"/>
              <w:bottom w:w="0" w:type="dxa"/>
              <w:right w:w="0" w:type="dxa"/>
            </w:tcMar>
            <w:vAlign w:val="bottom"/>
          </w:tcPr>
          <w:p w14:paraId="44031C4D"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5" w:type="dxa"/>
            <w:tcBorders>
              <w:top w:val="nil"/>
              <w:left w:val="nil"/>
              <w:bottom w:val="nil"/>
              <w:right w:val="nil"/>
            </w:tcBorders>
            <w:tcMar>
              <w:top w:w="0" w:type="dxa"/>
              <w:left w:w="0" w:type="dxa"/>
              <w:bottom w:w="0" w:type="dxa"/>
              <w:right w:w="0" w:type="dxa"/>
            </w:tcMar>
          </w:tcPr>
          <w:p w14:paraId="46617D4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05" w:type="dxa"/>
            <w:tcBorders>
              <w:top w:val="nil"/>
              <w:left w:val="nil"/>
              <w:bottom w:val="nil"/>
              <w:right w:val="nil"/>
            </w:tcBorders>
            <w:tcMar>
              <w:top w:w="0" w:type="dxa"/>
              <w:left w:w="0" w:type="dxa"/>
              <w:bottom w:w="0" w:type="dxa"/>
              <w:right w:w="0" w:type="dxa"/>
            </w:tcMar>
          </w:tcPr>
          <w:p w14:paraId="2511072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17B09403" w14:textId="77777777">
        <w:trPr>
          <w:trHeight w:val="360"/>
        </w:trPr>
        <w:tc>
          <w:tcPr>
            <w:tcW w:w="1920" w:type="dxa"/>
            <w:tcBorders>
              <w:top w:val="nil"/>
              <w:left w:val="nil"/>
              <w:bottom w:val="nil"/>
              <w:right w:val="nil"/>
            </w:tcBorders>
            <w:tcMar>
              <w:top w:w="0" w:type="dxa"/>
              <w:left w:w="0" w:type="dxa"/>
              <w:bottom w:w="0" w:type="dxa"/>
              <w:right w:w="0" w:type="dxa"/>
            </w:tcMar>
          </w:tcPr>
          <w:p w14:paraId="46AF250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482BC99E"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52E290F5"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 - Total</w:t>
            </w:r>
          </w:p>
        </w:tc>
        <w:tc>
          <w:tcPr>
            <w:tcW w:w="720" w:type="dxa"/>
            <w:tcBorders>
              <w:top w:val="nil"/>
              <w:left w:val="nil"/>
              <w:bottom w:val="nil"/>
              <w:right w:val="nil"/>
            </w:tcBorders>
            <w:shd w:val="clear" w:color="auto" w:fill="auto"/>
            <w:tcMar>
              <w:top w:w="0" w:type="dxa"/>
              <w:left w:w="0" w:type="dxa"/>
              <w:bottom w:w="0" w:type="dxa"/>
              <w:right w:w="0" w:type="dxa"/>
            </w:tcMar>
          </w:tcPr>
          <w:p w14:paraId="58DFE9A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.459</w:t>
            </w:r>
          </w:p>
        </w:tc>
        <w:tc>
          <w:tcPr>
            <w:tcW w:w="720" w:type="dxa"/>
            <w:tcBorders>
              <w:top w:val="nil"/>
              <w:left w:val="nil"/>
              <w:bottom w:val="nil"/>
              <w:right w:val="nil"/>
            </w:tcBorders>
            <w:shd w:val="clear" w:color="auto" w:fill="auto"/>
            <w:tcMar>
              <w:top w:w="0" w:type="dxa"/>
              <w:left w:w="0" w:type="dxa"/>
              <w:bottom w:w="0" w:type="dxa"/>
              <w:right w:w="0" w:type="dxa"/>
            </w:tcMar>
          </w:tcPr>
          <w:p w14:paraId="2114C0E2"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7.05</w:t>
            </w:r>
          </w:p>
        </w:tc>
        <w:tc>
          <w:tcPr>
            <w:tcW w:w="810" w:type="dxa"/>
            <w:tcBorders>
              <w:top w:val="nil"/>
              <w:left w:val="nil"/>
              <w:bottom w:val="nil"/>
              <w:right w:val="nil"/>
            </w:tcBorders>
            <w:shd w:val="clear" w:color="auto" w:fill="auto"/>
            <w:tcMar>
              <w:top w:w="0" w:type="dxa"/>
              <w:left w:w="0" w:type="dxa"/>
              <w:bottom w:w="0" w:type="dxa"/>
              <w:right w:w="0" w:type="dxa"/>
            </w:tcMar>
          </w:tcPr>
          <w:p w14:paraId="34385D91"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nil"/>
              <w:right w:val="nil"/>
            </w:tcBorders>
            <w:shd w:val="clear" w:color="auto" w:fill="auto"/>
            <w:tcMar>
              <w:top w:w="0" w:type="dxa"/>
              <w:left w:w="0" w:type="dxa"/>
              <w:bottom w:w="0" w:type="dxa"/>
              <w:right w:w="0" w:type="dxa"/>
            </w:tcMar>
          </w:tcPr>
          <w:p w14:paraId="716A57B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17B50C96"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74530AD4"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6C2AEF6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463065F1"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49C3A8B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level</w:t>
            </w:r>
          </w:p>
        </w:tc>
        <w:tc>
          <w:tcPr>
            <w:tcW w:w="720" w:type="dxa"/>
            <w:tcBorders>
              <w:top w:val="nil"/>
              <w:left w:val="nil"/>
              <w:bottom w:val="nil"/>
              <w:right w:val="nil"/>
            </w:tcBorders>
            <w:shd w:val="clear" w:color="auto" w:fill="auto"/>
            <w:tcMar>
              <w:top w:w="0" w:type="dxa"/>
              <w:left w:w="0" w:type="dxa"/>
              <w:bottom w:w="0" w:type="dxa"/>
              <w:right w:w="0" w:type="dxa"/>
            </w:tcMar>
          </w:tcPr>
          <w:p w14:paraId="722B557B"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720" w:type="dxa"/>
            <w:tcBorders>
              <w:top w:val="nil"/>
              <w:left w:val="nil"/>
              <w:bottom w:val="nil"/>
              <w:right w:val="nil"/>
            </w:tcBorders>
            <w:shd w:val="clear" w:color="auto" w:fill="auto"/>
            <w:tcMar>
              <w:top w:w="0" w:type="dxa"/>
              <w:left w:w="0" w:type="dxa"/>
              <w:bottom w:w="0" w:type="dxa"/>
              <w:right w:w="0" w:type="dxa"/>
            </w:tcMar>
          </w:tcPr>
          <w:p w14:paraId="037B3EF5"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810" w:type="dxa"/>
            <w:tcBorders>
              <w:top w:val="nil"/>
              <w:left w:val="nil"/>
              <w:bottom w:val="nil"/>
              <w:right w:val="nil"/>
            </w:tcBorders>
            <w:shd w:val="clear" w:color="auto" w:fill="auto"/>
            <w:tcMar>
              <w:top w:w="0" w:type="dxa"/>
              <w:left w:w="0" w:type="dxa"/>
              <w:bottom w:w="0" w:type="dxa"/>
              <w:right w:w="0" w:type="dxa"/>
            </w:tcMar>
          </w:tcPr>
          <w:p w14:paraId="2A2AE671"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.040</w:t>
            </w:r>
          </w:p>
        </w:tc>
        <w:tc>
          <w:tcPr>
            <w:tcW w:w="1125" w:type="dxa"/>
            <w:tcBorders>
              <w:top w:val="nil"/>
              <w:left w:val="nil"/>
              <w:bottom w:val="nil"/>
              <w:right w:val="nil"/>
            </w:tcBorders>
            <w:shd w:val="clear" w:color="auto" w:fill="auto"/>
            <w:tcMar>
              <w:top w:w="0" w:type="dxa"/>
              <w:left w:w="0" w:type="dxa"/>
              <w:bottom w:w="0" w:type="dxa"/>
              <w:right w:w="0" w:type="dxa"/>
            </w:tcMar>
          </w:tcPr>
          <w:p w14:paraId="4AD741AF"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.301**</w:t>
            </w:r>
          </w:p>
        </w:tc>
        <w:tc>
          <w:tcPr>
            <w:tcW w:w="1005" w:type="dxa"/>
            <w:tcBorders>
              <w:top w:val="nil"/>
              <w:left w:val="nil"/>
              <w:bottom w:val="nil"/>
              <w:right w:val="nil"/>
            </w:tcBorders>
            <w:shd w:val="clear" w:color="auto" w:fill="auto"/>
            <w:tcMar>
              <w:top w:w="0" w:type="dxa"/>
              <w:left w:w="0" w:type="dxa"/>
              <w:bottom w:w="0" w:type="dxa"/>
              <w:right w:w="0" w:type="dxa"/>
            </w:tcMar>
          </w:tcPr>
          <w:p w14:paraId="3EFFBF19"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298D8055"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30D364A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val="restart"/>
            <w:tcBorders>
              <w:top w:val="nil"/>
              <w:left w:val="nil"/>
              <w:bottom w:val="nil"/>
              <w:right w:val="nil"/>
            </w:tcBorders>
            <w:shd w:val="clear" w:color="auto" w:fill="auto"/>
            <w:tcMar>
              <w:top w:w="0" w:type="dxa"/>
              <w:left w:w="0" w:type="dxa"/>
              <w:bottom w:w="0" w:type="dxa"/>
              <w:right w:w="0" w:type="dxa"/>
            </w:tcMar>
          </w:tcPr>
          <w:p w14:paraId="38C9E57D"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2</w:t>
            </w:r>
          </w:p>
        </w:tc>
        <w:tc>
          <w:tcPr>
            <w:tcW w:w="2145" w:type="dxa"/>
            <w:tcBorders>
              <w:top w:val="nil"/>
              <w:left w:val="nil"/>
              <w:bottom w:val="nil"/>
              <w:right w:val="nil"/>
            </w:tcBorders>
            <w:shd w:val="clear" w:color="auto" w:fill="auto"/>
            <w:tcMar>
              <w:top w:w="0" w:type="dxa"/>
              <w:left w:w="0" w:type="dxa"/>
              <w:bottom w:w="0" w:type="dxa"/>
              <w:right w:w="0" w:type="dxa"/>
            </w:tcMar>
          </w:tcPr>
          <w:p w14:paraId="3475BF6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243DC2B1"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7062D112"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tcBorders>
              <w:top w:val="nil"/>
              <w:left w:val="nil"/>
              <w:bottom w:val="nil"/>
              <w:right w:val="nil"/>
            </w:tcBorders>
            <w:shd w:val="clear" w:color="auto" w:fill="auto"/>
            <w:tcMar>
              <w:top w:w="0" w:type="dxa"/>
              <w:left w:w="0" w:type="dxa"/>
              <w:bottom w:w="0" w:type="dxa"/>
              <w:right w:w="0" w:type="dxa"/>
            </w:tcMar>
          </w:tcPr>
          <w:p w14:paraId="19FB986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5" w:type="dxa"/>
            <w:tcBorders>
              <w:top w:val="nil"/>
              <w:left w:val="nil"/>
              <w:bottom w:val="nil"/>
              <w:right w:val="nil"/>
            </w:tcBorders>
            <w:shd w:val="clear" w:color="auto" w:fill="auto"/>
            <w:tcMar>
              <w:top w:w="0" w:type="dxa"/>
              <w:left w:w="0" w:type="dxa"/>
              <w:bottom w:w="0" w:type="dxa"/>
              <w:right w:w="0" w:type="dxa"/>
            </w:tcMar>
          </w:tcPr>
          <w:p w14:paraId="64125A71"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2F2495A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713B3D8B"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348108DB"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553D9A71"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375AB592"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 - Total</w:t>
            </w:r>
          </w:p>
        </w:tc>
        <w:tc>
          <w:tcPr>
            <w:tcW w:w="720" w:type="dxa"/>
            <w:tcBorders>
              <w:top w:val="nil"/>
              <w:left w:val="nil"/>
              <w:bottom w:val="nil"/>
              <w:right w:val="nil"/>
            </w:tcBorders>
            <w:shd w:val="clear" w:color="auto" w:fill="auto"/>
            <w:tcMar>
              <w:top w:w="0" w:type="dxa"/>
              <w:left w:w="0" w:type="dxa"/>
              <w:bottom w:w="0" w:type="dxa"/>
              <w:right w:w="0" w:type="dxa"/>
            </w:tcMar>
          </w:tcPr>
          <w:p w14:paraId="2DF477A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p>
        </w:tc>
        <w:tc>
          <w:tcPr>
            <w:tcW w:w="720" w:type="dxa"/>
            <w:tcBorders>
              <w:top w:val="nil"/>
              <w:left w:val="nil"/>
              <w:bottom w:val="nil"/>
              <w:right w:val="nil"/>
            </w:tcBorders>
            <w:shd w:val="clear" w:color="auto" w:fill="auto"/>
            <w:tcMar>
              <w:top w:w="0" w:type="dxa"/>
              <w:left w:w="0" w:type="dxa"/>
              <w:bottom w:w="0" w:type="dxa"/>
              <w:right w:w="0" w:type="dxa"/>
            </w:tcMar>
          </w:tcPr>
          <w:p w14:paraId="16A03FA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tc>
        <w:tc>
          <w:tcPr>
            <w:tcW w:w="810" w:type="dxa"/>
            <w:tcBorders>
              <w:top w:val="nil"/>
              <w:left w:val="nil"/>
              <w:bottom w:val="nil"/>
              <w:right w:val="nil"/>
            </w:tcBorders>
            <w:shd w:val="clear" w:color="auto" w:fill="auto"/>
            <w:tcMar>
              <w:top w:w="0" w:type="dxa"/>
              <w:left w:w="0" w:type="dxa"/>
              <w:bottom w:w="0" w:type="dxa"/>
              <w:right w:w="0" w:type="dxa"/>
            </w:tcMar>
          </w:tcPr>
          <w:p w14:paraId="1CB6C3A9"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nil"/>
              <w:right w:val="nil"/>
            </w:tcBorders>
            <w:shd w:val="clear" w:color="auto" w:fill="auto"/>
            <w:tcMar>
              <w:top w:w="0" w:type="dxa"/>
              <w:left w:w="0" w:type="dxa"/>
              <w:bottom w:w="0" w:type="dxa"/>
              <w:right w:w="0" w:type="dxa"/>
            </w:tcMar>
          </w:tcPr>
          <w:p w14:paraId="2A7CE3A4"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1435DBBA"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72E2E3EE"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08B4E89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1F4AF23F"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193C202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level</w:t>
            </w:r>
          </w:p>
        </w:tc>
        <w:tc>
          <w:tcPr>
            <w:tcW w:w="720" w:type="dxa"/>
            <w:tcBorders>
              <w:top w:val="nil"/>
              <w:left w:val="nil"/>
              <w:bottom w:val="nil"/>
              <w:right w:val="nil"/>
            </w:tcBorders>
            <w:shd w:val="clear" w:color="auto" w:fill="auto"/>
            <w:tcMar>
              <w:top w:w="0" w:type="dxa"/>
              <w:left w:w="0" w:type="dxa"/>
              <w:bottom w:w="0" w:type="dxa"/>
              <w:right w:w="0" w:type="dxa"/>
            </w:tcMar>
          </w:tcPr>
          <w:p w14:paraId="32A918C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720" w:type="dxa"/>
            <w:tcBorders>
              <w:top w:val="nil"/>
              <w:left w:val="nil"/>
              <w:bottom w:val="nil"/>
              <w:right w:val="nil"/>
            </w:tcBorders>
            <w:shd w:val="clear" w:color="auto" w:fill="auto"/>
            <w:tcMar>
              <w:top w:w="0" w:type="dxa"/>
              <w:left w:w="0" w:type="dxa"/>
              <w:bottom w:w="0" w:type="dxa"/>
              <w:right w:w="0" w:type="dxa"/>
            </w:tcMar>
          </w:tcPr>
          <w:p w14:paraId="1C2984F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c>
          <w:tcPr>
            <w:tcW w:w="810" w:type="dxa"/>
            <w:tcBorders>
              <w:top w:val="nil"/>
              <w:left w:val="nil"/>
              <w:bottom w:val="nil"/>
              <w:right w:val="nil"/>
            </w:tcBorders>
            <w:shd w:val="clear" w:color="auto" w:fill="auto"/>
            <w:tcMar>
              <w:top w:w="0" w:type="dxa"/>
              <w:left w:w="0" w:type="dxa"/>
              <w:bottom w:w="0" w:type="dxa"/>
              <w:right w:w="0" w:type="dxa"/>
            </w:tcMar>
          </w:tcPr>
          <w:p w14:paraId="7FDF6B78"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.016</w:t>
            </w:r>
          </w:p>
        </w:tc>
        <w:tc>
          <w:tcPr>
            <w:tcW w:w="1125" w:type="dxa"/>
            <w:tcBorders>
              <w:top w:val="nil"/>
              <w:left w:val="nil"/>
              <w:bottom w:val="nil"/>
              <w:right w:val="nil"/>
            </w:tcBorders>
            <w:shd w:val="clear" w:color="auto" w:fill="auto"/>
            <w:tcMar>
              <w:top w:w="0" w:type="dxa"/>
              <w:left w:w="0" w:type="dxa"/>
              <w:bottom w:w="0" w:type="dxa"/>
              <w:right w:w="0" w:type="dxa"/>
            </w:tcMar>
          </w:tcPr>
          <w:p w14:paraId="392AD614"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3B637DE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278AE858" w14:textId="77777777">
        <w:trPr>
          <w:trHeight w:val="540"/>
        </w:trPr>
        <w:tc>
          <w:tcPr>
            <w:tcW w:w="1920" w:type="dxa"/>
            <w:tcBorders>
              <w:top w:val="nil"/>
              <w:left w:val="nil"/>
              <w:bottom w:val="nil"/>
              <w:right w:val="nil"/>
            </w:tcBorders>
            <w:shd w:val="clear" w:color="auto" w:fill="auto"/>
            <w:tcMar>
              <w:top w:w="0" w:type="dxa"/>
              <w:left w:w="0" w:type="dxa"/>
              <w:bottom w:w="0" w:type="dxa"/>
              <w:right w:w="0" w:type="dxa"/>
            </w:tcMar>
          </w:tcPr>
          <w:p w14:paraId="054F24D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48440313"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7436BCA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720" w:type="dxa"/>
            <w:tcBorders>
              <w:top w:val="nil"/>
              <w:left w:val="nil"/>
              <w:bottom w:val="nil"/>
              <w:right w:val="nil"/>
            </w:tcBorders>
            <w:shd w:val="clear" w:color="auto" w:fill="auto"/>
            <w:tcMar>
              <w:top w:w="0" w:type="dxa"/>
              <w:left w:w="0" w:type="dxa"/>
              <w:bottom w:w="0" w:type="dxa"/>
              <w:right w:w="0" w:type="dxa"/>
            </w:tcMar>
          </w:tcPr>
          <w:p w14:paraId="72EF465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20" w:type="dxa"/>
            <w:tcBorders>
              <w:top w:val="nil"/>
              <w:left w:val="nil"/>
              <w:bottom w:val="nil"/>
              <w:right w:val="nil"/>
            </w:tcBorders>
            <w:shd w:val="clear" w:color="auto" w:fill="auto"/>
            <w:tcMar>
              <w:top w:w="0" w:type="dxa"/>
              <w:left w:w="0" w:type="dxa"/>
              <w:bottom w:w="0" w:type="dxa"/>
              <w:right w:w="0" w:type="dxa"/>
            </w:tcMar>
          </w:tcPr>
          <w:p w14:paraId="6069D64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10" w:type="dxa"/>
            <w:tcBorders>
              <w:top w:val="nil"/>
              <w:left w:val="nil"/>
              <w:bottom w:val="nil"/>
              <w:right w:val="nil"/>
            </w:tcBorders>
            <w:shd w:val="clear" w:color="auto" w:fill="auto"/>
            <w:tcMar>
              <w:top w:w="0" w:type="dxa"/>
              <w:left w:w="0" w:type="dxa"/>
              <w:bottom w:w="0" w:type="dxa"/>
              <w:right w:w="0" w:type="dxa"/>
            </w:tcMar>
          </w:tcPr>
          <w:p w14:paraId="574DA8C5"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1125" w:type="dxa"/>
            <w:tcBorders>
              <w:top w:val="nil"/>
              <w:left w:val="nil"/>
              <w:bottom w:val="nil"/>
              <w:right w:val="nil"/>
            </w:tcBorders>
            <w:shd w:val="clear" w:color="auto" w:fill="auto"/>
            <w:tcMar>
              <w:top w:w="0" w:type="dxa"/>
              <w:left w:w="0" w:type="dxa"/>
              <w:bottom w:w="0" w:type="dxa"/>
              <w:right w:w="0" w:type="dxa"/>
            </w:tcMar>
          </w:tcPr>
          <w:p w14:paraId="59508500"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w:t>
            </w:r>
          </w:p>
        </w:tc>
        <w:tc>
          <w:tcPr>
            <w:tcW w:w="1005" w:type="dxa"/>
            <w:tcBorders>
              <w:top w:val="nil"/>
              <w:left w:val="nil"/>
              <w:bottom w:val="nil"/>
              <w:right w:val="nil"/>
            </w:tcBorders>
            <w:shd w:val="clear" w:color="auto" w:fill="auto"/>
            <w:tcMar>
              <w:top w:w="0" w:type="dxa"/>
              <w:left w:w="0" w:type="dxa"/>
              <w:bottom w:w="0" w:type="dxa"/>
              <w:right w:w="0" w:type="dxa"/>
            </w:tcMar>
          </w:tcPr>
          <w:p w14:paraId="010B3F6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.009 (p=.07)</w:t>
            </w:r>
          </w:p>
        </w:tc>
      </w:tr>
      <w:tr w:rsidR="00EA3A89" w14:paraId="0FCE32F9"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170040BA"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VMI</w:t>
            </w:r>
          </w:p>
        </w:tc>
        <w:tc>
          <w:tcPr>
            <w:tcW w:w="975" w:type="dxa"/>
            <w:vMerge w:val="restart"/>
            <w:tcBorders>
              <w:top w:val="nil"/>
              <w:left w:val="nil"/>
              <w:bottom w:val="nil"/>
              <w:right w:val="nil"/>
            </w:tcBorders>
            <w:shd w:val="clear" w:color="auto" w:fill="auto"/>
            <w:tcMar>
              <w:top w:w="0" w:type="dxa"/>
              <w:left w:w="0" w:type="dxa"/>
              <w:bottom w:w="0" w:type="dxa"/>
              <w:right w:w="0" w:type="dxa"/>
            </w:tcMar>
          </w:tcPr>
          <w:p w14:paraId="7FBFECDB"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w:t>
            </w:r>
          </w:p>
        </w:tc>
        <w:tc>
          <w:tcPr>
            <w:tcW w:w="2145" w:type="dxa"/>
            <w:tcBorders>
              <w:top w:val="nil"/>
              <w:left w:val="nil"/>
              <w:bottom w:val="nil"/>
              <w:right w:val="nil"/>
            </w:tcBorders>
            <w:shd w:val="clear" w:color="auto" w:fill="auto"/>
            <w:tcMar>
              <w:top w:w="0" w:type="dxa"/>
              <w:left w:w="0" w:type="dxa"/>
              <w:bottom w:w="0" w:type="dxa"/>
              <w:right w:w="0" w:type="dxa"/>
            </w:tcMar>
          </w:tcPr>
          <w:p w14:paraId="00EE887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59F69C9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vAlign w:val="bottom"/>
          </w:tcPr>
          <w:p w14:paraId="64E238C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tcBorders>
              <w:top w:val="nil"/>
              <w:left w:val="nil"/>
              <w:bottom w:val="nil"/>
              <w:right w:val="nil"/>
            </w:tcBorders>
            <w:shd w:val="clear" w:color="auto" w:fill="auto"/>
            <w:tcMar>
              <w:top w:w="0" w:type="dxa"/>
              <w:left w:w="0" w:type="dxa"/>
              <w:bottom w:w="0" w:type="dxa"/>
              <w:right w:w="0" w:type="dxa"/>
            </w:tcMar>
            <w:vAlign w:val="bottom"/>
          </w:tcPr>
          <w:p w14:paraId="55A818A2"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5" w:type="dxa"/>
            <w:tcBorders>
              <w:top w:val="nil"/>
              <w:left w:val="nil"/>
              <w:bottom w:val="nil"/>
              <w:right w:val="nil"/>
            </w:tcBorders>
            <w:shd w:val="clear" w:color="auto" w:fill="auto"/>
            <w:tcMar>
              <w:top w:w="0" w:type="dxa"/>
              <w:left w:w="0" w:type="dxa"/>
              <w:bottom w:w="0" w:type="dxa"/>
              <w:right w:w="0" w:type="dxa"/>
            </w:tcMar>
          </w:tcPr>
          <w:p w14:paraId="2CC5D47F"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3C75D73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28987E99"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748633B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5B7A5189"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7E96EA2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 - Total</w:t>
            </w:r>
          </w:p>
        </w:tc>
        <w:tc>
          <w:tcPr>
            <w:tcW w:w="720" w:type="dxa"/>
            <w:tcBorders>
              <w:top w:val="nil"/>
              <w:left w:val="nil"/>
              <w:bottom w:val="nil"/>
              <w:right w:val="nil"/>
            </w:tcBorders>
            <w:shd w:val="clear" w:color="auto" w:fill="auto"/>
            <w:tcMar>
              <w:top w:w="0" w:type="dxa"/>
              <w:left w:w="0" w:type="dxa"/>
              <w:bottom w:w="0" w:type="dxa"/>
              <w:right w:w="0" w:type="dxa"/>
            </w:tcMar>
          </w:tcPr>
          <w:p w14:paraId="7EA2D8C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.427</w:t>
            </w:r>
          </w:p>
        </w:tc>
        <w:tc>
          <w:tcPr>
            <w:tcW w:w="720" w:type="dxa"/>
            <w:tcBorders>
              <w:top w:val="nil"/>
              <w:left w:val="nil"/>
              <w:bottom w:val="nil"/>
              <w:right w:val="nil"/>
            </w:tcBorders>
            <w:shd w:val="clear" w:color="auto" w:fill="auto"/>
            <w:tcMar>
              <w:top w:w="0" w:type="dxa"/>
              <w:left w:w="0" w:type="dxa"/>
              <w:bottom w:w="0" w:type="dxa"/>
              <w:right w:w="0" w:type="dxa"/>
            </w:tcMar>
          </w:tcPr>
          <w:p w14:paraId="4862291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810" w:type="dxa"/>
            <w:tcBorders>
              <w:top w:val="nil"/>
              <w:left w:val="nil"/>
              <w:bottom w:val="nil"/>
              <w:right w:val="nil"/>
            </w:tcBorders>
            <w:shd w:val="clear" w:color="auto" w:fill="auto"/>
            <w:tcMar>
              <w:top w:w="0" w:type="dxa"/>
              <w:left w:w="0" w:type="dxa"/>
              <w:bottom w:w="0" w:type="dxa"/>
              <w:right w:w="0" w:type="dxa"/>
            </w:tcMar>
          </w:tcPr>
          <w:p w14:paraId="78D06F56"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nil"/>
              <w:right w:val="nil"/>
            </w:tcBorders>
            <w:shd w:val="clear" w:color="auto" w:fill="auto"/>
            <w:tcMar>
              <w:top w:w="0" w:type="dxa"/>
              <w:left w:w="0" w:type="dxa"/>
              <w:bottom w:w="0" w:type="dxa"/>
              <w:right w:w="0" w:type="dxa"/>
            </w:tcMar>
          </w:tcPr>
          <w:p w14:paraId="6F4C37B7"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5A0262E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0B0D3ADB"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7D3D8F2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3DA956EF"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2478D63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level</w:t>
            </w:r>
          </w:p>
        </w:tc>
        <w:tc>
          <w:tcPr>
            <w:tcW w:w="720" w:type="dxa"/>
            <w:tcBorders>
              <w:top w:val="nil"/>
              <w:left w:val="nil"/>
              <w:bottom w:val="nil"/>
              <w:right w:val="nil"/>
            </w:tcBorders>
            <w:shd w:val="clear" w:color="auto" w:fill="auto"/>
            <w:tcMar>
              <w:top w:w="0" w:type="dxa"/>
              <w:left w:w="0" w:type="dxa"/>
              <w:bottom w:w="0" w:type="dxa"/>
              <w:right w:w="0" w:type="dxa"/>
            </w:tcMar>
          </w:tcPr>
          <w:p w14:paraId="4ABF733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720" w:type="dxa"/>
            <w:tcBorders>
              <w:top w:val="nil"/>
              <w:left w:val="nil"/>
              <w:bottom w:val="nil"/>
              <w:right w:val="nil"/>
            </w:tcBorders>
            <w:shd w:val="clear" w:color="auto" w:fill="auto"/>
            <w:tcMar>
              <w:top w:w="0" w:type="dxa"/>
              <w:left w:w="0" w:type="dxa"/>
              <w:bottom w:w="0" w:type="dxa"/>
              <w:right w:w="0" w:type="dxa"/>
            </w:tcMar>
          </w:tcPr>
          <w:p w14:paraId="2DB4FB4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810" w:type="dxa"/>
            <w:tcBorders>
              <w:top w:val="nil"/>
              <w:left w:val="nil"/>
              <w:bottom w:val="nil"/>
              <w:right w:val="nil"/>
            </w:tcBorders>
            <w:shd w:val="clear" w:color="auto" w:fill="auto"/>
            <w:tcMar>
              <w:top w:w="0" w:type="dxa"/>
              <w:left w:w="0" w:type="dxa"/>
              <w:bottom w:w="0" w:type="dxa"/>
              <w:right w:w="0" w:type="dxa"/>
            </w:tcMar>
          </w:tcPr>
          <w:p w14:paraId="1317850B"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.033</w:t>
            </w:r>
          </w:p>
        </w:tc>
        <w:tc>
          <w:tcPr>
            <w:tcW w:w="1125" w:type="dxa"/>
            <w:tcBorders>
              <w:top w:val="nil"/>
              <w:left w:val="nil"/>
              <w:bottom w:val="nil"/>
              <w:right w:val="nil"/>
            </w:tcBorders>
            <w:shd w:val="clear" w:color="auto" w:fill="auto"/>
            <w:tcMar>
              <w:top w:w="0" w:type="dxa"/>
              <w:left w:w="0" w:type="dxa"/>
              <w:bottom w:w="0" w:type="dxa"/>
              <w:right w:w="0" w:type="dxa"/>
            </w:tcMar>
          </w:tcPr>
          <w:p w14:paraId="0857B2B8"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.274***</w:t>
            </w:r>
          </w:p>
        </w:tc>
        <w:tc>
          <w:tcPr>
            <w:tcW w:w="1005" w:type="dxa"/>
            <w:tcBorders>
              <w:top w:val="nil"/>
              <w:left w:val="nil"/>
              <w:bottom w:val="nil"/>
              <w:right w:val="nil"/>
            </w:tcBorders>
            <w:shd w:val="clear" w:color="auto" w:fill="auto"/>
            <w:tcMar>
              <w:top w:w="0" w:type="dxa"/>
              <w:left w:w="0" w:type="dxa"/>
              <w:bottom w:w="0" w:type="dxa"/>
              <w:right w:w="0" w:type="dxa"/>
            </w:tcMar>
          </w:tcPr>
          <w:p w14:paraId="276FE76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4EC2BCA1"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15978E45"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val="restart"/>
            <w:tcBorders>
              <w:top w:val="nil"/>
              <w:left w:val="nil"/>
              <w:bottom w:val="nil"/>
              <w:right w:val="nil"/>
            </w:tcBorders>
            <w:shd w:val="clear" w:color="auto" w:fill="auto"/>
            <w:tcMar>
              <w:top w:w="0" w:type="dxa"/>
              <w:left w:w="0" w:type="dxa"/>
              <w:bottom w:w="0" w:type="dxa"/>
              <w:right w:w="0" w:type="dxa"/>
            </w:tcMar>
          </w:tcPr>
          <w:p w14:paraId="7239B512"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2</w:t>
            </w:r>
          </w:p>
        </w:tc>
        <w:tc>
          <w:tcPr>
            <w:tcW w:w="2145" w:type="dxa"/>
            <w:tcBorders>
              <w:top w:val="nil"/>
              <w:left w:val="nil"/>
              <w:bottom w:val="nil"/>
              <w:right w:val="nil"/>
            </w:tcBorders>
            <w:shd w:val="clear" w:color="auto" w:fill="auto"/>
            <w:tcMar>
              <w:top w:w="0" w:type="dxa"/>
              <w:left w:w="0" w:type="dxa"/>
              <w:bottom w:w="0" w:type="dxa"/>
              <w:right w:w="0" w:type="dxa"/>
            </w:tcMar>
          </w:tcPr>
          <w:p w14:paraId="2AE462B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16AC8F0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74F8CDD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tcBorders>
              <w:top w:val="nil"/>
              <w:left w:val="nil"/>
              <w:bottom w:val="nil"/>
              <w:right w:val="nil"/>
            </w:tcBorders>
            <w:shd w:val="clear" w:color="auto" w:fill="auto"/>
            <w:tcMar>
              <w:top w:w="0" w:type="dxa"/>
              <w:left w:w="0" w:type="dxa"/>
              <w:bottom w:w="0" w:type="dxa"/>
              <w:right w:w="0" w:type="dxa"/>
            </w:tcMar>
          </w:tcPr>
          <w:p w14:paraId="07FED049"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25" w:type="dxa"/>
            <w:tcBorders>
              <w:top w:val="nil"/>
              <w:left w:val="nil"/>
              <w:bottom w:val="nil"/>
              <w:right w:val="nil"/>
            </w:tcBorders>
            <w:shd w:val="clear" w:color="auto" w:fill="auto"/>
            <w:tcMar>
              <w:top w:w="0" w:type="dxa"/>
              <w:left w:w="0" w:type="dxa"/>
              <w:bottom w:w="0" w:type="dxa"/>
              <w:right w:w="0" w:type="dxa"/>
            </w:tcMar>
          </w:tcPr>
          <w:p w14:paraId="55894620"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0E54300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04675F13"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1FCB48A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54AEF22D"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568D9B7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 - Total</w:t>
            </w:r>
          </w:p>
        </w:tc>
        <w:tc>
          <w:tcPr>
            <w:tcW w:w="720" w:type="dxa"/>
            <w:tcBorders>
              <w:top w:val="nil"/>
              <w:left w:val="nil"/>
              <w:bottom w:val="nil"/>
              <w:right w:val="nil"/>
            </w:tcBorders>
            <w:shd w:val="clear" w:color="auto" w:fill="auto"/>
            <w:tcMar>
              <w:top w:w="0" w:type="dxa"/>
              <w:left w:w="0" w:type="dxa"/>
              <w:bottom w:w="0" w:type="dxa"/>
              <w:right w:w="0" w:type="dxa"/>
            </w:tcMar>
          </w:tcPr>
          <w:p w14:paraId="1190F18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p>
        </w:tc>
        <w:tc>
          <w:tcPr>
            <w:tcW w:w="720" w:type="dxa"/>
            <w:tcBorders>
              <w:top w:val="nil"/>
              <w:left w:val="nil"/>
              <w:bottom w:val="nil"/>
              <w:right w:val="nil"/>
            </w:tcBorders>
            <w:shd w:val="clear" w:color="auto" w:fill="auto"/>
            <w:tcMar>
              <w:top w:w="0" w:type="dxa"/>
              <w:left w:w="0" w:type="dxa"/>
              <w:bottom w:w="0" w:type="dxa"/>
              <w:right w:w="0" w:type="dxa"/>
            </w:tcMar>
          </w:tcPr>
          <w:p w14:paraId="008E99B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810" w:type="dxa"/>
            <w:tcBorders>
              <w:top w:val="nil"/>
              <w:left w:val="nil"/>
              <w:bottom w:val="nil"/>
              <w:right w:val="nil"/>
            </w:tcBorders>
            <w:shd w:val="clear" w:color="auto" w:fill="auto"/>
            <w:tcMar>
              <w:top w:w="0" w:type="dxa"/>
              <w:left w:w="0" w:type="dxa"/>
              <w:bottom w:w="0" w:type="dxa"/>
              <w:right w:w="0" w:type="dxa"/>
            </w:tcMar>
          </w:tcPr>
          <w:p w14:paraId="79ABDADE"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nil"/>
              <w:right w:val="nil"/>
            </w:tcBorders>
            <w:shd w:val="clear" w:color="auto" w:fill="auto"/>
            <w:tcMar>
              <w:top w:w="0" w:type="dxa"/>
              <w:left w:w="0" w:type="dxa"/>
              <w:bottom w:w="0" w:type="dxa"/>
              <w:right w:w="0" w:type="dxa"/>
            </w:tcMar>
          </w:tcPr>
          <w:p w14:paraId="50F86B3D"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6536DA7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7A656DE7"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0CB7019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63C4E5B4"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13AD212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level</w:t>
            </w:r>
          </w:p>
        </w:tc>
        <w:tc>
          <w:tcPr>
            <w:tcW w:w="720" w:type="dxa"/>
            <w:tcBorders>
              <w:top w:val="nil"/>
              <w:left w:val="nil"/>
              <w:bottom w:val="nil"/>
              <w:right w:val="nil"/>
            </w:tcBorders>
            <w:shd w:val="clear" w:color="auto" w:fill="auto"/>
            <w:tcMar>
              <w:top w:w="0" w:type="dxa"/>
              <w:left w:w="0" w:type="dxa"/>
              <w:bottom w:w="0" w:type="dxa"/>
              <w:right w:w="0" w:type="dxa"/>
            </w:tcMar>
          </w:tcPr>
          <w:p w14:paraId="73DDAB2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720" w:type="dxa"/>
            <w:tcBorders>
              <w:top w:val="nil"/>
              <w:left w:val="nil"/>
              <w:bottom w:val="nil"/>
              <w:right w:val="nil"/>
            </w:tcBorders>
            <w:shd w:val="clear" w:color="auto" w:fill="auto"/>
            <w:tcMar>
              <w:top w:w="0" w:type="dxa"/>
              <w:left w:w="0" w:type="dxa"/>
              <w:bottom w:w="0" w:type="dxa"/>
              <w:right w:w="0" w:type="dxa"/>
            </w:tcMar>
          </w:tcPr>
          <w:p w14:paraId="19FD17F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810" w:type="dxa"/>
            <w:tcBorders>
              <w:top w:val="nil"/>
              <w:left w:val="nil"/>
              <w:bottom w:val="nil"/>
              <w:right w:val="nil"/>
            </w:tcBorders>
            <w:shd w:val="clear" w:color="auto" w:fill="auto"/>
            <w:tcMar>
              <w:top w:w="0" w:type="dxa"/>
              <w:left w:w="0" w:type="dxa"/>
              <w:bottom w:w="0" w:type="dxa"/>
              <w:right w:w="0" w:type="dxa"/>
            </w:tcMar>
          </w:tcPr>
          <w:p w14:paraId="1D8E5719"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.007</w:t>
            </w:r>
          </w:p>
        </w:tc>
        <w:tc>
          <w:tcPr>
            <w:tcW w:w="1125" w:type="dxa"/>
            <w:tcBorders>
              <w:top w:val="nil"/>
              <w:left w:val="nil"/>
              <w:bottom w:val="nil"/>
              <w:right w:val="nil"/>
            </w:tcBorders>
            <w:shd w:val="clear" w:color="auto" w:fill="auto"/>
            <w:tcMar>
              <w:top w:w="0" w:type="dxa"/>
              <w:left w:w="0" w:type="dxa"/>
              <w:bottom w:w="0" w:type="dxa"/>
              <w:right w:w="0" w:type="dxa"/>
            </w:tcMar>
          </w:tcPr>
          <w:p w14:paraId="78B01C2A"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17357F6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2998FE0B" w14:textId="77777777">
        <w:trPr>
          <w:trHeight w:val="780"/>
        </w:trPr>
        <w:tc>
          <w:tcPr>
            <w:tcW w:w="1920" w:type="dxa"/>
            <w:tcBorders>
              <w:top w:val="nil"/>
              <w:left w:val="nil"/>
              <w:bottom w:val="nil"/>
              <w:right w:val="nil"/>
            </w:tcBorders>
            <w:shd w:val="clear" w:color="auto" w:fill="auto"/>
            <w:tcMar>
              <w:top w:w="0" w:type="dxa"/>
              <w:left w:w="0" w:type="dxa"/>
              <w:bottom w:w="0" w:type="dxa"/>
              <w:right w:w="0" w:type="dxa"/>
            </w:tcMar>
          </w:tcPr>
          <w:p w14:paraId="20362EC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59AE604A"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11B0CD5A"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720" w:type="dxa"/>
            <w:tcBorders>
              <w:top w:val="nil"/>
              <w:left w:val="nil"/>
              <w:bottom w:val="nil"/>
              <w:right w:val="nil"/>
            </w:tcBorders>
            <w:shd w:val="clear" w:color="auto" w:fill="auto"/>
            <w:tcMar>
              <w:top w:w="0" w:type="dxa"/>
              <w:left w:w="0" w:type="dxa"/>
              <w:bottom w:w="0" w:type="dxa"/>
              <w:right w:w="0" w:type="dxa"/>
            </w:tcMar>
          </w:tcPr>
          <w:p w14:paraId="46C2C0B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720" w:type="dxa"/>
            <w:tcBorders>
              <w:top w:val="nil"/>
              <w:left w:val="nil"/>
              <w:bottom w:val="nil"/>
              <w:right w:val="nil"/>
            </w:tcBorders>
            <w:shd w:val="clear" w:color="auto" w:fill="auto"/>
            <w:tcMar>
              <w:top w:w="0" w:type="dxa"/>
              <w:left w:w="0" w:type="dxa"/>
              <w:bottom w:w="0" w:type="dxa"/>
              <w:right w:w="0" w:type="dxa"/>
            </w:tcMar>
          </w:tcPr>
          <w:p w14:paraId="3867660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810" w:type="dxa"/>
            <w:tcBorders>
              <w:top w:val="nil"/>
              <w:left w:val="nil"/>
              <w:bottom w:val="nil"/>
              <w:right w:val="nil"/>
            </w:tcBorders>
            <w:shd w:val="clear" w:color="auto" w:fill="auto"/>
            <w:tcMar>
              <w:top w:w="0" w:type="dxa"/>
              <w:left w:w="0" w:type="dxa"/>
              <w:bottom w:w="0" w:type="dxa"/>
              <w:right w:w="0" w:type="dxa"/>
            </w:tcMar>
          </w:tcPr>
          <w:p w14:paraId="71C2BE16"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.007</w:t>
            </w:r>
          </w:p>
        </w:tc>
        <w:tc>
          <w:tcPr>
            <w:tcW w:w="1125" w:type="dxa"/>
            <w:tcBorders>
              <w:top w:val="nil"/>
              <w:left w:val="nil"/>
              <w:bottom w:val="nil"/>
              <w:right w:val="nil"/>
            </w:tcBorders>
            <w:shd w:val="clear" w:color="auto" w:fill="auto"/>
            <w:tcMar>
              <w:top w:w="0" w:type="dxa"/>
              <w:left w:w="0" w:type="dxa"/>
              <w:bottom w:w="0" w:type="dxa"/>
              <w:right w:w="0" w:type="dxa"/>
            </w:tcMar>
          </w:tcPr>
          <w:p w14:paraId="57034921"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.295***</w:t>
            </w:r>
          </w:p>
        </w:tc>
        <w:tc>
          <w:tcPr>
            <w:tcW w:w="1005" w:type="dxa"/>
            <w:tcBorders>
              <w:top w:val="nil"/>
              <w:left w:val="nil"/>
              <w:bottom w:val="nil"/>
              <w:right w:val="nil"/>
            </w:tcBorders>
            <w:shd w:val="clear" w:color="auto" w:fill="auto"/>
            <w:tcMar>
              <w:top w:w="0" w:type="dxa"/>
              <w:left w:w="0" w:type="dxa"/>
              <w:bottom w:w="0" w:type="dxa"/>
              <w:right w:w="0" w:type="dxa"/>
            </w:tcMar>
          </w:tcPr>
          <w:p w14:paraId="3419497C"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.021**</w:t>
            </w:r>
          </w:p>
          <w:p w14:paraId="4924F35C"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(p=.007)</w:t>
            </w:r>
          </w:p>
        </w:tc>
      </w:tr>
      <w:tr w:rsidR="00EA3A89" w14:paraId="6EE87A47"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6D56BBD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DSMSE-spatial</w:t>
            </w:r>
          </w:p>
        </w:tc>
        <w:tc>
          <w:tcPr>
            <w:tcW w:w="975" w:type="dxa"/>
            <w:vMerge w:val="restart"/>
            <w:tcBorders>
              <w:top w:val="nil"/>
              <w:left w:val="nil"/>
              <w:bottom w:val="nil"/>
              <w:right w:val="nil"/>
            </w:tcBorders>
            <w:shd w:val="clear" w:color="auto" w:fill="auto"/>
            <w:tcMar>
              <w:top w:w="0" w:type="dxa"/>
              <w:left w:w="0" w:type="dxa"/>
              <w:bottom w:w="0" w:type="dxa"/>
              <w:right w:w="0" w:type="dxa"/>
            </w:tcMar>
          </w:tcPr>
          <w:p w14:paraId="3372259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w:t>
            </w:r>
          </w:p>
        </w:tc>
        <w:tc>
          <w:tcPr>
            <w:tcW w:w="2145" w:type="dxa"/>
            <w:tcBorders>
              <w:top w:val="nil"/>
              <w:left w:val="nil"/>
              <w:bottom w:val="nil"/>
              <w:right w:val="nil"/>
            </w:tcBorders>
            <w:shd w:val="clear" w:color="auto" w:fill="auto"/>
            <w:tcMar>
              <w:top w:w="0" w:type="dxa"/>
              <w:left w:w="0" w:type="dxa"/>
              <w:bottom w:w="0" w:type="dxa"/>
              <w:right w:w="0" w:type="dxa"/>
            </w:tcMar>
          </w:tcPr>
          <w:p w14:paraId="3D19DC8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242D7DA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vAlign w:val="bottom"/>
          </w:tcPr>
          <w:p w14:paraId="003B723A"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tcBorders>
              <w:top w:val="nil"/>
              <w:left w:val="nil"/>
              <w:bottom w:val="nil"/>
              <w:right w:val="nil"/>
            </w:tcBorders>
            <w:shd w:val="clear" w:color="auto" w:fill="auto"/>
            <w:tcMar>
              <w:top w:w="0" w:type="dxa"/>
              <w:left w:w="0" w:type="dxa"/>
              <w:bottom w:w="0" w:type="dxa"/>
              <w:right w:w="0" w:type="dxa"/>
            </w:tcMar>
            <w:vAlign w:val="bottom"/>
          </w:tcPr>
          <w:p w14:paraId="0399D1C6"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5" w:type="dxa"/>
            <w:tcBorders>
              <w:top w:val="nil"/>
              <w:left w:val="nil"/>
              <w:bottom w:val="nil"/>
              <w:right w:val="nil"/>
            </w:tcBorders>
            <w:shd w:val="clear" w:color="auto" w:fill="auto"/>
            <w:tcMar>
              <w:top w:w="0" w:type="dxa"/>
              <w:left w:w="0" w:type="dxa"/>
              <w:bottom w:w="0" w:type="dxa"/>
              <w:right w:w="0" w:type="dxa"/>
            </w:tcMar>
          </w:tcPr>
          <w:p w14:paraId="3F113CF9"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135CEC7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671767A8"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67A7E8F5"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2FA0DFE3"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49B9DBF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 - Total</w:t>
            </w:r>
          </w:p>
        </w:tc>
        <w:tc>
          <w:tcPr>
            <w:tcW w:w="720" w:type="dxa"/>
            <w:tcBorders>
              <w:top w:val="nil"/>
              <w:left w:val="nil"/>
              <w:bottom w:val="nil"/>
              <w:right w:val="nil"/>
            </w:tcBorders>
            <w:shd w:val="clear" w:color="auto" w:fill="auto"/>
            <w:tcMar>
              <w:top w:w="0" w:type="dxa"/>
              <w:left w:w="0" w:type="dxa"/>
              <w:bottom w:w="0" w:type="dxa"/>
              <w:right w:w="0" w:type="dxa"/>
            </w:tcMar>
          </w:tcPr>
          <w:p w14:paraId="7A39283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c>
          <w:tcPr>
            <w:tcW w:w="720" w:type="dxa"/>
            <w:tcBorders>
              <w:top w:val="nil"/>
              <w:left w:val="nil"/>
              <w:bottom w:val="nil"/>
              <w:right w:val="nil"/>
            </w:tcBorders>
            <w:shd w:val="clear" w:color="auto" w:fill="auto"/>
            <w:tcMar>
              <w:top w:w="0" w:type="dxa"/>
              <w:left w:w="0" w:type="dxa"/>
              <w:bottom w:w="0" w:type="dxa"/>
              <w:right w:w="0" w:type="dxa"/>
            </w:tcMar>
          </w:tcPr>
          <w:p w14:paraId="7DC7AAE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7.49</w:t>
            </w:r>
          </w:p>
        </w:tc>
        <w:tc>
          <w:tcPr>
            <w:tcW w:w="810" w:type="dxa"/>
            <w:tcBorders>
              <w:top w:val="nil"/>
              <w:left w:val="nil"/>
              <w:bottom w:val="nil"/>
              <w:right w:val="nil"/>
            </w:tcBorders>
            <w:shd w:val="clear" w:color="auto" w:fill="auto"/>
            <w:tcMar>
              <w:top w:w="0" w:type="dxa"/>
              <w:left w:w="0" w:type="dxa"/>
              <w:bottom w:w="0" w:type="dxa"/>
              <w:right w:w="0" w:type="dxa"/>
            </w:tcMar>
          </w:tcPr>
          <w:p w14:paraId="6FF353B9"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nil"/>
              <w:right w:val="nil"/>
            </w:tcBorders>
            <w:shd w:val="clear" w:color="auto" w:fill="auto"/>
            <w:tcMar>
              <w:top w:w="0" w:type="dxa"/>
              <w:left w:w="0" w:type="dxa"/>
              <w:bottom w:w="0" w:type="dxa"/>
              <w:right w:w="0" w:type="dxa"/>
            </w:tcMar>
          </w:tcPr>
          <w:p w14:paraId="64DFE640"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7C9123CD"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087B6D7C"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07F07F5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3052B268"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6F930C4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level</w:t>
            </w:r>
          </w:p>
        </w:tc>
        <w:tc>
          <w:tcPr>
            <w:tcW w:w="720" w:type="dxa"/>
            <w:tcBorders>
              <w:top w:val="nil"/>
              <w:left w:val="nil"/>
              <w:bottom w:val="nil"/>
              <w:right w:val="nil"/>
            </w:tcBorders>
            <w:shd w:val="clear" w:color="auto" w:fill="auto"/>
            <w:tcMar>
              <w:top w:w="0" w:type="dxa"/>
              <w:left w:w="0" w:type="dxa"/>
              <w:bottom w:w="0" w:type="dxa"/>
              <w:right w:w="0" w:type="dxa"/>
            </w:tcMar>
          </w:tcPr>
          <w:p w14:paraId="774B117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720" w:type="dxa"/>
            <w:tcBorders>
              <w:top w:val="nil"/>
              <w:left w:val="nil"/>
              <w:bottom w:val="nil"/>
              <w:right w:val="nil"/>
            </w:tcBorders>
            <w:shd w:val="clear" w:color="auto" w:fill="auto"/>
            <w:tcMar>
              <w:top w:w="0" w:type="dxa"/>
              <w:left w:w="0" w:type="dxa"/>
              <w:bottom w:w="0" w:type="dxa"/>
              <w:right w:w="0" w:type="dxa"/>
            </w:tcMar>
          </w:tcPr>
          <w:p w14:paraId="15E96D2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810" w:type="dxa"/>
            <w:tcBorders>
              <w:top w:val="nil"/>
              <w:left w:val="nil"/>
              <w:bottom w:val="nil"/>
              <w:right w:val="nil"/>
            </w:tcBorders>
            <w:shd w:val="clear" w:color="auto" w:fill="auto"/>
            <w:tcMar>
              <w:top w:w="0" w:type="dxa"/>
              <w:left w:w="0" w:type="dxa"/>
              <w:bottom w:w="0" w:type="dxa"/>
              <w:right w:w="0" w:type="dxa"/>
            </w:tcMar>
          </w:tcPr>
          <w:p w14:paraId="370E2FB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125" w:type="dxa"/>
            <w:tcBorders>
              <w:top w:val="nil"/>
              <w:left w:val="nil"/>
              <w:bottom w:val="nil"/>
              <w:right w:val="nil"/>
            </w:tcBorders>
            <w:shd w:val="clear" w:color="auto" w:fill="auto"/>
            <w:tcMar>
              <w:top w:w="0" w:type="dxa"/>
              <w:left w:w="0" w:type="dxa"/>
              <w:bottom w:w="0" w:type="dxa"/>
              <w:right w:w="0" w:type="dxa"/>
            </w:tcMar>
          </w:tcPr>
          <w:p w14:paraId="364852B2"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.305**</w:t>
            </w:r>
          </w:p>
        </w:tc>
        <w:tc>
          <w:tcPr>
            <w:tcW w:w="1005" w:type="dxa"/>
            <w:tcBorders>
              <w:top w:val="nil"/>
              <w:left w:val="nil"/>
              <w:bottom w:val="nil"/>
              <w:right w:val="nil"/>
            </w:tcBorders>
            <w:shd w:val="clear" w:color="auto" w:fill="auto"/>
            <w:tcMar>
              <w:top w:w="0" w:type="dxa"/>
              <w:left w:w="0" w:type="dxa"/>
              <w:bottom w:w="0" w:type="dxa"/>
              <w:right w:w="0" w:type="dxa"/>
            </w:tcMar>
          </w:tcPr>
          <w:p w14:paraId="0F9955C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58345574"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0223F382"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975" w:type="dxa"/>
            <w:vMerge w:val="restart"/>
            <w:tcBorders>
              <w:top w:val="nil"/>
              <w:left w:val="nil"/>
              <w:bottom w:val="nil"/>
              <w:right w:val="nil"/>
            </w:tcBorders>
            <w:shd w:val="clear" w:color="auto" w:fill="auto"/>
            <w:tcMar>
              <w:top w:w="0" w:type="dxa"/>
              <w:left w:w="0" w:type="dxa"/>
              <w:bottom w:w="0" w:type="dxa"/>
              <w:right w:w="0" w:type="dxa"/>
            </w:tcMar>
          </w:tcPr>
          <w:p w14:paraId="3841845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2</w:t>
            </w:r>
          </w:p>
        </w:tc>
        <w:tc>
          <w:tcPr>
            <w:tcW w:w="2145" w:type="dxa"/>
            <w:tcBorders>
              <w:top w:val="nil"/>
              <w:left w:val="nil"/>
              <w:bottom w:val="nil"/>
              <w:right w:val="nil"/>
            </w:tcBorders>
            <w:shd w:val="clear" w:color="auto" w:fill="auto"/>
            <w:tcMar>
              <w:top w:w="0" w:type="dxa"/>
              <w:left w:w="0" w:type="dxa"/>
              <w:bottom w:w="0" w:type="dxa"/>
              <w:right w:w="0" w:type="dxa"/>
            </w:tcMar>
          </w:tcPr>
          <w:p w14:paraId="447DD2D9"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2A0E9AE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0D58B7F5"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tcBorders>
              <w:top w:val="nil"/>
              <w:left w:val="nil"/>
              <w:bottom w:val="nil"/>
              <w:right w:val="nil"/>
            </w:tcBorders>
            <w:shd w:val="clear" w:color="auto" w:fill="auto"/>
            <w:tcMar>
              <w:top w:w="0" w:type="dxa"/>
              <w:left w:w="0" w:type="dxa"/>
              <w:bottom w:w="0" w:type="dxa"/>
              <w:right w:w="0" w:type="dxa"/>
            </w:tcMar>
          </w:tcPr>
          <w:p w14:paraId="1F95DC0A"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5" w:type="dxa"/>
            <w:tcBorders>
              <w:top w:val="nil"/>
              <w:left w:val="nil"/>
              <w:bottom w:val="nil"/>
              <w:right w:val="nil"/>
            </w:tcBorders>
            <w:shd w:val="clear" w:color="auto" w:fill="auto"/>
            <w:tcMar>
              <w:top w:w="0" w:type="dxa"/>
              <w:left w:w="0" w:type="dxa"/>
              <w:bottom w:w="0" w:type="dxa"/>
              <w:right w:w="0" w:type="dxa"/>
            </w:tcMar>
          </w:tcPr>
          <w:p w14:paraId="532741A6"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240E6B3A"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7DF655A8"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6ABF249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41ECCDAA"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349ACDC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 - Total</w:t>
            </w:r>
          </w:p>
        </w:tc>
        <w:tc>
          <w:tcPr>
            <w:tcW w:w="720" w:type="dxa"/>
            <w:tcBorders>
              <w:top w:val="nil"/>
              <w:left w:val="nil"/>
              <w:bottom w:val="nil"/>
              <w:right w:val="nil"/>
            </w:tcBorders>
            <w:shd w:val="clear" w:color="auto" w:fill="auto"/>
            <w:tcMar>
              <w:top w:w="0" w:type="dxa"/>
              <w:left w:w="0" w:type="dxa"/>
              <w:bottom w:w="0" w:type="dxa"/>
              <w:right w:w="0" w:type="dxa"/>
            </w:tcMar>
          </w:tcPr>
          <w:p w14:paraId="31D5D93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.457</w:t>
            </w:r>
          </w:p>
        </w:tc>
        <w:tc>
          <w:tcPr>
            <w:tcW w:w="720" w:type="dxa"/>
            <w:tcBorders>
              <w:top w:val="nil"/>
              <w:left w:val="nil"/>
              <w:bottom w:val="nil"/>
              <w:right w:val="nil"/>
            </w:tcBorders>
            <w:shd w:val="clear" w:color="auto" w:fill="auto"/>
            <w:tcMar>
              <w:top w:w="0" w:type="dxa"/>
              <w:left w:w="0" w:type="dxa"/>
              <w:bottom w:w="0" w:type="dxa"/>
              <w:right w:w="0" w:type="dxa"/>
            </w:tcMar>
          </w:tcPr>
          <w:p w14:paraId="73F9C44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c>
          <w:tcPr>
            <w:tcW w:w="810" w:type="dxa"/>
            <w:tcBorders>
              <w:top w:val="nil"/>
              <w:left w:val="nil"/>
              <w:bottom w:val="nil"/>
              <w:right w:val="nil"/>
            </w:tcBorders>
            <w:shd w:val="clear" w:color="auto" w:fill="auto"/>
            <w:tcMar>
              <w:top w:w="0" w:type="dxa"/>
              <w:left w:w="0" w:type="dxa"/>
              <w:bottom w:w="0" w:type="dxa"/>
              <w:right w:w="0" w:type="dxa"/>
            </w:tcMar>
          </w:tcPr>
          <w:p w14:paraId="4FEAC5D5"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nil"/>
              <w:right w:val="nil"/>
            </w:tcBorders>
            <w:shd w:val="clear" w:color="auto" w:fill="auto"/>
            <w:tcMar>
              <w:top w:w="0" w:type="dxa"/>
              <w:left w:w="0" w:type="dxa"/>
              <w:bottom w:w="0" w:type="dxa"/>
              <w:right w:w="0" w:type="dxa"/>
            </w:tcMar>
          </w:tcPr>
          <w:p w14:paraId="7CB45C82"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2E4DE92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59466040"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6E40FBB9"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4E05E569"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533EDB1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level</w:t>
            </w:r>
          </w:p>
        </w:tc>
        <w:tc>
          <w:tcPr>
            <w:tcW w:w="720" w:type="dxa"/>
            <w:tcBorders>
              <w:top w:val="nil"/>
              <w:left w:val="nil"/>
              <w:bottom w:val="nil"/>
              <w:right w:val="nil"/>
            </w:tcBorders>
            <w:shd w:val="clear" w:color="auto" w:fill="auto"/>
            <w:tcMar>
              <w:top w:w="0" w:type="dxa"/>
              <w:left w:w="0" w:type="dxa"/>
              <w:bottom w:w="0" w:type="dxa"/>
              <w:right w:w="0" w:type="dxa"/>
            </w:tcMar>
          </w:tcPr>
          <w:p w14:paraId="2D66E09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720" w:type="dxa"/>
            <w:tcBorders>
              <w:top w:val="nil"/>
              <w:left w:val="nil"/>
              <w:bottom w:val="nil"/>
              <w:right w:val="nil"/>
            </w:tcBorders>
            <w:shd w:val="clear" w:color="auto" w:fill="auto"/>
            <w:tcMar>
              <w:top w:w="0" w:type="dxa"/>
              <w:left w:w="0" w:type="dxa"/>
              <w:bottom w:w="0" w:type="dxa"/>
              <w:right w:w="0" w:type="dxa"/>
            </w:tcMar>
          </w:tcPr>
          <w:p w14:paraId="5EC1AF6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810" w:type="dxa"/>
            <w:tcBorders>
              <w:top w:val="nil"/>
              <w:left w:val="nil"/>
              <w:bottom w:val="nil"/>
              <w:right w:val="nil"/>
            </w:tcBorders>
            <w:shd w:val="clear" w:color="auto" w:fill="auto"/>
            <w:tcMar>
              <w:top w:w="0" w:type="dxa"/>
              <w:left w:w="0" w:type="dxa"/>
              <w:bottom w:w="0" w:type="dxa"/>
              <w:right w:w="0" w:type="dxa"/>
            </w:tcMar>
          </w:tcPr>
          <w:p w14:paraId="4773F4DD"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125" w:type="dxa"/>
            <w:tcBorders>
              <w:top w:val="nil"/>
              <w:left w:val="nil"/>
              <w:bottom w:val="nil"/>
              <w:right w:val="nil"/>
            </w:tcBorders>
            <w:shd w:val="clear" w:color="auto" w:fill="auto"/>
            <w:tcMar>
              <w:top w:w="0" w:type="dxa"/>
              <w:left w:w="0" w:type="dxa"/>
              <w:bottom w:w="0" w:type="dxa"/>
              <w:right w:w="0" w:type="dxa"/>
            </w:tcMar>
          </w:tcPr>
          <w:p w14:paraId="46859D53"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0EF1473B"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2132DC1D" w14:textId="77777777">
        <w:trPr>
          <w:trHeight w:val="540"/>
        </w:trPr>
        <w:tc>
          <w:tcPr>
            <w:tcW w:w="1920" w:type="dxa"/>
            <w:tcBorders>
              <w:top w:val="nil"/>
              <w:left w:val="nil"/>
              <w:bottom w:val="nil"/>
              <w:right w:val="nil"/>
            </w:tcBorders>
            <w:shd w:val="clear" w:color="auto" w:fill="auto"/>
            <w:tcMar>
              <w:top w:w="0" w:type="dxa"/>
              <w:left w:w="0" w:type="dxa"/>
              <w:bottom w:w="0" w:type="dxa"/>
              <w:right w:w="0" w:type="dxa"/>
            </w:tcMar>
          </w:tcPr>
          <w:p w14:paraId="7BE74B7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73471AB9"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09D92D36"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720" w:type="dxa"/>
            <w:tcBorders>
              <w:top w:val="nil"/>
              <w:left w:val="nil"/>
              <w:bottom w:val="nil"/>
              <w:right w:val="nil"/>
            </w:tcBorders>
            <w:shd w:val="clear" w:color="auto" w:fill="auto"/>
            <w:tcMar>
              <w:top w:w="0" w:type="dxa"/>
              <w:left w:w="0" w:type="dxa"/>
              <w:bottom w:w="0" w:type="dxa"/>
              <w:right w:w="0" w:type="dxa"/>
            </w:tcMar>
          </w:tcPr>
          <w:p w14:paraId="6BA829C9"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720" w:type="dxa"/>
            <w:tcBorders>
              <w:top w:val="nil"/>
              <w:left w:val="nil"/>
              <w:bottom w:val="nil"/>
              <w:right w:val="nil"/>
            </w:tcBorders>
            <w:shd w:val="clear" w:color="auto" w:fill="auto"/>
            <w:tcMar>
              <w:top w:w="0" w:type="dxa"/>
              <w:left w:w="0" w:type="dxa"/>
              <w:bottom w:w="0" w:type="dxa"/>
              <w:right w:w="0" w:type="dxa"/>
            </w:tcMar>
          </w:tcPr>
          <w:p w14:paraId="2D57F49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810" w:type="dxa"/>
            <w:tcBorders>
              <w:top w:val="nil"/>
              <w:left w:val="nil"/>
              <w:bottom w:val="nil"/>
              <w:right w:val="nil"/>
            </w:tcBorders>
            <w:shd w:val="clear" w:color="auto" w:fill="auto"/>
            <w:tcMar>
              <w:top w:w="0" w:type="dxa"/>
              <w:left w:w="0" w:type="dxa"/>
              <w:bottom w:w="0" w:type="dxa"/>
              <w:right w:w="0" w:type="dxa"/>
            </w:tcMar>
          </w:tcPr>
          <w:p w14:paraId="224E0B69"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125" w:type="dxa"/>
            <w:tcBorders>
              <w:top w:val="nil"/>
              <w:left w:val="nil"/>
              <w:bottom w:val="nil"/>
              <w:right w:val="nil"/>
            </w:tcBorders>
            <w:shd w:val="clear" w:color="auto" w:fill="auto"/>
            <w:tcMar>
              <w:top w:w="0" w:type="dxa"/>
              <w:left w:w="0" w:type="dxa"/>
              <w:bottom w:w="0" w:type="dxa"/>
              <w:right w:w="0" w:type="dxa"/>
            </w:tcMar>
          </w:tcPr>
          <w:p w14:paraId="27187F7B"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w:t>
            </w:r>
          </w:p>
        </w:tc>
        <w:tc>
          <w:tcPr>
            <w:tcW w:w="1005" w:type="dxa"/>
            <w:tcBorders>
              <w:top w:val="nil"/>
              <w:left w:val="nil"/>
              <w:bottom w:val="nil"/>
              <w:right w:val="nil"/>
            </w:tcBorders>
            <w:shd w:val="clear" w:color="auto" w:fill="auto"/>
            <w:tcMar>
              <w:top w:w="0" w:type="dxa"/>
              <w:left w:w="0" w:type="dxa"/>
              <w:bottom w:w="0" w:type="dxa"/>
              <w:right w:w="0" w:type="dxa"/>
            </w:tcMar>
          </w:tcPr>
          <w:p w14:paraId="71DF5E55"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.006 (p=.144)</w:t>
            </w:r>
          </w:p>
        </w:tc>
      </w:tr>
      <w:tr w:rsidR="00EA3A89" w14:paraId="529965B7"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37331A5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DSMSE-memory</w:t>
            </w:r>
          </w:p>
        </w:tc>
        <w:tc>
          <w:tcPr>
            <w:tcW w:w="975" w:type="dxa"/>
            <w:vMerge w:val="restart"/>
            <w:tcBorders>
              <w:top w:val="nil"/>
              <w:left w:val="nil"/>
              <w:bottom w:val="nil"/>
              <w:right w:val="nil"/>
            </w:tcBorders>
            <w:shd w:val="clear" w:color="auto" w:fill="auto"/>
            <w:tcMar>
              <w:top w:w="0" w:type="dxa"/>
              <w:left w:w="0" w:type="dxa"/>
              <w:bottom w:w="0" w:type="dxa"/>
              <w:right w:w="0" w:type="dxa"/>
            </w:tcMar>
          </w:tcPr>
          <w:p w14:paraId="3E85E18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1</w:t>
            </w:r>
          </w:p>
        </w:tc>
        <w:tc>
          <w:tcPr>
            <w:tcW w:w="2145" w:type="dxa"/>
            <w:tcBorders>
              <w:top w:val="nil"/>
              <w:left w:val="nil"/>
              <w:bottom w:val="nil"/>
              <w:right w:val="nil"/>
            </w:tcBorders>
            <w:shd w:val="clear" w:color="auto" w:fill="auto"/>
            <w:tcMar>
              <w:top w:w="0" w:type="dxa"/>
              <w:left w:w="0" w:type="dxa"/>
              <w:bottom w:w="0" w:type="dxa"/>
              <w:right w:w="0" w:type="dxa"/>
            </w:tcMar>
          </w:tcPr>
          <w:p w14:paraId="3129F02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30EEE88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vAlign w:val="bottom"/>
          </w:tcPr>
          <w:p w14:paraId="585B4D25"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tcBorders>
              <w:top w:val="nil"/>
              <w:left w:val="nil"/>
              <w:bottom w:val="nil"/>
              <w:right w:val="nil"/>
            </w:tcBorders>
            <w:shd w:val="clear" w:color="auto" w:fill="auto"/>
            <w:tcMar>
              <w:top w:w="0" w:type="dxa"/>
              <w:left w:w="0" w:type="dxa"/>
              <w:bottom w:w="0" w:type="dxa"/>
              <w:right w:w="0" w:type="dxa"/>
            </w:tcMar>
            <w:vAlign w:val="bottom"/>
          </w:tcPr>
          <w:p w14:paraId="41AB76E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25" w:type="dxa"/>
            <w:tcBorders>
              <w:top w:val="nil"/>
              <w:left w:val="nil"/>
              <w:bottom w:val="nil"/>
              <w:right w:val="nil"/>
            </w:tcBorders>
            <w:shd w:val="clear" w:color="auto" w:fill="auto"/>
            <w:tcMar>
              <w:top w:w="0" w:type="dxa"/>
              <w:left w:w="0" w:type="dxa"/>
              <w:bottom w:w="0" w:type="dxa"/>
              <w:right w:w="0" w:type="dxa"/>
            </w:tcMar>
          </w:tcPr>
          <w:p w14:paraId="69FE7747"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6232D16E"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6646E050"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61E007E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nil"/>
              <w:right w:val="nil"/>
            </w:tcBorders>
            <w:shd w:val="clear" w:color="auto" w:fill="auto"/>
            <w:tcMar>
              <w:top w:w="100" w:type="dxa"/>
              <w:left w:w="100" w:type="dxa"/>
              <w:bottom w:w="100" w:type="dxa"/>
              <w:right w:w="100" w:type="dxa"/>
            </w:tcMar>
          </w:tcPr>
          <w:p w14:paraId="6A9B19E1"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5B3CB01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 - Total</w:t>
            </w:r>
          </w:p>
        </w:tc>
        <w:tc>
          <w:tcPr>
            <w:tcW w:w="720" w:type="dxa"/>
            <w:tcBorders>
              <w:top w:val="nil"/>
              <w:left w:val="nil"/>
              <w:bottom w:val="nil"/>
              <w:right w:val="nil"/>
            </w:tcBorders>
            <w:shd w:val="clear" w:color="auto" w:fill="auto"/>
            <w:tcMar>
              <w:top w:w="0" w:type="dxa"/>
              <w:left w:w="0" w:type="dxa"/>
              <w:bottom w:w="0" w:type="dxa"/>
              <w:right w:w="0" w:type="dxa"/>
            </w:tcMar>
          </w:tcPr>
          <w:p w14:paraId="423C5D0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tc>
        <w:tc>
          <w:tcPr>
            <w:tcW w:w="720" w:type="dxa"/>
            <w:tcBorders>
              <w:top w:val="nil"/>
              <w:left w:val="nil"/>
              <w:bottom w:val="nil"/>
              <w:right w:val="nil"/>
            </w:tcBorders>
            <w:shd w:val="clear" w:color="auto" w:fill="auto"/>
            <w:tcMar>
              <w:top w:w="0" w:type="dxa"/>
              <w:left w:w="0" w:type="dxa"/>
              <w:bottom w:w="0" w:type="dxa"/>
              <w:right w:w="0" w:type="dxa"/>
            </w:tcMar>
          </w:tcPr>
          <w:p w14:paraId="20C92332"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810" w:type="dxa"/>
            <w:tcBorders>
              <w:top w:val="nil"/>
              <w:left w:val="nil"/>
              <w:bottom w:val="nil"/>
              <w:right w:val="nil"/>
            </w:tcBorders>
            <w:shd w:val="clear" w:color="auto" w:fill="auto"/>
            <w:tcMar>
              <w:top w:w="0" w:type="dxa"/>
              <w:left w:w="0" w:type="dxa"/>
              <w:bottom w:w="0" w:type="dxa"/>
              <w:right w:w="0" w:type="dxa"/>
            </w:tcMar>
          </w:tcPr>
          <w:p w14:paraId="5F57E63E"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nil"/>
              <w:right w:val="nil"/>
            </w:tcBorders>
            <w:shd w:val="clear" w:color="auto" w:fill="auto"/>
            <w:tcMar>
              <w:top w:w="0" w:type="dxa"/>
              <w:left w:w="0" w:type="dxa"/>
              <w:bottom w:w="0" w:type="dxa"/>
              <w:right w:w="0" w:type="dxa"/>
            </w:tcMar>
          </w:tcPr>
          <w:p w14:paraId="4A28B163"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.249**</w:t>
            </w:r>
          </w:p>
        </w:tc>
        <w:tc>
          <w:tcPr>
            <w:tcW w:w="1005" w:type="dxa"/>
            <w:tcBorders>
              <w:top w:val="nil"/>
              <w:left w:val="nil"/>
              <w:bottom w:val="nil"/>
              <w:right w:val="nil"/>
            </w:tcBorders>
            <w:shd w:val="clear" w:color="auto" w:fill="auto"/>
            <w:tcMar>
              <w:top w:w="0" w:type="dxa"/>
              <w:left w:w="0" w:type="dxa"/>
              <w:bottom w:w="0" w:type="dxa"/>
              <w:right w:w="0" w:type="dxa"/>
            </w:tcMar>
          </w:tcPr>
          <w:p w14:paraId="162A0D2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74F299F0"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48184CC8"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val="restart"/>
            <w:tcBorders>
              <w:top w:val="nil"/>
              <w:left w:val="nil"/>
              <w:bottom w:val="single" w:sz="8" w:space="0" w:color="000000"/>
              <w:right w:val="nil"/>
            </w:tcBorders>
            <w:shd w:val="clear" w:color="auto" w:fill="auto"/>
            <w:tcMar>
              <w:top w:w="0" w:type="dxa"/>
              <w:left w:w="0" w:type="dxa"/>
              <w:bottom w:w="0" w:type="dxa"/>
              <w:right w:w="0" w:type="dxa"/>
            </w:tcMar>
          </w:tcPr>
          <w:p w14:paraId="674667D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2</w:t>
            </w:r>
          </w:p>
        </w:tc>
        <w:tc>
          <w:tcPr>
            <w:tcW w:w="2145" w:type="dxa"/>
            <w:tcBorders>
              <w:top w:val="nil"/>
              <w:left w:val="nil"/>
              <w:bottom w:val="nil"/>
              <w:right w:val="nil"/>
            </w:tcBorders>
            <w:shd w:val="clear" w:color="auto" w:fill="auto"/>
            <w:tcMar>
              <w:top w:w="0" w:type="dxa"/>
              <w:left w:w="0" w:type="dxa"/>
              <w:bottom w:w="0" w:type="dxa"/>
              <w:right w:w="0" w:type="dxa"/>
            </w:tcMar>
          </w:tcPr>
          <w:p w14:paraId="1309FB52"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00FB415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20" w:type="dxa"/>
            <w:tcBorders>
              <w:top w:val="nil"/>
              <w:left w:val="nil"/>
              <w:bottom w:val="nil"/>
              <w:right w:val="nil"/>
            </w:tcBorders>
            <w:shd w:val="clear" w:color="auto" w:fill="auto"/>
            <w:tcMar>
              <w:top w:w="0" w:type="dxa"/>
              <w:left w:w="0" w:type="dxa"/>
              <w:bottom w:w="0" w:type="dxa"/>
              <w:right w:w="0" w:type="dxa"/>
            </w:tcMar>
          </w:tcPr>
          <w:p w14:paraId="4205BA09"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0" w:type="dxa"/>
            <w:tcBorders>
              <w:top w:val="nil"/>
              <w:left w:val="nil"/>
              <w:bottom w:val="nil"/>
              <w:right w:val="nil"/>
            </w:tcBorders>
            <w:shd w:val="clear" w:color="auto" w:fill="auto"/>
            <w:tcMar>
              <w:top w:w="0" w:type="dxa"/>
              <w:left w:w="0" w:type="dxa"/>
              <w:bottom w:w="0" w:type="dxa"/>
              <w:right w:w="0" w:type="dxa"/>
            </w:tcMar>
          </w:tcPr>
          <w:p w14:paraId="70BEBD8A"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25" w:type="dxa"/>
            <w:tcBorders>
              <w:top w:val="nil"/>
              <w:left w:val="nil"/>
              <w:bottom w:val="nil"/>
              <w:right w:val="nil"/>
            </w:tcBorders>
            <w:shd w:val="clear" w:color="auto" w:fill="auto"/>
            <w:tcMar>
              <w:top w:w="0" w:type="dxa"/>
              <w:left w:w="0" w:type="dxa"/>
              <w:bottom w:w="0" w:type="dxa"/>
              <w:right w:w="0" w:type="dxa"/>
            </w:tcMar>
          </w:tcPr>
          <w:p w14:paraId="607A4D5E"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4EF7011D"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5837EC58" w14:textId="77777777">
        <w:trPr>
          <w:trHeight w:val="270"/>
        </w:trPr>
        <w:tc>
          <w:tcPr>
            <w:tcW w:w="1920" w:type="dxa"/>
            <w:tcBorders>
              <w:top w:val="nil"/>
              <w:left w:val="nil"/>
              <w:bottom w:val="nil"/>
              <w:right w:val="nil"/>
            </w:tcBorders>
            <w:shd w:val="clear" w:color="auto" w:fill="auto"/>
            <w:tcMar>
              <w:top w:w="0" w:type="dxa"/>
              <w:left w:w="0" w:type="dxa"/>
              <w:bottom w:w="0" w:type="dxa"/>
              <w:right w:w="0" w:type="dxa"/>
            </w:tcMar>
          </w:tcPr>
          <w:p w14:paraId="1A087551"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single" w:sz="8" w:space="0" w:color="000000"/>
              <w:right w:val="nil"/>
            </w:tcBorders>
            <w:shd w:val="clear" w:color="auto" w:fill="auto"/>
            <w:tcMar>
              <w:top w:w="100" w:type="dxa"/>
              <w:left w:w="100" w:type="dxa"/>
              <w:bottom w:w="100" w:type="dxa"/>
              <w:right w:w="100" w:type="dxa"/>
            </w:tcMar>
          </w:tcPr>
          <w:p w14:paraId="518951E8"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nil"/>
              <w:right w:val="nil"/>
            </w:tcBorders>
            <w:shd w:val="clear" w:color="auto" w:fill="auto"/>
            <w:tcMar>
              <w:top w:w="0" w:type="dxa"/>
              <w:left w:w="0" w:type="dxa"/>
              <w:bottom w:w="0" w:type="dxa"/>
              <w:right w:w="0" w:type="dxa"/>
            </w:tcMar>
          </w:tcPr>
          <w:p w14:paraId="1C1814F0"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DSMSE - Total</w:t>
            </w:r>
          </w:p>
        </w:tc>
        <w:tc>
          <w:tcPr>
            <w:tcW w:w="720" w:type="dxa"/>
            <w:tcBorders>
              <w:top w:val="nil"/>
              <w:left w:val="nil"/>
              <w:bottom w:val="nil"/>
              <w:right w:val="nil"/>
            </w:tcBorders>
            <w:shd w:val="clear" w:color="auto" w:fill="auto"/>
            <w:tcMar>
              <w:top w:w="0" w:type="dxa"/>
              <w:left w:w="0" w:type="dxa"/>
              <w:bottom w:w="0" w:type="dxa"/>
              <w:right w:w="0" w:type="dxa"/>
            </w:tcMar>
          </w:tcPr>
          <w:p w14:paraId="62E804FD"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720" w:type="dxa"/>
            <w:tcBorders>
              <w:top w:val="nil"/>
              <w:left w:val="nil"/>
              <w:bottom w:val="nil"/>
              <w:right w:val="nil"/>
            </w:tcBorders>
            <w:shd w:val="clear" w:color="auto" w:fill="auto"/>
            <w:tcMar>
              <w:top w:w="0" w:type="dxa"/>
              <w:left w:w="0" w:type="dxa"/>
              <w:bottom w:w="0" w:type="dxa"/>
              <w:right w:w="0" w:type="dxa"/>
            </w:tcMar>
          </w:tcPr>
          <w:p w14:paraId="7A145AE3"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8.35</w:t>
            </w:r>
          </w:p>
        </w:tc>
        <w:tc>
          <w:tcPr>
            <w:tcW w:w="810" w:type="dxa"/>
            <w:tcBorders>
              <w:top w:val="nil"/>
              <w:left w:val="nil"/>
              <w:bottom w:val="nil"/>
              <w:right w:val="nil"/>
            </w:tcBorders>
            <w:shd w:val="clear" w:color="auto" w:fill="auto"/>
            <w:tcMar>
              <w:top w:w="0" w:type="dxa"/>
              <w:left w:w="0" w:type="dxa"/>
              <w:bottom w:w="0" w:type="dxa"/>
              <w:right w:w="0" w:type="dxa"/>
            </w:tcMar>
          </w:tcPr>
          <w:p w14:paraId="79EFB5C4"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nil"/>
              <w:right w:val="nil"/>
            </w:tcBorders>
            <w:shd w:val="clear" w:color="auto" w:fill="auto"/>
            <w:tcMar>
              <w:top w:w="0" w:type="dxa"/>
              <w:left w:w="0" w:type="dxa"/>
              <w:bottom w:w="0" w:type="dxa"/>
              <w:right w:w="0" w:type="dxa"/>
            </w:tcMar>
          </w:tcPr>
          <w:p w14:paraId="7C1D116B"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005" w:type="dxa"/>
            <w:tcBorders>
              <w:top w:val="nil"/>
              <w:left w:val="nil"/>
              <w:bottom w:val="nil"/>
              <w:right w:val="nil"/>
            </w:tcBorders>
            <w:shd w:val="clear" w:color="auto" w:fill="auto"/>
            <w:tcMar>
              <w:top w:w="0" w:type="dxa"/>
              <w:left w:w="0" w:type="dxa"/>
              <w:bottom w:w="0" w:type="dxa"/>
              <w:right w:w="0" w:type="dxa"/>
            </w:tcMar>
          </w:tcPr>
          <w:p w14:paraId="02322166"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A3A89" w14:paraId="37D0649A" w14:textId="77777777">
        <w:trPr>
          <w:trHeight w:val="555"/>
        </w:trPr>
        <w:tc>
          <w:tcPr>
            <w:tcW w:w="1920" w:type="dxa"/>
            <w:tcBorders>
              <w:top w:val="nil"/>
              <w:left w:val="nil"/>
              <w:bottom w:val="single" w:sz="8" w:space="0" w:color="000000"/>
              <w:right w:val="nil"/>
            </w:tcBorders>
            <w:shd w:val="clear" w:color="auto" w:fill="auto"/>
            <w:tcMar>
              <w:top w:w="0" w:type="dxa"/>
              <w:left w:w="0" w:type="dxa"/>
              <w:bottom w:w="0" w:type="dxa"/>
              <w:right w:w="0" w:type="dxa"/>
            </w:tcMar>
          </w:tcPr>
          <w:p w14:paraId="7472BED7"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5" w:type="dxa"/>
            <w:vMerge/>
            <w:tcBorders>
              <w:top w:val="nil"/>
              <w:left w:val="nil"/>
              <w:bottom w:val="single" w:sz="8" w:space="0" w:color="000000"/>
              <w:right w:val="nil"/>
            </w:tcBorders>
            <w:shd w:val="clear" w:color="auto" w:fill="auto"/>
            <w:tcMar>
              <w:top w:w="100" w:type="dxa"/>
              <w:left w:w="100" w:type="dxa"/>
              <w:bottom w:w="100" w:type="dxa"/>
              <w:right w:w="100" w:type="dxa"/>
            </w:tcMar>
          </w:tcPr>
          <w:p w14:paraId="71102AE6" w14:textId="77777777" w:rsidR="00EA3A89" w:rsidRDefault="00EA3A89">
            <w:pPr>
              <w:spacing w:after="200" w:line="240" w:lineRule="auto"/>
              <w:rPr>
                <w:rFonts w:ascii="Times New Roman" w:eastAsia="Times New Roman" w:hAnsi="Times New Roman" w:cs="Times New Roman"/>
                <w:sz w:val="24"/>
                <w:szCs w:val="24"/>
              </w:rPr>
            </w:pPr>
          </w:p>
        </w:tc>
        <w:tc>
          <w:tcPr>
            <w:tcW w:w="2145" w:type="dxa"/>
            <w:tcBorders>
              <w:top w:val="nil"/>
              <w:left w:val="nil"/>
              <w:bottom w:val="single" w:sz="8" w:space="0" w:color="000000"/>
              <w:right w:val="nil"/>
            </w:tcBorders>
            <w:shd w:val="clear" w:color="auto" w:fill="auto"/>
            <w:tcMar>
              <w:top w:w="0" w:type="dxa"/>
              <w:left w:w="0" w:type="dxa"/>
              <w:bottom w:w="0" w:type="dxa"/>
              <w:right w:w="0" w:type="dxa"/>
            </w:tcMar>
          </w:tcPr>
          <w:p w14:paraId="144AAFD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720" w:type="dxa"/>
            <w:tcBorders>
              <w:top w:val="nil"/>
              <w:left w:val="nil"/>
              <w:bottom w:val="single" w:sz="8" w:space="0" w:color="000000"/>
              <w:right w:val="nil"/>
            </w:tcBorders>
            <w:shd w:val="clear" w:color="auto" w:fill="auto"/>
            <w:tcMar>
              <w:top w:w="0" w:type="dxa"/>
              <w:left w:w="0" w:type="dxa"/>
              <w:bottom w:w="0" w:type="dxa"/>
              <w:right w:w="0" w:type="dxa"/>
            </w:tcMar>
          </w:tcPr>
          <w:p w14:paraId="1049AA4C"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720" w:type="dxa"/>
            <w:tcBorders>
              <w:top w:val="nil"/>
              <w:left w:val="nil"/>
              <w:bottom w:val="single" w:sz="8" w:space="0" w:color="000000"/>
              <w:right w:val="nil"/>
            </w:tcBorders>
            <w:shd w:val="clear" w:color="auto" w:fill="auto"/>
            <w:tcMar>
              <w:top w:w="0" w:type="dxa"/>
              <w:left w:w="0" w:type="dxa"/>
              <w:bottom w:w="0" w:type="dxa"/>
              <w:right w:w="0" w:type="dxa"/>
            </w:tcMar>
          </w:tcPr>
          <w:p w14:paraId="7516E67F"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-6.60</w:t>
            </w:r>
          </w:p>
        </w:tc>
        <w:tc>
          <w:tcPr>
            <w:tcW w:w="810" w:type="dxa"/>
            <w:tcBorders>
              <w:top w:val="nil"/>
              <w:left w:val="nil"/>
              <w:bottom w:val="single" w:sz="8" w:space="0" w:color="000000"/>
              <w:right w:val="nil"/>
            </w:tcBorders>
            <w:shd w:val="clear" w:color="auto" w:fill="auto"/>
            <w:tcMar>
              <w:top w:w="0" w:type="dxa"/>
              <w:left w:w="0" w:type="dxa"/>
              <w:bottom w:w="0" w:type="dxa"/>
              <w:right w:w="0" w:type="dxa"/>
            </w:tcMar>
          </w:tcPr>
          <w:p w14:paraId="0A957B85"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&lt;.001</w:t>
            </w:r>
          </w:p>
        </w:tc>
        <w:tc>
          <w:tcPr>
            <w:tcW w:w="1125" w:type="dxa"/>
            <w:tcBorders>
              <w:top w:val="nil"/>
              <w:left w:val="nil"/>
              <w:bottom w:val="single" w:sz="8" w:space="0" w:color="000000"/>
              <w:right w:val="nil"/>
            </w:tcBorders>
            <w:shd w:val="clear" w:color="auto" w:fill="auto"/>
            <w:tcMar>
              <w:top w:w="0" w:type="dxa"/>
              <w:left w:w="0" w:type="dxa"/>
              <w:bottom w:w="0" w:type="dxa"/>
              <w:right w:w="0" w:type="dxa"/>
            </w:tcMar>
          </w:tcPr>
          <w:p w14:paraId="23B047A7"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.359***</w:t>
            </w:r>
          </w:p>
        </w:tc>
        <w:tc>
          <w:tcPr>
            <w:tcW w:w="1005" w:type="dxa"/>
            <w:tcBorders>
              <w:top w:val="nil"/>
              <w:left w:val="nil"/>
              <w:bottom w:val="single" w:sz="8" w:space="0" w:color="000000"/>
              <w:right w:val="nil"/>
            </w:tcBorders>
            <w:shd w:val="clear" w:color="auto" w:fill="auto"/>
            <w:tcMar>
              <w:top w:w="0" w:type="dxa"/>
              <w:left w:w="0" w:type="dxa"/>
              <w:bottom w:w="0" w:type="dxa"/>
              <w:right w:w="0" w:type="dxa"/>
            </w:tcMar>
          </w:tcPr>
          <w:p w14:paraId="3CB99D32" w14:textId="77777777" w:rsidR="00EA3A89" w:rsidRDefault="00000000">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 (p&lt;.001)</w:t>
            </w:r>
          </w:p>
        </w:tc>
      </w:tr>
    </w:tbl>
    <w:p w14:paraId="50B02ED4" w14:textId="77777777" w:rsidR="00EA3A89" w:rsidRDefault="00000000">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 p&lt;.001, **p&lt;.01. Significant results were also in bold. DV: dependent variable, IV: independent variable. </w:t>
      </w:r>
    </w:p>
    <w:p w14:paraId="12014E6A" w14:textId="77777777" w:rsidR="00EA3A89" w:rsidRDefault="00EA3A89">
      <w:pPr>
        <w:spacing w:before="240" w:line="240" w:lineRule="auto"/>
        <w:rPr>
          <w:rFonts w:ascii="Times New Roman" w:eastAsia="Times New Roman" w:hAnsi="Times New Roman" w:cs="Times New Roman"/>
          <w:sz w:val="24"/>
          <w:szCs w:val="24"/>
        </w:rPr>
      </w:pPr>
    </w:p>
    <w:p w14:paraId="5729F25A" w14:textId="77777777" w:rsidR="00EA3A89" w:rsidRDefault="00000000">
      <w:pPr>
        <w:spacing w:before="240"/>
        <w:rPr>
          <w:rFonts w:ascii="Times New Roman" w:eastAsia="Times New Roman" w:hAnsi="Times New Roman" w:cs="Times New Roman"/>
          <w:color w:val="010205"/>
          <w:sz w:val="24"/>
          <w:szCs w:val="24"/>
        </w:rPr>
      </w:pPr>
      <w:r>
        <w:rPr>
          <w:rFonts w:ascii="Times New Roman" w:eastAsia="Times New Roman" w:hAnsi="Times New Roman" w:cs="Times New Roman"/>
          <w:b/>
          <w:sz w:val="24"/>
          <w:szCs w:val="24"/>
        </w:rPr>
        <w:t>Table 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10205"/>
          <w:sz w:val="24"/>
          <w:szCs w:val="24"/>
        </w:rPr>
        <w:t>AUC values</w:t>
      </w:r>
    </w:p>
    <w:tbl>
      <w:tblPr>
        <w:tblStyle w:val="a0"/>
        <w:tblW w:w="8460" w:type="dxa"/>
        <w:tblBorders>
          <w:top w:val="nil"/>
          <w:left w:val="nil"/>
          <w:bottom w:val="nil"/>
          <w:right w:val="nil"/>
          <w:insideH w:val="nil"/>
          <w:insideV w:val="nil"/>
        </w:tblBorders>
        <w:tblLayout w:type="fixed"/>
        <w:tblLook w:val="0600" w:firstRow="0" w:lastRow="0" w:firstColumn="0" w:lastColumn="0" w:noHBand="1" w:noVBand="1"/>
      </w:tblPr>
      <w:tblGrid>
        <w:gridCol w:w="1950"/>
        <w:gridCol w:w="2310"/>
        <w:gridCol w:w="795"/>
        <w:gridCol w:w="840"/>
        <w:gridCol w:w="915"/>
        <w:gridCol w:w="825"/>
        <w:gridCol w:w="825"/>
      </w:tblGrid>
      <w:tr w:rsidR="00EA3A89" w14:paraId="366A976A" w14:textId="77777777">
        <w:trPr>
          <w:trHeight w:val="315"/>
        </w:trPr>
        <w:tc>
          <w:tcPr>
            <w:tcW w:w="1950" w:type="dxa"/>
            <w:tcBorders>
              <w:top w:val="nil"/>
              <w:left w:val="nil"/>
              <w:bottom w:val="nil"/>
              <w:right w:val="nil"/>
            </w:tcBorders>
            <w:shd w:val="clear" w:color="auto" w:fill="FFFFFF"/>
            <w:tcMar>
              <w:top w:w="0" w:type="dxa"/>
              <w:left w:w="0" w:type="dxa"/>
              <w:bottom w:w="0" w:type="dxa"/>
              <w:right w:w="0" w:type="dxa"/>
            </w:tcMar>
          </w:tcPr>
          <w:p w14:paraId="7F434939"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vMerge w:val="restart"/>
            <w:tcBorders>
              <w:top w:val="nil"/>
              <w:left w:val="nil"/>
              <w:bottom w:val="nil"/>
              <w:right w:val="nil"/>
            </w:tcBorders>
            <w:shd w:val="clear" w:color="auto" w:fill="FFFFFF"/>
            <w:tcMar>
              <w:top w:w="0" w:type="dxa"/>
              <w:left w:w="0" w:type="dxa"/>
              <w:bottom w:w="0" w:type="dxa"/>
              <w:right w:w="0" w:type="dxa"/>
            </w:tcMar>
            <w:vAlign w:val="bottom"/>
          </w:tcPr>
          <w:p w14:paraId="535D0A70"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Test Variable(s)</w:t>
            </w:r>
          </w:p>
        </w:tc>
        <w:tc>
          <w:tcPr>
            <w:tcW w:w="795" w:type="dxa"/>
            <w:vMerge w:val="restart"/>
            <w:tcBorders>
              <w:top w:val="nil"/>
              <w:left w:val="nil"/>
              <w:bottom w:val="nil"/>
              <w:right w:val="single" w:sz="8" w:space="0" w:color="E0E0E0"/>
            </w:tcBorders>
            <w:shd w:val="clear" w:color="auto" w:fill="FFFFFF"/>
            <w:tcMar>
              <w:top w:w="0" w:type="dxa"/>
              <w:left w:w="0" w:type="dxa"/>
              <w:bottom w:w="0" w:type="dxa"/>
              <w:right w:w="0" w:type="dxa"/>
            </w:tcMar>
            <w:vAlign w:val="bottom"/>
          </w:tcPr>
          <w:p w14:paraId="336658C2" w14:textId="77777777" w:rsidR="00EA3A89" w:rsidRDefault="00000000">
            <w:pPr>
              <w:spacing w:line="349" w:lineRule="auto"/>
              <w:ind w:left="60" w:right="60"/>
              <w:jc w:val="center"/>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AUC</w:t>
            </w:r>
          </w:p>
        </w:tc>
        <w:tc>
          <w:tcPr>
            <w:tcW w:w="840" w:type="dxa"/>
            <w:vMerge w:val="restart"/>
            <w:tcBorders>
              <w:top w:val="nil"/>
              <w:left w:val="nil"/>
              <w:bottom w:val="nil"/>
              <w:right w:val="single" w:sz="8" w:space="0" w:color="E0E0E0"/>
            </w:tcBorders>
            <w:shd w:val="clear" w:color="auto" w:fill="FFFFFF"/>
            <w:tcMar>
              <w:top w:w="0" w:type="dxa"/>
              <w:left w:w="0" w:type="dxa"/>
              <w:bottom w:w="0" w:type="dxa"/>
              <w:right w:w="0" w:type="dxa"/>
            </w:tcMar>
            <w:vAlign w:val="bottom"/>
          </w:tcPr>
          <w:p w14:paraId="7867DDCB" w14:textId="77777777" w:rsidR="00EA3A89" w:rsidRDefault="00000000">
            <w:pPr>
              <w:spacing w:line="349" w:lineRule="auto"/>
              <w:ind w:left="60" w:right="60"/>
              <w:jc w:val="center"/>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SE</w:t>
            </w:r>
          </w:p>
        </w:tc>
        <w:tc>
          <w:tcPr>
            <w:tcW w:w="915" w:type="dxa"/>
            <w:vMerge w:val="restart"/>
            <w:tcBorders>
              <w:top w:val="nil"/>
              <w:left w:val="nil"/>
              <w:bottom w:val="nil"/>
              <w:right w:val="single" w:sz="8" w:space="0" w:color="E0E0E0"/>
            </w:tcBorders>
            <w:shd w:val="clear" w:color="auto" w:fill="FFFFFF"/>
            <w:tcMar>
              <w:top w:w="0" w:type="dxa"/>
              <w:left w:w="0" w:type="dxa"/>
              <w:bottom w:w="0" w:type="dxa"/>
              <w:right w:w="0" w:type="dxa"/>
            </w:tcMar>
            <w:vAlign w:val="bottom"/>
          </w:tcPr>
          <w:p w14:paraId="43B4B459" w14:textId="77777777" w:rsidR="00EA3A89" w:rsidRDefault="00000000">
            <w:pPr>
              <w:spacing w:line="349" w:lineRule="auto"/>
              <w:ind w:left="60" w:right="60"/>
              <w:jc w:val="center"/>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p</w:t>
            </w:r>
          </w:p>
        </w:tc>
        <w:tc>
          <w:tcPr>
            <w:tcW w:w="1650" w:type="dxa"/>
            <w:gridSpan w:val="2"/>
            <w:tcBorders>
              <w:top w:val="nil"/>
              <w:left w:val="nil"/>
              <w:bottom w:val="nil"/>
              <w:right w:val="nil"/>
            </w:tcBorders>
            <w:shd w:val="clear" w:color="auto" w:fill="FFFFFF"/>
            <w:tcMar>
              <w:top w:w="0" w:type="dxa"/>
              <w:left w:w="0" w:type="dxa"/>
              <w:bottom w:w="0" w:type="dxa"/>
              <w:right w:w="0" w:type="dxa"/>
            </w:tcMar>
            <w:vAlign w:val="bottom"/>
          </w:tcPr>
          <w:p w14:paraId="0677A110" w14:textId="77777777" w:rsidR="00EA3A89" w:rsidRDefault="00000000">
            <w:pPr>
              <w:spacing w:line="349" w:lineRule="auto"/>
              <w:ind w:left="60" w:right="60"/>
              <w:jc w:val="center"/>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95% CI</w:t>
            </w:r>
          </w:p>
        </w:tc>
      </w:tr>
      <w:tr w:rsidR="00EA3A89" w14:paraId="390D2FEE" w14:textId="77777777">
        <w:trPr>
          <w:trHeight w:val="330"/>
        </w:trPr>
        <w:tc>
          <w:tcPr>
            <w:tcW w:w="1950" w:type="dxa"/>
            <w:tcBorders>
              <w:top w:val="nil"/>
              <w:left w:val="nil"/>
              <w:bottom w:val="nil"/>
              <w:right w:val="nil"/>
            </w:tcBorders>
            <w:shd w:val="clear" w:color="auto" w:fill="FFFFFF"/>
            <w:tcMar>
              <w:top w:w="0" w:type="dxa"/>
              <w:left w:w="0" w:type="dxa"/>
              <w:bottom w:w="0" w:type="dxa"/>
              <w:right w:w="0" w:type="dxa"/>
            </w:tcMar>
          </w:tcPr>
          <w:p w14:paraId="323F849E" w14:textId="77777777" w:rsidR="00EA3A89" w:rsidRDefault="00000000">
            <w:pPr>
              <w:spacing w:before="24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Comparison</w:t>
            </w:r>
          </w:p>
        </w:tc>
        <w:tc>
          <w:tcPr>
            <w:tcW w:w="2310" w:type="dxa"/>
            <w:vMerge/>
            <w:tcBorders>
              <w:top w:val="nil"/>
              <w:left w:val="nil"/>
              <w:bottom w:val="nil"/>
              <w:right w:val="nil"/>
            </w:tcBorders>
            <w:shd w:val="clear" w:color="auto" w:fill="auto"/>
            <w:tcMar>
              <w:top w:w="100" w:type="dxa"/>
              <w:left w:w="100" w:type="dxa"/>
              <w:bottom w:w="100" w:type="dxa"/>
              <w:right w:w="100" w:type="dxa"/>
            </w:tcMar>
          </w:tcPr>
          <w:p w14:paraId="49CF6356" w14:textId="77777777" w:rsidR="00EA3A89" w:rsidRDefault="00EA3A89">
            <w:pPr>
              <w:spacing w:after="200"/>
              <w:rPr>
                <w:rFonts w:ascii="Times New Roman" w:eastAsia="Times New Roman" w:hAnsi="Times New Roman" w:cs="Times New Roman"/>
                <w:sz w:val="24"/>
                <w:szCs w:val="24"/>
              </w:rPr>
            </w:pPr>
          </w:p>
        </w:tc>
        <w:tc>
          <w:tcPr>
            <w:tcW w:w="795" w:type="dxa"/>
            <w:vMerge/>
            <w:tcBorders>
              <w:top w:val="nil"/>
              <w:left w:val="nil"/>
              <w:bottom w:val="nil"/>
              <w:right w:val="single" w:sz="8" w:space="0" w:color="E0E0E0"/>
            </w:tcBorders>
            <w:shd w:val="clear" w:color="auto" w:fill="auto"/>
            <w:tcMar>
              <w:top w:w="100" w:type="dxa"/>
              <w:left w:w="100" w:type="dxa"/>
              <w:bottom w:w="100" w:type="dxa"/>
              <w:right w:w="100" w:type="dxa"/>
            </w:tcMar>
          </w:tcPr>
          <w:p w14:paraId="3422AE17" w14:textId="77777777" w:rsidR="00EA3A89" w:rsidRDefault="00EA3A89">
            <w:pPr>
              <w:spacing w:after="200"/>
              <w:rPr>
                <w:rFonts w:ascii="Times New Roman" w:eastAsia="Times New Roman" w:hAnsi="Times New Roman" w:cs="Times New Roman"/>
                <w:sz w:val="24"/>
                <w:szCs w:val="24"/>
              </w:rPr>
            </w:pPr>
          </w:p>
        </w:tc>
        <w:tc>
          <w:tcPr>
            <w:tcW w:w="840" w:type="dxa"/>
            <w:vMerge/>
            <w:tcBorders>
              <w:top w:val="nil"/>
              <w:left w:val="nil"/>
              <w:bottom w:val="nil"/>
              <w:right w:val="single" w:sz="8" w:space="0" w:color="E0E0E0"/>
            </w:tcBorders>
            <w:shd w:val="clear" w:color="auto" w:fill="auto"/>
            <w:tcMar>
              <w:top w:w="100" w:type="dxa"/>
              <w:left w:w="100" w:type="dxa"/>
              <w:bottom w:w="100" w:type="dxa"/>
              <w:right w:w="100" w:type="dxa"/>
            </w:tcMar>
          </w:tcPr>
          <w:p w14:paraId="317D65A6" w14:textId="77777777" w:rsidR="00EA3A89" w:rsidRDefault="00EA3A89">
            <w:pPr>
              <w:spacing w:after="200"/>
              <w:rPr>
                <w:rFonts w:ascii="Times New Roman" w:eastAsia="Times New Roman" w:hAnsi="Times New Roman" w:cs="Times New Roman"/>
                <w:sz w:val="24"/>
                <w:szCs w:val="24"/>
              </w:rPr>
            </w:pPr>
          </w:p>
        </w:tc>
        <w:tc>
          <w:tcPr>
            <w:tcW w:w="915" w:type="dxa"/>
            <w:vMerge/>
            <w:tcBorders>
              <w:top w:val="nil"/>
              <w:left w:val="nil"/>
              <w:bottom w:val="nil"/>
              <w:right w:val="single" w:sz="8" w:space="0" w:color="E0E0E0"/>
            </w:tcBorders>
            <w:shd w:val="clear" w:color="auto" w:fill="auto"/>
            <w:tcMar>
              <w:top w:w="100" w:type="dxa"/>
              <w:left w:w="100" w:type="dxa"/>
              <w:bottom w:w="100" w:type="dxa"/>
              <w:right w:w="100" w:type="dxa"/>
            </w:tcMar>
          </w:tcPr>
          <w:p w14:paraId="32B15B1C" w14:textId="77777777" w:rsidR="00EA3A89" w:rsidRDefault="00EA3A89">
            <w:pPr>
              <w:spacing w:after="200"/>
              <w:rPr>
                <w:rFonts w:ascii="Times New Roman" w:eastAsia="Times New Roman" w:hAnsi="Times New Roman" w:cs="Times New Roman"/>
                <w:sz w:val="24"/>
                <w:szCs w:val="24"/>
              </w:rPr>
            </w:pPr>
          </w:p>
        </w:tc>
        <w:tc>
          <w:tcPr>
            <w:tcW w:w="825" w:type="dxa"/>
            <w:tcBorders>
              <w:top w:val="nil"/>
              <w:left w:val="nil"/>
              <w:bottom w:val="single" w:sz="8" w:space="0" w:color="152935"/>
              <w:right w:val="single" w:sz="8" w:space="0" w:color="E0E0E0"/>
            </w:tcBorders>
            <w:shd w:val="clear" w:color="auto" w:fill="FFFFFF"/>
            <w:tcMar>
              <w:top w:w="0" w:type="dxa"/>
              <w:left w:w="0" w:type="dxa"/>
              <w:bottom w:w="0" w:type="dxa"/>
              <w:right w:w="0" w:type="dxa"/>
            </w:tcMar>
            <w:vAlign w:val="bottom"/>
          </w:tcPr>
          <w:p w14:paraId="590117CA" w14:textId="77777777" w:rsidR="00EA3A89" w:rsidRDefault="00000000">
            <w:pPr>
              <w:spacing w:line="349" w:lineRule="auto"/>
              <w:ind w:left="60" w:right="60"/>
              <w:jc w:val="center"/>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Lower</w:t>
            </w:r>
          </w:p>
        </w:tc>
        <w:tc>
          <w:tcPr>
            <w:tcW w:w="825" w:type="dxa"/>
            <w:tcBorders>
              <w:top w:val="nil"/>
              <w:left w:val="nil"/>
              <w:bottom w:val="single" w:sz="8" w:space="0" w:color="152935"/>
              <w:right w:val="nil"/>
            </w:tcBorders>
            <w:shd w:val="clear" w:color="auto" w:fill="FFFFFF"/>
            <w:tcMar>
              <w:top w:w="0" w:type="dxa"/>
              <w:left w:w="0" w:type="dxa"/>
              <w:bottom w:w="0" w:type="dxa"/>
              <w:right w:w="0" w:type="dxa"/>
            </w:tcMar>
            <w:vAlign w:val="bottom"/>
          </w:tcPr>
          <w:p w14:paraId="19FA7953" w14:textId="77777777" w:rsidR="00EA3A89" w:rsidRDefault="00000000">
            <w:pPr>
              <w:spacing w:line="349" w:lineRule="auto"/>
              <w:ind w:left="60" w:right="60"/>
              <w:jc w:val="center"/>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Upper</w:t>
            </w:r>
          </w:p>
        </w:tc>
      </w:tr>
      <w:tr w:rsidR="00EA3A89" w14:paraId="0755BD1B" w14:textId="77777777">
        <w:trPr>
          <w:trHeight w:val="345"/>
        </w:trPr>
        <w:tc>
          <w:tcPr>
            <w:tcW w:w="1950" w:type="dxa"/>
            <w:tcBorders>
              <w:top w:val="single" w:sz="8" w:space="0" w:color="152935"/>
              <w:left w:val="nil"/>
              <w:bottom w:val="single" w:sz="8" w:space="0" w:color="AEAEAE"/>
              <w:right w:val="nil"/>
            </w:tcBorders>
            <w:shd w:val="clear" w:color="auto" w:fill="E0E0E0"/>
            <w:tcMar>
              <w:top w:w="0" w:type="dxa"/>
              <w:left w:w="0" w:type="dxa"/>
              <w:bottom w:w="0" w:type="dxa"/>
              <w:right w:w="0" w:type="dxa"/>
            </w:tcMar>
          </w:tcPr>
          <w:p w14:paraId="49F4A1F1" w14:textId="77777777" w:rsidR="00EA3A89" w:rsidRDefault="00000000">
            <w:pPr>
              <w:spacing w:line="349" w:lineRule="auto"/>
              <w:ind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CS vs. MCI</w:t>
            </w:r>
          </w:p>
        </w:tc>
        <w:tc>
          <w:tcPr>
            <w:tcW w:w="2310" w:type="dxa"/>
            <w:tcBorders>
              <w:top w:val="single" w:sz="8" w:space="0" w:color="152935"/>
              <w:left w:val="nil"/>
              <w:bottom w:val="single" w:sz="8" w:space="0" w:color="AEAEAE"/>
              <w:right w:val="nil"/>
            </w:tcBorders>
            <w:shd w:val="clear" w:color="auto" w:fill="E0E0E0"/>
            <w:tcMar>
              <w:top w:w="0" w:type="dxa"/>
              <w:left w:w="0" w:type="dxa"/>
              <w:bottom w:w="0" w:type="dxa"/>
              <w:right w:w="0" w:type="dxa"/>
            </w:tcMar>
          </w:tcPr>
          <w:p w14:paraId="48F56448"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795" w:type="dxa"/>
            <w:tcBorders>
              <w:top w:val="single" w:sz="8" w:space="0" w:color="152935"/>
              <w:left w:val="nil"/>
              <w:bottom w:val="single" w:sz="8" w:space="0" w:color="AEAEAE"/>
              <w:right w:val="single" w:sz="8" w:space="0" w:color="E0E0E0"/>
            </w:tcBorders>
            <w:shd w:val="clear" w:color="auto" w:fill="FFFFFF"/>
            <w:tcMar>
              <w:top w:w="0" w:type="dxa"/>
              <w:left w:w="0" w:type="dxa"/>
              <w:bottom w:w="0" w:type="dxa"/>
              <w:right w:w="0" w:type="dxa"/>
            </w:tcMar>
          </w:tcPr>
          <w:p w14:paraId="0914EDCF"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40" w:type="dxa"/>
            <w:tcBorders>
              <w:top w:val="single" w:sz="8" w:space="0" w:color="152935"/>
              <w:left w:val="nil"/>
              <w:bottom w:val="single" w:sz="8" w:space="0" w:color="AEAEAE"/>
              <w:right w:val="single" w:sz="8" w:space="0" w:color="E0E0E0"/>
            </w:tcBorders>
            <w:shd w:val="clear" w:color="auto" w:fill="FFFFFF"/>
            <w:tcMar>
              <w:top w:w="0" w:type="dxa"/>
              <w:left w:w="0" w:type="dxa"/>
              <w:bottom w:w="0" w:type="dxa"/>
              <w:right w:w="0" w:type="dxa"/>
            </w:tcMar>
          </w:tcPr>
          <w:p w14:paraId="02F3D4E7"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915" w:type="dxa"/>
            <w:tcBorders>
              <w:top w:val="single" w:sz="8" w:space="0" w:color="152935"/>
              <w:left w:val="nil"/>
              <w:bottom w:val="single" w:sz="8" w:space="0" w:color="AEAEAE"/>
              <w:right w:val="single" w:sz="8" w:space="0" w:color="E0E0E0"/>
            </w:tcBorders>
            <w:shd w:val="clear" w:color="auto" w:fill="FFFFFF"/>
            <w:tcMar>
              <w:top w:w="0" w:type="dxa"/>
              <w:left w:w="0" w:type="dxa"/>
              <w:bottom w:w="0" w:type="dxa"/>
              <w:right w:w="0" w:type="dxa"/>
            </w:tcMar>
          </w:tcPr>
          <w:p w14:paraId="5F3B45F5"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7FF7B00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5C280BB3"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r>
      <w:tr w:rsidR="00EA3A89" w14:paraId="2BE70B06"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7F445792"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7BE08707"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Block Design</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FA915A5"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.700</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4B04FC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.045</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3AF07FD9"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37656E6A"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.611</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4949B665"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.788</w:t>
            </w:r>
          </w:p>
        </w:tc>
      </w:tr>
      <w:tr w:rsidR="00EA3A89" w14:paraId="7535CDB1"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599E9FD9"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35672A4A"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VMI</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51CE2648"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.674</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C9F8A58"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.041</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3F8B4B47"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5DD3BFA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.593</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1F6B5F5A"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.754</w:t>
            </w:r>
          </w:p>
        </w:tc>
      </w:tr>
      <w:tr w:rsidR="00EA3A89" w14:paraId="42BF5787"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2C2102E0"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097823B8"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DSMSE - Visuospatial</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0FF033D"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.686</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322C1A3F"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.039</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0F7A99E"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1832FE39"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.609</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774F92CA"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.763</w:t>
            </w:r>
          </w:p>
        </w:tc>
      </w:tr>
      <w:tr w:rsidR="00EA3A89" w14:paraId="10D00CA0"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418DB188"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73E07FED"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DSMSE - Memory</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069898EB"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.725</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272F1F8D"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.041</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55DA363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2F5DEB1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.645</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410FA8EB"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.804</w:t>
            </w:r>
          </w:p>
        </w:tc>
      </w:tr>
      <w:tr w:rsidR="00EA3A89" w14:paraId="66FF6159"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18811405"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2AE9B8A4"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All 4 variables</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35D4797"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.779</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0C9047CC"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.031</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161F0BB8"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0114492"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.718</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71806DC0"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.840</w:t>
            </w:r>
          </w:p>
        </w:tc>
      </w:tr>
      <w:tr w:rsidR="00EA3A89" w14:paraId="1243C256"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6E46843F"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CS vs. Dementia</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224C5AD3"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64526BE"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05EC3BEA"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52C34145"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27ABD5ED"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063AA11E"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r>
      <w:tr w:rsidR="00EA3A89" w14:paraId="210A948B"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4C8306D4"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lastRenderedPageBreak/>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59A9C596"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Block design</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10DEBC6"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.877</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E1AF46D"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.028</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1B1FF036"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334F0FC6"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.823</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7B1CF5B2"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.931</w:t>
            </w:r>
          </w:p>
        </w:tc>
      </w:tr>
      <w:tr w:rsidR="00EA3A89" w14:paraId="2D0BB24D"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2DF15B1C"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1F410702"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VMI</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1CB6964B"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.774</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23B0886D"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.046</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66E7485"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1678F1A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.685</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38DA62C3"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.864</w:t>
            </w:r>
          </w:p>
        </w:tc>
      </w:tr>
      <w:tr w:rsidR="00EA3A89" w14:paraId="59CA80C4"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34C3F72F"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5CEE9D4A"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DSMSE - visuospatial</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9150A35"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.801</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735636D"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.042</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6343412"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7BBE90D2"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.718</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58C6B2E9"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.884</w:t>
            </w:r>
          </w:p>
        </w:tc>
      </w:tr>
      <w:tr w:rsidR="00EA3A89" w14:paraId="5939E714"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48BABD2A"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3EF7C58E"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DSMSE - memory</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262B57F"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.921</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5FD9ABF7"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.020</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3CA712F9"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708FB80A"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.881</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549452D0"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.960</w:t>
            </w:r>
          </w:p>
        </w:tc>
      </w:tr>
      <w:tr w:rsidR="00EA3A89" w14:paraId="78DFC450"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1D62CB3A"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721B2531"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All 4 variables</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166EC0B0"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.937</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31E2EB64"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.017</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96D31CB"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1D1C2A1D"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.905</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5C886D8E"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.970</w:t>
            </w:r>
          </w:p>
        </w:tc>
      </w:tr>
      <w:tr w:rsidR="00EA3A89" w14:paraId="3C693262"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3B7B2833"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MCI vs. Dementia</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7EC1FF05"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7361627E"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7A0C6964"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93417A4"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6E7BC139"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1CB08EF6"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 xml:space="preserve"> </w:t>
            </w:r>
          </w:p>
        </w:tc>
      </w:tr>
      <w:tr w:rsidR="00EA3A89" w14:paraId="75ECAF21"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2ABEAA3A"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6F9537A1"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Block design</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A83FD0B"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.683</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48F7BDE"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.055</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F8FCA9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.001</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5A5AEB20"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.575</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6CFB0B48"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.791</w:t>
            </w:r>
          </w:p>
        </w:tc>
      </w:tr>
      <w:tr w:rsidR="00EA3A89" w14:paraId="76953624"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14078D70"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00C9AC53"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VMI</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53E4AD30"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.664</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06D4FDC2"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.060</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3417A8F6"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.006</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0AB9A2AA"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.547</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0EA1F734"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.781</w:t>
            </w:r>
          </w:p>
        </w:tc>
      </w:tr>
      <w:tr w:rsidR="00EA3A89" w14:paraId="21762F43"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554B0261"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39A73475"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DSMSE - Spatial</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5E943196"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.687</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763F3376"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.059</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71A62C40"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.001</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0EFC9328"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.572</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0AA61B69"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.802</w:t>
            </w:r>
          </w:p>
        </w:tc>
      </w:tr>
      <w:tr w:rsidR="00EA3A89" w14:paraId="48C2213C" w14:textId="77777777">
        <w:trPr>
          <w:trHeight w:val="345"/>
        </w:trPr>
        <w:tc>
          <w:tcPr>
            <w:tcW w:w="1950" w:type="dxa"/>
            <w:tcBorders>
              <w:top w:val="nil"/>
              <w:left w:val="nil"/>
              <w:bottom w:val="single" w:sz="8" w:space="0" w:color="AEAEAE"/>
              <w:right w:val="nil"/>
            </w:tcBorders>
            <w:shd w:val="clear" w:color="auto" w:fill="E0E0E0"/>
            <w:tcMar>
              <w:top w:w="0" w:type="dxa"/>
              <w:left w:w="0" w:type="dxa"/>
              <w:bottom w:w="0" w:type="dxa"/>
              <w:right w:w="0" w:type="dxa"/>
            </w:tcMar>
          </w:tcPr>
          <w:p w14:paraId="4DFFE5F2"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AEAEAE"/>
              <w:right w:val="nil"/>
            </w:tcBorders>
            <w:shd w:val="clear" w:color="auto" w:fill="E0E0E0"/>
            <w:tcMar>
              <w:top w:w="0" w:type="dxa"/>
              <w:left w:w="0" w:type="dxa"/>
              <w:bottom w:w="0" w:type="dxa"/>
              <w:right w:w="0" w:type="dxa"/>
            </w:tcMar>
          </w:tcPr>
          <w:p w14:paraId="6D254F20"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DSMSE - memory</w:t>
            </w:r>
          </w:p>
        </w:tc>
        <w:tc>
          <w:tcPr>
            <w:tcW w:w="79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B597323"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.777</w:t>
            </w:r>
          </w:p>
        </w:tc>
        <w:tc>
          <w:tcPr>
            <w:tcW w:w="840"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41A2F0F0"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.048</w:t>
            </w:r>
          </w:p>
        </w:tc>
        <w:tc>
          <w:tcPr>
            <w:tcW w:w="91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2301FE42"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AEAEAE"/>
              <w:right w:val="single" w:sz="8" w:space="0" w:color="E0E0E0"/>
            </w:tcBorders>
            <w:shd w:val="clear" w:color="auto" w:fill="FFFFFF"/>
            <w:tcMar>
              <w:top w:w="0" w:type="dxa"/>
              <w:left w:w="0" w:type="dxa"/>
              <w:bottom w:w="0" w:type="dxa"/>
              <w:right w:w="0" w:type="dxa"/>
            </w:tcMar>
          </w:tcPr>
          <w:p w14:paraId="1E83E00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.684</w:t>
            </w:r>
          </w:p>
        </w:tc>
        <w:tc>
          <w:tcPr>
            <w:tcW w:w="825" w:type="dxa"/>
            <w:tcBorders>
              <w:top w:val="nil"/>
              <w:left w:val="nil"/>
              <w:bottom w:val="single" w:sz="8" w:space="0" w:color="AEAEAE"/>
              <w:right w:val="nil"/>
            </w:tcBorders>
            <w:shd w:val="clear" w:color="auto" w:fill="FFFFFF"/>
            <w:tcMar>
              <w:top w:w="0" w:type="dxa"/>
              <w:left w:w="0" w:type="dxa"/>
              <w:bottom w:w="0" w:type="dxa"/>
              <w:right w:w="0" w:type="dxa"/>
            </w:tcMar>
          </w:tcPr>
          <w:p w14:paraId="4435386A"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.871</w:t>
            </w:r>
          </w:p>
        </w:tc>
      </w:tr>
      <w:tr w:rsidR="00EA3A89" w14:paraId="29A00DA0" w14:textId="77777777">
        <w:trPr>
          <w:trHeight w:val="371"/>
        </w:trPr>
        <w:tc>
          <w:tcPr>
            <w:tcW w:w="1950" w:type="dxa"/>
            <w:tcBorders>
              <w:top w:val="nil"/>
              <w:left w:val="nil"/>
              <w:bottom w:val="single" w:sz="8" w:space="0" w:color="152935"/>
              <w:right w:val="nil"/>
            </w:tcBorders>
            <w:shd w:val="clear" w:color="auto" w:fill="E0E0E0"/>
            <w:tcMar>
              <w:top w:w="0" w:type="dxa"/>
              <w:left w:w="0" w:type="dxa"/>
              <w:bottom w:w="0" w:type="dxa"/>
              <w:right w:w="0" w:type="dxa"/>
            </w:tcMar>
          </w:tcPr>
          <w:p w14:paraId="5A81D5C2"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 xml:space="preserve"> </w:t>
            </w:r>
          </w:p>
        </w:tc>
        <w:tc>
          <w:tcPr>
            <w:tcW w:w="2310" w:type="dxa"/>
            <w:tcBorders>
              <w:top w:val="nil"/>
              <w:left w:val="nil"/>
              <w:bottom w:val="single" w:sz="8" w:space="0" w:color="152935"/>
              <w:right w:val="nil"/>
            </w:tcBorders>
            <w:shd w:val="clear" w:color="auto" w:fill="E0E0E0"/>
            <w:tcMar>
              <w:top w:w="0" w:type="dxa"/>
              <w:left w:w="0" w:type="dxa"/>
              <w:bottom w:w="0" w:type="dxa"/>
              <w:right w:w="0" w:type="dxa"/>
            </w:tcMar>
          </w:tcPr>
          <w:p w14:paraId="41F260F2" w14:textId="77777777" w:rsidR="00EA3A89" w:rsidRDefault="00000000">
            <w:pPr>
              <w:spacing w:line="349" w:lineRule="auto"/>
              <w:ind w:left="60" w:right="60"/>
              <w:rPr>
                <w:rFonts w:ascii="Times New Roman" w:eastAsia="Times New Roman" w:hAnsi="Times New Roman" w:cs="Times New Roman"/>
                <w:color w:val="264A60"/>
                <w:sz w:val="24"/>
                <w:szCs w:val="24"/>
              </w:rPr>
            </w:pPr>
            <w:r>
              <w:rPr>
                <w:rFonts w:ascii="Times New Roman" w:eastAsia="Times New Roman" w:hAnsi="Times New Roman" w:cs="Times New Roman"/>
                <w:color w:val="264A60"/>
                <w:sz w:val="24"/>
                <w:szCs w:val="24"/>
              </w:rPr>
              <w:t>All 4 variables</w:t>
            </w:r>
          </w:p>
        </w:tc>
        <w:tc>
          <w:tcPr>
            <w:tcW w:w="795" w:type="dxa"/>
            <w:tcBorders>
              <w:top w:val="nil"/>
              <w:left w:val="nil"/>
              <w:bottom w:val="single" w:sz="8" w:space="0" w:color="152935"/>
              <w:right w:val="single" w:sz="8" w:space="0" w:color="E0E0E0"/>
            </w:tcBorders>
            <w:shd w:val="clear" w:color="auto" w:fill="FFFFFF"/>
            <w:tcMar>
              <w:top w:w="0" w:type="dxa"/>
              <w:left w:w="0" w:type="dxa"/>
              <w:bottom w:w="0" w:type="dxa"/>
              <w:right w:w="0" w:type="dxa"/>
            </w:tcMar>
          </w:tcPr>
          <w:p w14:paraId="0A7E0C38"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.804</w:t>
            </w:r>
          </w:p>
        </w:tc>
        <w:tc>
          <w:tcPr>
            <w:tcW w:w="840" w:type="dxa"/>
            <w:tcBorders>
              <w:top w:val="nil"/>
              <w:left w:val="nil"/>
              <w:bottom w:val="single" w:sz="8" w:space="0" w:color="152935"/>
              <w:right w:val="single" w:sz="8" w:space="0" w:color="E0E0E0"/>
            </w:tcBorders>
            <w:shd w:val="clear" w:color="auto" w:fill="FFFFFF"/>
            <w:tcMar>
              <w:top w:w="0" w:type="dxa"/>
              <w:left w:w="0" w:type="dxa"/>
              <w:bottom w:w="0" w:type="dxa"/>
              <w:right w:w="0" w:type="dxa"/>
            </w:tcMar>
          </w:tcPr>
          <w:p w14:paraId="20A76DD4"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.045</w:t>
            </w:r>
          </w:p>
        </w:tc>
        <w:tc>
          <w:tcPr>
            <w:tcW w:w="915" w:type="dxa"/>
            <w:tcBorders>
              <w:top w:val="nil"/>
              <w:left w:val="nil"/>
              <w:bottom w:val="single" w:sz="8" w:space="0" w:color="152935"/>
              <w:right w:val="single" w:sz="8" w:space="0" w:color="E0E0E0"/>
            </w:tcBorders>
            <w:shd w:val="clear" w:color="auto" w:fill="FFFFFF"/>
            <w:tcMar>
              <w:top w:w="0" w:type="dxa"/>
              <w:left w:w="0" w:type="dxa"/>
              <w:bottom w:w="0" w:type="dxa"/>
              <w:right w:w="0" w:type="dxa"/>
            </w:tcMar>
          </w:tcPr>
          <w:p w14:paraId="522D1B4E"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.000</w:t>
            </w:r>
          </w:p>
        </w:tc>
        <w:tc>
          <w:tcPr>
            <w:tcW w:w="825" w:type="dxa"/>
            <w:tcBorders>
              <w:top w:val="nil"/>
              <w:left w:val="nil"/>
              <w:bottom w:val="single" w:sz="8" w:space="0" w:color="152935"/>
              <w:right w:val="single" w:sz="8" w:space="0" w:color="E0E0E0"/>
            </w:tcBorders>
            <w:shd w:val="clear" w:color="auto" w:fill="FFFFFF"/>
            <w:tcMar>
              <w:top w:w="0" w:type="dxa"/>
              <w:left w:w="0" w:type="dxa"/>
              <w:bottom w:w="0" w:type="dxa"/>
              <w:right w:w="0" w:type="dxa"/>
            </w:tcMar>
          </w:tcPr>
          <w:p w14:paraId="277D6F81"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.715</w:t>
            </w:r>
          </w:p>
        </w:tc>
        <w:tc>
          <w:tcPr>
            <w:tcW w:w="825" w:type="dxa"/>
            <w:tcBorders>
              <w:top w:val="nil"/>
              <w:left w:val="nil"/>
              <w:bottom w:val="single" w:sz="8" w:space="0" w:color="152935"/>
              <w:right w:val="nil"/>
            </w:tcBorders>
            <w:shd w:val="clear" w:color="auto" w:fill="FFFFFF"/>
            <w:tcMar>
              <w:top w:w="0" w:type="dxa"/>
              <w:left w:w="0" w:type="dxa"/>
              <w:bottom w:w="0" w:type="dxa"/>
              <w:right w:w="0" w:type="dxa"/>
            </w:tcMar>
          </w:tcPr>
          <w:p w14:paraId="122B7E7C" w14:textId="77777777" w:rsidR="00EA3A89" w:rsidRDefault="00000000">
            <w:pPr>
              <w:spacing w:line="349" w:lineRule="auto"/>
              <w:ind w:left="60" w:right="60"/>
              <w:jc w:val="right"/>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.893</w:t>
            </w:r>
          </w:p>
        </w:tc>
      </w:tr>
    </w:tbl>
    <w:p w14:paraId="7C377DE6" w14:textId="77777777" w:rsidR="00EA3A89" w:rsidRDefault="00EA3A89">
      <w:pPr>
        <w:spacing w:before="240" w:line="436" w:lineRule="auto"/>
        <w:rPr>
          <w:rFonts w:ascii="Times New Roman" w:eastAsia="Times New Roman" w:hAnsi="Times New Roman" w:cs="Times New Roman"/>
          <w:sz w:val="24"/>
          <w:szCs w:val="24"/>
        </w:rPr>
      </w:pPr>
    </w:p>
    <w:p w14:paraId="77E5EB65" w14:textId="77777777" w:rsidR="00EA3A89" w:rsidRDefault="00000000">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4A8471DC" w14:textId="77777777" w:rsidR="00EA3A89"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Beery, K. E., Buktenica, N. A., &amp; Beery, N. A. (2004). </w:t>
      </w:r>
      <w:r>
        <w:rPr>
          <w:rFonts w:ascii="Times New Roman" w:eastAsia="Times New Roman" w:hAnsi="Times New Roman" w:cs="Times New Roman"/>
          <w:i/>
          <w:sz w:val="24"/>
          <w:szCs w:val="24"/>
        </w:rPr>
        <w:t xml:space="preserve">The Beery-Buktenica developmental test </w:t>
      </w:r>
    </w:p>
    <w:p w14:paraId="5610DB9D" w14:textId="77777777" w:rsidR="00EA3A89"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of visual-motor integration </w:t>
      </w:r>
      <w:r>
        <w:rPr>
          <w:rFonts w:ascii="Times New Roman" w:eastAsia="Times New Roman" w:hAnsi="Times New Roman" w:cs="Times New Roman"/>
          <w:sz w:val="24"/>
          <w:szCs w:val="24"/>
        </w:rPr>
        <w:t>(5th ed.). Pearson.</w:t>
      </w:r>
    </w:p>
    <w:p w14:paraId="5FC5F5F1" w14:textId="77777777" w:rsidR="00EA3A89"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Handen</w:t>
      </w:r>
      <w:proofErr w:type="spellEnd"/>
      <w:r>
        <w:rPr>
          <w:rFonts w:ascii="Times New Roman" w:eastAsia="Times New Roman" w:hAnsi="Times New Roman" w:cs="Times New Roman"/>
          <w:sz w:val="24"/>
          <w:szCs w:val="24"/>
        </w:rPr>
        <w:t xml:space="preserve">, B. L., Lott, I. T., Christian, B. T., </w:t>
      </w:r>
      <w:proofErr w:type="spellStart"/>
      <w:r>
        <w:rPr>
          <w:rFonts w:ascii="Times New Roman" w:eastAsia="Times New Roman" w:hAnsi="Times New Roman" w:cs="Times New Roman"/>
          <w:sz w:val="24"/>
          <w:szCs w:val="24"/>
        </w:rPr>
        <w:t>Schupf</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OBryant</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Mapstone</w:t>
      </w:r>
      <w:proofErr w:type="spellEnd"/>
      <w:r>
        <w:rPr>
          <w:rFonts w:ascii="Times New Roman" w:eastAsia="Times New Roman" w:hAnsi="Times New Roman" w:cs="Times New Roman"/>
          <w:sz w:val="24"/>
          <w:szCs w:val="24"/>
        </w:rPr>
        <w:t xml:space="preserve">, M., Fagan, A. M., </w:t>
      </w:r>
    </w:p>
    <w:p w14:paraId="48790B92" w14:textId="77777777" w:rsidR="00EA3A89"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J. H., </w:t>
      </w:r>
      <w:proofErr w:type="spellStart"/>
      <w:r>
        <w:rPr>
          <w:rFonts w:ascii="Times New Roman" w:eastAsia="Times New Roman" w:hAnsi="Times New Roman" w:cs="Times New Roman"/>
          <w:sz w:val="24"/>
          <w:szCs w:val="24"/>
        </w:rPr>
        <w:t>Tudorascu</w:t>
      </w:r>
      <w:proofErr w:type="spellEnd"/>
      <w:r>
        <w:rPr>
          <w:rFonts w:ascii="Times New Roman" w:eastAsia="Times New Roman" w:hAnsi="Times New Roman" w:cs="Times New Roman"/>
          <w:sz w:val="24"/>
          <w:szCs w:val="24"/>
        </w:rPr>
        <w:t xml:space="preserve">, D., Wang, M. C., Head, E., </w:t>
      </w:r>
      <w:proofErr w:type="spellStart"/>
      <w:r>
        <w:rPr>
          <w:rFonts w:ascii="Times New Roman" w:eastAsia="Times New Roman" w:hAnsi="Times New Roman" w:cs="Times New Roman"/>
          <w:sz w:val="24"/>
          <w:szCs w:val="24"/>
        </w:rPr>
        <w:t>Klunk</w:t>
      </w:r>
      <w:proofErr w:type="spellEnd"/>
      <w:r>
        <w:rPr>
          <w:rFonts w:ascii="Times New Roman" w:eastAsia="Times New Roman" w:hAnsi="Times New Roman" w:cs="Times New Roman"/>
          <w:sz w:val="24"/>
          <w:szCs w:val="24"/>
        </w:rPr>
        <w:t xml:space="preserve">, W., </w:t>
      </w:r>
      <w:proofErr w:type="spellStart"/>
      <w:r>
        <w:rPr>
          <w:rFonts w:ascii="Times New Roman" w:eastAsia="Times New Roman" w:hAnsi="Times New Roman" w:cs="Times New Roman"/>
          <w:sz w:val="24"/>
          <w:szCs w:val="24"/>
        </w:rPr>
        <w:t>Ances</w:t>
      </w:r>
      <w:proofErr w:type="spellEnd"/>
      <w:r>
        <w:rPr>
          <w:rFonts w:ascii="Times New Roman" w:eastAsia="Times New Roman" w:hAnsi="Times New Roman" w:cs="Times New Roman"/>
          <w:sz w:val="24"/>
          <w:szCs w:val="24"/>
        </w:rPr>
        <w:t xml:space="preserve">, B., Lai, F., Zaman, </w:t>
      </w:r>
    </w:p>
    <w:p w14:paraId="66BDC4E4" w14:textId="77777777" w:rsidR="00EA3A89"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Krinsky</w:t>
      </w:r>
      <w:proofErr w:type="spellEnd"/>
      <w:r>
        <w:rPr>
          <w:rFonts w:ascii="Times New Roman" w:eastAsia="Times New Roman" w:hAnsi="Times New Roman" w:cs="Times New Roman"/>
          <w:sz w:val="24"/>
          <w:szCs w:val="24"/>
        </w:rPr>
        <w:t xml:space="preserve">-McHale, S., Brickman, A. M., Rosas, H. D., Cohen, A., Andrews, </w:t>
      </w:r>
      <w:proofErr w:type="gramStart"/>
      <w:r>
        <w:rPr>
          <w:rFonts w:ascii="Times New Roman" w:eastAsia="Times New Roman" w:hAnsi="Times New Roman" w:cs="Times New Roman"/>
          <w:sz w:val="24"/>
          <w:szCs w:val="24"/>
        </w:rPr>
        <w:t>H.,…</w:t>
      </w:r>
      <w:proofErr w:type="gramEnd"/>
      <w:r>
        <w:rPr>
          <w:rFonts w:ascii="Times New Roman" w:eastAsia="Times New Roman" w:hAnsi="Times New Roman" w:cs="Times New Roman"/>
          <w:sz w:val="24"/>
          <w:szCs w:val="24"/>
        </w:rPr>
        <w:t xml:space="preserve"> </w:t>
      </w:r>
    </w:p>
    <w:p w14:paraId="19374B67" w14:textId="77777777" w:rsidR="00EA3A89"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Alzheimer's Biomarker Consortium‐Down Syndrome (ABC‐DS). (2020). The </w:t>
      </w:r>
    </w:p>
    <w:p w14:paraId="79546975" w14:textId="77777777" w:rsidR="00EA3A89"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Alzheimer's Biomarker Consortium-Down Syndrome: Rationale and </w:t>
      </w:r>
    </w:p>
    <w:p w14:paraId="365EB2CD" w14:textId="77777777" w:rsidR="00EA3A89" w:rsidRDefault="00000000">
      <w:pPr>
        <w:spacing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methodology. </w:t>
      </w:r>
      <w:r>
        <w:rPr>
          <w:rFonts w:ascii="Times New Roman" w:eastAsia="Times New Roman" w:hAnsi="Times New Roman" w:cs="Times New Roman"/>
          <w:i/>
          <w:sz w:val="24"/>
          <w:szCs w:val="24"/>
        </w:rPr>
        <w:t xml:space="preserve">Alzheimer's &amp; Dementia: Diagnosis, Assessment &amp; Disease </w:t>
      </w:r>
    </w:p>
    <w:p w14:paraId="69FE41B4" w14:textId="372417EC" w:rsidR="00EA3A89" w:rsidRDefault="00000000">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i/>
          <w:sz w:val="24"/>
          <w:szCs w:val="24"/>
        </w:rPr>
        <w:t>Monitoring,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xml:space="preserve">(1), e12065. </w:t>
      </w:r>
      <w:hyperlink r:id="rId6">
        <w:r w:rsidR="00EA3A89">
          <w:rPr>
            <w:rFonts w:ascii="Times New Roman" w:eastAsia="Times New Roman" w:hAnsi="Times New Roman" w:cs="Times New Roman"/>
            <w:color w:val="1155CC"/>
            <w:sz w:val="24"/>
            <w:szCs w:val="24"/>
            <w:u w:val="single"/>
          </w:rPr>
          <w:t>https://doi.org/10.1002/dad2.12065</w:t>
        </w:r>
      </w:hyperlink>
    </w:p>
    <w:p w14:paraId="5A2B916C" w14:textId="77777777" w:rsidR="00EA3A89"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Haxby</w:t>
      </w:r>
      <w:proofErr w:type="spellEnd"/>
      <w:r>
        <w:rPr>
          <w:rFonts w:ascii="Times New Roman" w:eastAsia="Times New Roman" w:hAnsi="Times New Roman" w:cs="Times New Roman"/>
          <w:sz w:val="24"/>
          <w:szCs w:val="24"/>
        </w:rPr>
        <w:t xml:space="preserve">, J. V. (1989). Neuropsychological evaluation of adults with down's syndrome: Patterns of </w:t>
      </w:r>
    </w:p>
    <w:p w14:paraId="5476BFD0" w14:textId="77777777" w:rsidR="00EA3A89" w:rsidRDefault="00000000">
      <w:pPr>
        <w:spacing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selective impairment in non-demented old adults. </w:t>
      </w:r>
      <w:r>
        <w:rPr>
          <w:rFonts w:ascii="Times New Roman" w:eastAsia="Times New Roman" w:hAnsi="Times New Roman" w:cs="Times New Roman"/>
          <w:i/>
          <w:sz w:val="24"/>
          <w:szCs w:val="24"/>
        </w:rPr>
        <w:t xml:space="preserve">Journal of Mental Deficiency Research, </w:t>
      </w:r>
    </w:p>
    <w:p w14:paraId="6AA977C2" w14:textId="77777777" w:rsidR="00EA3A89" w:rsidRDefault="00000000">
      <w:pPr>
        <w:spacing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 xml:space="preserve">(3), 193-210. </w:t>
      </w:r>
      <w:hyperlink r:id="rId7">
        <w:r w:rsidR="00EA3A89">
          <w:rPr>
            <w:rFonts w:ascii="Times New Roman" w:eastAsia="Times New Roman" w:hAnsi="Times New Roman" w:cs="Times New Roman"/>
            <w:color w:val="1155CC"/>
            <w:sz w:val="24"/>
            <w:szCs w:val="24"/>
            <w:u w:val="single"/>
          </w:rPr>
          <w:t>https://doi.org/10.1111/j.1365-2788.1989.tb01467.x</w:t>
        </w:r>
      </w:hyperlink>
    </w:p>
    <w:p w14:paraId="02644E95" w14:textId="77777777" w:rsidR="00EA3A89"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Krinsky</w:t>
      </w:r>
      <w:proofErr w:type="spellEnd"/>
      <w:r>
        <w:rPr>
          <w:rFonts w:ascii="Times New Roman" w:eastAsia="Times New Roman" w:hAnsi="Times New Roman" w:cs="Times New Roman"/>
          <w:sz w:val="24"/>
          <w:szCs w:val="24"/>
        </w:rPr>
        <w:t xml:space="preserve">-McHale, S. J., </w:t>
      </w:r>
      <w:proofErr w:type="spellStart"/>
      <w:r>
        <w:rPr>
          <w:rFonts w:ascii="Times New Roman" w:eastAsia="Times New Roman" w:hAnsi="Times New Roman" w:cs="Times New Roman"/>
          <w:sz w:val="24"/>
          <w:szCs w:val="24"/>
        </w:rPr>
        <w:t>Zigman</w:t>
      </w:r>
      <w:proofErr w:type="spellEnd"/>
      <w:r>
        <w:rPr>
          <w:rFonts w:ascii="Times New Roman" w:eastAsia="Times New Roman" w:hAnsi="Times New Roman" w:cs="Times New Roman"/>
          <w:sz w:val="24"/>
          <w:szCs w:val="24"/>
        </w:rPr>
        <w:t xml:space="preserve">, W. B., Lee, J. H., </w:t>
      </w:r>
      <w:proofErr w:type="spellStart"/>
      <w:r>
        <w:rPr>
          <w:rFonts w:ascii="Times New Roman" w:eastAsia="Times New Roman" w:hAnsi="Times New Roman" w:cs="Times New Roman"/>
          <w:sz w:val="24"/>
          <w:szCs w:val="24"/>
        </w:rPr>
        <w:t>Schupf</w:t>
      </w:r>
      <w:proofErr w:type="spellEnd"/>
      <w:r>
        <w:rPr>
          <w:rFonts w:ascii="Times New Roman" w:eastAsia="Times New Roman" w:hAnsi="Times New Roman" w:cs="Times New Roman"/>
          <w:sz w:val="24"/>
          <w:szCs w:val="24"/>
        </w:rPr>
        <w:t xml:space="preserve">, N., Pang, D., </w:t>
      </w:r>
      <w:proofErr w:type="spellStart"/>
      <w:r>
        <w:rPr>
          <w:rFonts w:ascii="Times New Roman" w:eastAsia="Times New Roman" w:hAnsi="Times New Roman" w:cs="Times New Roman"/>
          <w:sz w:val="24"/>
          <w:szCs w:val="24"/>
        </w:rPr>
        <w:t>Listwan</w:t>
      </w:r>
      <w:proofErr w:type="spellEnd"/>
      <w:r>
        <w:rPr>
          <w:rFonts w:ascii="Times New Roman" w:eastAsia="Times New Roman" w:hAnsi="Times New Roman" w:cs="Times New Roman"/>
          <w:sz w:val="24"/>
          <w:szCs w:val="24"/>
        </w:rPr>
        <w:t xml:space="preserve">, T., Kovacs, C., </w:t>
      </w:r>
    </w:p>
    <w:p w14:paraId="5D275C54" w14:textId="77777777" w:rsidR="00EA3A89"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 Silverman, W. (2020). Promising outcome measures of early </w:t>
      </w:r>
      <w:proofErr w:type="spellStart"/>
      <w:r>
        <w:rPr>
          <w:rFonts w:ascii="Times New Roman" w:eastAsia="Times New Roman" w:hAnsi="Times New Roman" w:cs="Times New Roman"/>
          <w:sz w:val="24"/>
          <w:szCs w:val="24"/>
        </w:rPr>
        <w:t>alzheimer's</w:t>
      </w:r>
      <w:proofErr w:type="spellEnd"/>
      <w:r>
        <w:rPr>
          <w:rFonts w:ascii="Times New Roman" w:eastAsia="Times New Roman" w:hAnsi="Times New Roman" w:cs="Times New Roman"/>
          <w:sz w:val="24"/>
          <w:szCs w:val="24"/>
        </w:rPr>
        <w:t xml:space="preserve"> dementia in </w:t>
      </w:r>
    </w:p>
    <w:p w14:paraId="4A0DF72E" w14:textId="77777777" w:rsidR="00EA3A89" w:rsidRDefault="00000000">
      <w:pPr>
        <w:spacing w:line="240" w:lineRule="auto"/>
        <w:ind w:firstLine="720"/>
        <w:rPr>
          <w:rFonts w:ascii="Times New Roman" w:eastAsia="Times New Roman" w:hAnsi="Times New Roman" w:cs="Times New Roman"/>
          <w:i/>
          <w:color w:val="222222"/>
          <w:sz w:val="24"/>
          <w:szCs w:val="24"/>
        </w:rPr>
      </w:pPr>
      <w:r>
        <w:rPr>
          <w:rFonts w:ascii="Times New Roman" w:eastAsia="Times New Roman" w:hAnsi="Times New Roman" w:cs="Times New Roman"/>
          <w:sz w:val="24"/>
          <w:szCs w:val="24"/>
        </w:rPr>
        <w:t xml:space="preserve">adults with down syndrome. </w:t>
      </w:r>
      <w:r>
        <w:rPr>
          <w:rFonts w:ascii="Times New Roman" w:eastAsia="Times New Roman" w:hAnsi="Times New Roman" w:cs="Times New Roman"/>
          <w:i/>
          <w:sz w:val="24"/>
          <w:szCs w:val="24"/>
        </w:rPr>
        <w:t>A</w:t>
      </w:r>
      <w:r>
        <w:rPr>
          <w:rFonts w:ascii="Times New Roman" w:eastAsia="Times New Roman" w:hAnsi="Times New Roman" w:cs="Times New Roman"/>
          <w:i/>
          <w:color w:val="222222"/>
          <w:sz w:val="24"/>
          <w:szCs w:val="24"/>
        </w:rPr>
        <w:t xml:space="preserve">lzheimer's &amp; Dementia: Diagnosis, Assessment &amp; Disease </w:t>
      </w:r>
    </w:p>
    <w:p w14:paraId="14D08970" w14:textId="77777777" w:rsidR="00EA3A89" w:rsidRDefault="00000000">
      <w:pPr>
        <w:spacing w:line="240" w:lineRule="auto"/>
        <w:ind w:firstLine="720"/>
        <w:rPr>
          <w:rFonts w:ascii="Times New Roman" w:eastAsia="Times New Roman" w:hAnsi="Times New Roman" w:cs="Times New Roman"/>
          <w:b/>
          <w:color w:val="1155CC"/>
          <w:sz w:val="24"/>
          <w:szCs w:val="24"/>
        </w:rPr>
      </w:pPr>
      <w:r>
        <w:rPr>
          <w:rFonts w:ascii="Times New Roman" w:eastAsia="Times New Roman" w:hAnsi="Times New Roman" w:cs="Times New Roman"/>
          <w:i/>
          <w:color w:val="222222"/>
          <w:sz w:val="24"/>
          <w:szCs w:val="24"/>
        </w:rPr>
        <w:t>Monitoring</w:t>
      </w:r>
      <w:r>
        <w:rPr>
          <w:rFonts w:ascii="Times New Roman" w:eastAsia="Times New Roman" w:hAnsi="Times New Roman" w:cs="Times New Roman"/>
          <w:i/>
          <w:sz w:val="24"/>
          <w:szCs w:val="24"/>
        </w:rPr>
        <w:t>, 12</w:t>
      </w:r>
      <w:r>
        <w:rPr>
          <w:rFonts w:ascii="Times New Roman" w:eastAsia="Times New Roman" w:hAnsi="Times New Roman" w:cs="Times New Roman"/>
          <w:sz w:val="24"/>
          <w:szCs w:val="24"/>
        </w:rPr>
        <w:t xml:space="preserve">(1), e12044. </w:t>
      </w:r>
      <w:hyperlink r:id="rId8">
        <w:r w:rsidR="00EA3A89">
          <w:rPr>
            <w:rFonts w:ascii="Times New Roman" w:eastAsia="Times New Roman" w:hAnsi="Times New Roman" w:cs="Times New Roman"/>
            <w:color w:val="1155CC"/>
            <w:sz w:val="24"/>
            <w:szCs w:val="24"/>
            <w:u w:val="single"/>
          </w:rPr>
          <w:t>https://doi.org/10.1002/dad2.12044</w:t>
        </w:r>
      </w:hyperlink>
      <w:r>
        <w:rPr>
          <w:rFonts w:ascii="Times New Roman" w:eastAsia="Times New Roman" w:hAnsi="Times New Roman" w:cs="Times New Roman"/>
          <w:color w:val="1155CC"/>
          <w:sz w:val="24"/>
          <w:szCs w:val="24"/>
        </w:rPr>
        <w:t xml:space="preserve"> </w:t>
      </w:r>
    </w:p>
    <w:p w14:paraId="1F354C7B" w14:textId="77777777" w:rsidR="00EA3A89"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Mandal, P. K., Joshi, J., &amp; Saharan, S. (2012). Visuospatial perception: An emerging biomarker </w:t>
      </w:r>
    </w:p>
    <w:p w14:paraId="5AC3C666" w14:textId="77777777" w:rsidR="00EA3A89" w:rsidRDefault="0000000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Alzheimer's disease. </w:t>
      </w:r>
      <w:r>
        <w:rPr>
          <w:rFonts w:ascii="Times New Roman" w:eastAsia="Times New Roman" w:hAnsi="Times New Roman" w:cs="Times New Roman"/>
          <w:i/>
          <w:sz w:val="24"/>
          <w:szCs w:val="24"/>
        </w:rPr>
        <w:t>Journal of Alzheimer's Disease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(Suppl 3), S117-S135.</w:t>
      </w:r>
    </w:p>
    <w:p w14:paraId="239F2E58" w14:textId="77777777" w:rsidR="00EA3A89" w:rsidRDefault="00EA3A89">
      <w:pPr>
        <w:spacing w:line="240" w:lineRule="auto"/>
        <w:ind w:firstLine="720"/>
        <w:rPr>
          <w:rFonts w:ascii="Times New Roman" w:eastAsia="Times New Roman" w:hAnsi="Times New Roman" w:cs="Times New Roman"/>
          <w:b/>
          <w:color w:val="1155CC"/>
          <w:sz w:val="24"/>
          <w:szCs w:val="24"/>
        </w:rPr>
      </w:pPr>
      <w:hyperlink r:id="rId9">
        <w:r>
          <w:rPr>
            <w:rFonts w:ascii="Times New Roman" w:eastAsia="Times New Roman" w:hAnsi="Times New Roman" w:cs="Times New Roman"/>
            <w:color w:val="1155CC"/>
            <w:sz w:val="24"/>
            <w:szCs w:val="24"/>
            <w:u w:val="single"/>
          </w:rPr>
          <w:t>https://doi.org/10.3233/JAD-2012-120901</w:t>
        </w:r>
      </w:hyperlink>
      <w:r w:rsidR="00000000">
        <w:rPr>
          <w:rFonts w:ascii="Times New Roman" w:eastAsia="Times New Roman" w:hAnsi="Times New Roman" w:cs="Times New Roman"/>
          <w:color w:val="1155CC"/>
          <w:sz w:val="24"/>
          <w:szCs w:val="24"/>
        </w:rPr>
        <w:t xml:space="preserve"> </w:t>
      </w:r>
    </w:p>
    <w:p w14:paraId="10722EAB" w14:textId="77777777" w:rsidR="00783513"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Wechsler, D. (1989). </w:t>
      </w:r>
      <w:r>
        <w:rPr>
          <w:rFonts w:ascii="Times New Roman" w:eastAsia="Times New Roman" w:hAnsi="Times New Roman" w:cs="Times New Roman"/>
          <w:i/>
          <w:sz w:val="24"/>
          <w:szCs w:val="24"/>
        </w:rPr>
        <w:t>Wechsler Preschool and Primary Scale of Intelligence--Revised (WPPSI-</w:t>
      </w:r>
    </w:p>
    <w:p w14:paraId="1B2570B5" w14:textId="07750C5F" w:rsidR="00EA3A89" w:rsidRDefault="00000000" w:rsidP="0078351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The Psychological Corporation.</w:t>
      </w:r>
    </w:p>
    <w:p w14:paraId="066197C4" w14:textId="77777777" w:rsidR="00EA3A89" w:rsidRDefault="00EA3A89">
      <w:pPr>
        <w:spacing w:line="240" w:lineRule="auto"/>
        <w:ind w:firstLine="720"/>
        <w:rPr>
          <w:rFonts w:ascii="Times New Roman" w:eastAsia="Times New Roman" w:hAnsi="Times New Roman" w:cs="Times New Roman"/>
          <w:sz w:val="24"/>
          <w:szCs w:val="24"/>
        </w:rPr>
      </w:pPr>
    </w:p>
    <w:p w14:paraId="6907DCAB" w14:textId="77777777" w:rsidR="00EA3A8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Montclair State University </w:t>
      </w:r>
    </w:p>
    <w:p w14:paraId="6DA97B3D" w14:textId="77777777" w:rsidR="00EA3A89" w:rsidRDefault="00EA3A89">
      <w:pPr>
        <w:rPr>
          <w:rFonts w:ascii="Times New Roman" w:eastAsia="Times New Roman" w:hAnsi="Times New Roman" w:cs="Times New Roman"/>
          <w:sz w:val="24"/>
          <w:szCs w:val="24"/>
        </w:rPr>
      </w:pPr>
    </w:p>
    <w:sectPr w:rsidR="00EA3A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FBC06" w14:textId="77777777" w:rsidR="00252383" w:rsidRDefault="00252383" w:rsidP="00783513">
      <w:pPr>
        <w:spacing w:line="240" w:lineRule="auto"/>
      </w:pPr>
      <w:r>
        <w:separator/>
      </w:r>
    </w:p>
  </w:endnote>
  <w:endnote w:type="continuationSeparator" w:id="0">
    <w:p w14:paraId="34027B83" w14:textId="77777777" w:rsidR="00252383" w:rsidRDefault="00252383" w:rsidP="00783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8205A" w14:textId="77777777" w:rsidR="00783513" w:rsidRDefault="0078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D7B0" w14:textId="77777777" w:rsidR="00783513" w:rsidRDefault="00783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58694" w14:textId="77777777" w:rsidR="00783513" w:rsidRDefault="00783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44945" w14:textId="77777777" w:rsidR="00252383" w:rsidRDefault="00252383" w:rsidP="00783513">
      <w:pPr>
        <w:spacing w:line="240" w:lineRule="auto"/>
      </w:pPr>
      <w:r>
        <w:separator/>
      </w:r>
    </w:p>
  </w:footnote>
  <w:footnote w:type="continuationSeparator" w:id="0">
    <w:p w14:paraId="6A60C6BF" w14:textId="77777777" w:rsidR="00252383" w:rsidRDefault="00252383" w:rsidP="00783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D5C7C" w14:textId="77777777" w:rsidR="00783513" w:rsidRDefault="0078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73FF4" w14:textId="77777777" w:rsidR="00783513" w:rsidRDefault="00783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F883E" w14:textId="77777777" w:rsidR="00783513" w:rsidRDefault="00783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89"/>
    <w:rsid w:val="0007710D"/>
    <w:rsid w:val="00252383"/>
    <w:rsid w:val="00783513"/>
    <w:rsid w:val="00873089"/>
    <w:rsid w:val="00D27425"/>
    <w:rsid w:val="00EA3A89"/>
    <w:rsid w:val="00F2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296B3"/>
  <w15:docId w15:val="{53EF919B-5596-9E41-BD75-3ACC6F7C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83513"/>
    <w:pPr>
      <w:tabs>
        <w:tab w:val="center" w:pos="4680"/>
        <w:tab w:val="right" w:pos="9360"/>
      </w:tabs>
      <w:spacing w:line="240" w:lineRule="auto"/>
    </w:pPr>
  </w:style>
  <w:style w:type="character" w:customStyle="1" w:styleId="HeaderChar">
    <w:name w:val="Header Char"/>
    <w:basedOn w:val="DefaultParagraphFont"/>
    <w:link w:val="Header"/>
    <w:uiPriority w:val="99"/>
    <w:rsid w:val="00783513"/>
  </w:style>
  <w:style w:type="paragraph" w:styleId="Footer">
    <w:name w:val="footer"/>
    <w:basedOn w:val="Normal"/>
    <w:link w:val="FooterChar"/>
    <w:uiPriority w:val="99"/>
    <w:unhideWhenUsed/>
    <w:rsid w:val="00783513"/>
    <w:pPr>
      <w:tabs>
        <w:tab w:val="center" w:pos="4680"/>
        <w:tab w:val="right" w:pos="9360"/>
      </w:tabs>
      <w:spacing w:line="240" w:lineRule="auto"/>
    </w:pPr>
  </w:style>
  <w:style w:type="character" w:customStyle="1" w:styleId="FooterChar">
    <w:name w:val="Footer Char"/>
    <w:basedOn w:val="DefaultParagraphFont"/>
    <w:link w:val="Footer"/>
    <w:uiPriority w:val="99"/>
    <w:rsid w:val="0078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002/dad2.1204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11/j.1365-2788.1989.tb01467.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02/dad2.12065"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233/JAD-2012-1209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Sonia Conde-Santiago</cp:lastModifiedBy>
  <cp:revision>3</cp:revision>
  <dcterms:created xsi:type="dcterms:W3CDTF">2024-10-15T16:56:00Z</dcterms:created>
  <dcterms:modified xsi:type="dcterms:W3CDTF">2024-10-15T16:58:00Z</dcterms:modified>
</cp:coreProperties>
</file>