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336A0" w14:textId="77777777" w:rsidR="00BB3ACA" w:rsidRPr="00E0186C" w:rsidRDefault="00BB3ACA" w:rsidP="00BB3ACA">
      <w:pPr>
        <w:rPr>
          <w:sz w:val="20"/>
          <w:szCs w:val="20"/>
        </w:rPr>
      </w:pPr>
      <w:r w:rsidRPr="00E0186C">
        <w:rPr>
          <w:b/>
          <w:sz w:val="20"/>
          <w:szCs w:val="20"/>
        </w:rPr>
        <w:t>Title</w:t>
      </w:r>
      <w:r w:rsidRPr="00E0186C">
        <w:rPr>
          <w:sz w:val="20"/>
          <w:szCs w:val="20"/>
        </w:rPr>
        <w:t xml:space="preserve">: </w:t>
      </w:r>
      <w:r>
        <w:rPr>
          <w:sz w:val="20"/>
          <w:szCs w:val="20"/>
        </w:rPr>
        <w:t>The impact on Executive-</w:t>
      </w:r>
      <w:proofErr w:type="spellStart"/>
      <w:r>
        <w:rPr>
          <w:sz w:val="20"/>
          <w:szCs w:val="20"/>
        </w:rPr>
        <w:t>Functioniong</w:t>
      </w:r>
      <w:proofErr w:type="spellEnd"/>
      <w:r>
        <w:rPr>
          <w:sz w:val="20"/>
          <w:szCs w:val="20"/>
        </w:rPr>
        <w:t xml:space="preserve"> of </w:t>
      </w:r>
      <w:r w:rsidRPr="00E0186C">
        <w:rPr>
          <w:sz w:val="20"/>
          <w:szCs w:val="20"/>
        </w:rPr>
        <w:t>Center-based Pivotal Response Treatment in Young Children with Autism</w:t>
      </w:r>
    </w:p>
    <w:p w14:paraId="15E37291" w14:textId="77777777" w:rsidR="00BB3ACA" w:rsidRPr="00E0186C" w:rsidRDefault="00BB3ACA" w:rsidP="00BB3ACA">
      <w:pPr>
        <w:rPr>
          <w:sz w:val="20"/>
          <w:szCs w:val="20"/>
          <w:vertAlign w:val="superscript"/>
        </w:rPr>
      </w:pPr>
      <w:r w:rsidRPr="00E0186C">
        <w:rPr>
          <w:b/>
          <w:sz w:val="20"/>
          <w:szCs w:val="20"/>
        </w:rPr>
        <w:t>Authors</w:t>
      </w:r>
      <w:r w:rsidRPr="00E0186C">
        <w:rPr>
          <w:sz w:val="20"/>
          <w:szCs w:val="20"/>
        </w:rPr>
        <w:t xml:space="preserve">: Elisabeth </w:t>
      </w:r>
      <w:proofErr w:type="spellStart"/>
      <w:r w:rsidRPr="00E0186C">
        <w:rPr>
          <w:sz w:val="20"/>
          <w:szCs w:val="20"/>
        </w:rPr>
        <w:t>Cincione</w:t>
      </w:r>
      <w:proofErr w:type="spellEnd"/>
      <w:r w:rsidRPr="00E0186C">
        <w:rPr>
          <w:rStyle w:val="FootnoteReference"/>
          <w:sz w:val="20"/>
          <w:szCs w:val="20"/>
        </w:rPr>
        <w:footnoteRef/>
      </w:r>
      <w:r w:rsidRPr="00E0186C">
        <w:rPr>
          <w:sz w:val="20"/>
          <w:szCs w:val="20"/>
        </w:rPr>
        <w:t xml:space="preserve">, </w:t>
      </w:r>
      <w:r>
        <w:rPr>
          <w:sz w:val="20"/>
          <w:szCs w:val="20"/>
        </w:rPr>
        <w:t>Devon Slap</w:t>
      </w:r>
      <w:r w:rsidRPr="00E0186C">
        <w:rPr>
          <w:sz w:val="20"/>
          <w:szCs w:val="20"/>
          <w:vertAlign w:val="superscript"/>
        </w:rPr>
        <w:t>2</w:t>
      </w:r>
      <w:r>
        <w:rPr>
          <w:sz w:val="20"/>
          <w:szCs w:val="20"/>
        </w:rPr>
        <w:t xml:space="preserve">, </w:t>
      </w:r>
      <w:r w:rsidRPr="00E0186C">
        <w:rPr>
          <w:sz w:val="20"/>
          <w:szCs w:val="20"/>
        </w:rPr>
        <w:t>Rayna Hirst</w:t>
      </w:r>
      <w:r w:rsidRPr="00E0186C">
        <w:rPr>
          <w:sz w:val="20"/>
          <w:szCs w:val="20"/>
          <w:vertAlign w:val="superscript"/>
        </w:rPr>
        <w:t>3</w:t>
      </w:r>
      <w:r>
        <w:rPr>
          <w:sz w:val="20"/>
          <w:szCs w:val="20"/>
        </w:rPr>
        <w:t>, Antonio Y Hardan</w:t>
      </w:r>
      <w:r>
        <w:rPr>
          <w:sz w:val="20"/>
          <w:szCs w:val="20"/>
          <w:vertAlign w:val="superscript"/>
        </w:rPr>
        <w:t>4</w:t>
      </w:r>
      <w:r>
        <w:rPr>
          <w:sz w:val="20"/>
          <w:szCs w:val="20"/>
        </w:rPr>
        <w:t xml:space="preserve"> &amp; G</w:t>
      </w:r>
      <w:r w:rsidRPr="00E0186C">
        <w:rPr>
          <w:sz w:val="20"/>
          <w:szCs w:val="20"/>
        </w:rPr>
        <w:t>race Gengoux</w:t>
      </w:r>
      <w:r>
        <w:rPr>
          <w:sz w:val="20"/>
          <w:szCs w:val="20"/>
          <w:vertAlign w:val="superscript"/>
        </w:rPr>
        <w:t>4</w:t>
      </w:r>
      <w:r w:rsidRPr="00E0186C">
        <w:rPr>
          <w:sz w:val="20"/>
          <w:szCs w:val="20"/>
        </w:rPr>
        <w:t>,</w:t>
      </w:r>
    </w:p>
    <w:p w14:paraId="05C7CB67" w14:textId="77777777" w:rsidR="00E76BC2" w:rsidRDefault="00E76BC2" w:rsidP="00E76BC2">
      <w:pPr>
        <w:spacing w:after="0"/>
        <w:rPr>
          <w:sz w:val="20"/>
          <w:szCs w:val="20"/>
        </w:rPr>
      </w:pPr>
      <w:r w:rsidRPr="00E76BC2">
        <w:rPr>
          <w:b/>
          <w:bCs/>
          <w:sz w:val="20"/>
          <w:szCs w:val="20"/>
        </w:rPr>
        <w:t xml:space="preserve">Introduction: </w:t>
      </w:r>
      <w:r w:rsidRPr="00E76BC2">
        <w:rPr>
          <w:sz w:val="20"/>
          <w:szCs w:val="20"/>
        </w:rPr>
        <w:t>Executive Functioning (EF) deficits are a common challenge for young children with autism spectrum disorder (ASD) (Leitner, 2014). EF skills begin to develop after early language development in typically developing children (Nelson, 2000), and, following language development, are some of the core skills needed to navigate preschool, home, and social settings. Indeed, a report from Yale University’s Child Study Center found that three-year-old autistic children with early elevated EF deficits score lower on adaptive daily living skills, socialization, and communication scores when compared to autistic peers with less EF deficits (Powell et al., 2022). Unfortunately, little is known about both the early development of EF skills and the effects of early intervention on EF deficits in young children with ASD. Given that both language and EF develop during those critical first five years of life, the link between language development and EF development must be further examined to understand the development of EF in young children with ASD. This study investigates the impact of early language intervention, Pivotal Response Treatment (PRT), on the development of EF in young autistic children to better understand how early intervention impacts their EF development.</w:t>
      </w:r>
    </w:p>
    <w:p w14:paraId="705CDB40" w14:textId="77777777" w:rsidR="001E097A" w:rsidRPr="00E76BC2" w:rsidRDefault="001E097A" w:rsidP="00E76BC2">
      <w:pPr>
        <w:spacing w:after="0"/>
        <w:rPr>
          <w:b/>
          <w:bCs/>
          <w:sz w:val="20"/>
          <w:szCs w:val="20"/>
        </w:rPr>
      </w:pPr>
    </w:p>
    <w:p w14:paraId="5CD2D8C0" w14:textId="77777777" w:rsidR="00E76BC2" w:rsidRDefault="00E76BC2" w:rsidP="00E76BC2">
      <w:pPr>
        <w:spacing w:after="0"/>
        <w:rPr>
          <w:sz w:val="20"/>
          <w:szCs w:val="20"/>
        </w:rPr>
      </w:pPr>
      <w:r w:rsidRPr="00E76BC2">
        <w:rPr>
          <w:b/>
          <w:bCs/>
          <w:sz w:val="20"/>
          <w:szCs w:val="20"/>
        </w:rPr>
        <w:t xml:space="preserve">Method: </w:t>
      </w:r>
      <w:r w:rsidRPr="00E76BC2">
        <w:rPr>
          <w:sz w:val="20"/>
          <w:szCs w:val="20"/>
        </w:rPr>
        <w:t xml:space="preserve">This study analyzed the </w:t>
      </w:r>
      <w:proofErr w:type="gramStart"/>
      <w:r w:rsidRPr="00E76BC2">
        <w:rPr>
          <w:sz w:val="20"/>
          <w:szCs w:val="20"/>
        </w:rPr>
        <w:t>pre</w:t>
      </w:r>
      <w:proofErr w:type="gramEnd"/>
      <w:r w:rsidRPr="00E76BC2">
        <w:rPr>
          <w:sz w:val="20"/>
          <w:szCs w:val="20"/>
        </w:rPr>
        <w:t xml:space="preserve"> and post-treatment measures of 37 children, ages 24 – 47 months, who were enrolled in a larger ongoing randomized controlled trial (RCT) comparing a 12-week center-based Pivotal Response Treatment (PRT-C; N=19) with a treatment as usual (TAU) control group (N=18). Standardized measures included the Behavior Rating Inventory of Executive Function- Preschool (BRIEF-P) and the Vineland Adaptive Behavior Scale, 3rd Edition (Vineland-3), which were analyzed to assess changes over time and between treatment groups. Secondary analyses examined the impact of age at the start of treatment.</w:t>
      </w:r>
    </w:p>
    <w:p w14:paraId="7F9A8E9B" w14:textId="77777777" w:rsidR="001E097A" w:rsidRPr="00E76BC2" w:rsidRDefault="001E097A" w:rsidP="00E76BC2">
      <w:pPr>
        <w:spacing w:after="0"/>
        <w:rPr>
          <w:b/>
          <w:bCs/>
          <w:sz w:val="20"/>
          <w:szCs w:val="20"/>
        </w:rPr>
      </w:pPr>
    </w:p>
    <w:p w14:paraId="1FD22FA5" w14:textId="77777777" w:rsidR="00E76BC2" w:rsidRDefault="00E76BC2" w:rsidP="00E76BC2">
      <w:pPr>
        <w:spacing w:after="0"/>
        <w:rPr>
          <w:sz w:val="20"/>
          <w:szCs w:val="20"/>
        </w:rPr>
      </w:pPr>
      <w:r w:rsidRPr="00E76BC2">
        <w:rPr>
          <w:b/>
          <w:bCs/>
          <w:sz w:val="20"/>
          <w:szCs w:val="20"/>
        </w:rPr>
        <w:t xml:space="preserve">Results: </w:t>
      </w:r>
      <w:r w:rsidRPr="00E76BC2">
        <w:rPr>
          <w:sz w:val="20"/>
          <w:szCs w:val="20"/>
        </w:rPr>
        <w:t>Results from the superiority study found that both groups exhibited a significant increase in EF deficits over the study period (F(1, 28) = 4.56, p = 0.042), and there was not a statistically significant between-group difference in EF change (F(1, 28) = 1.23, p = .28). Secondary analyses found no significant relationship between age at treatment initiation and EF change and no significant group difference in daily living skill improvement over time.</w:t>
      </w:r>
    </w:p>
    <w:p w14:paraId="169911F5" w14:textId="77777777" w:rsidR="001E097A" w:rsidRPr="00E76BC2" w:rsidRDefault="001E097A" w:rsidP="00E76BC2">
      <w:pPr>
        <w:spacing w:after="0"/>
        <w:rPr>
          <w:b/>
          <w:bCs/>
          <w:sz w:val="20"/>
          <w:szCs w:val="20"/>
        </w:rPr>
      </w:pPr>
    </w:p>
    <w:p w14:paraId="18B1F1ED" w14:textId="5D7A8403" w:rsidR="00BB3ACA" w:rsidRDefault="00E76BC2" w:rsidP="00E76BC2">
      <w:pPr>
        <w:spacing w:after="0"/>
        <w:rPr>
          <w:sz w:val="20"/>
          <w:szCs w:val="20"/>
        </w:rPr>
      </w:pPr>
      <w:r w:rsidRPr="00E76BC2">
        <w:rPr>
          <w:b/>
          <w:bCs/>
          <w:sz w:val="20"/>
          <w:szCs w:val="20"/>
        </w:rPr>
        <w:t xml:space="preserve">Discussion: </w:t>
      </w:r>
      <w:r w:rsidRPr="00E76BC2">
        <w:rPr>
          <w:sz w:val="20"/>
          <w:szCs w:val="20"/>
        </w:rPr>
        <w:t>Although limited by a small sample size, the observed increase in EF deficits over the 12-week study period for children in both groups suggests a potential need for EF-targeted early intervention in ASD. This observation indicates that PRT-C was not superior to community treatment in remediating EF deficits. Future research should continue to investigate the developmental trajectory of EF skills in young children with ASD by expanding means of EF measurement beyond caregiver-report questionnaires and by further exploring the effectiveness of early interventions in fostering EF development.</w:t>
      </w:r>
      <w:r w:rsidRPr="00E76BC2">
        <w:rPr>
          <w:sz w:val="20"/>
          <w:szCs w:val="20"/>
        </w:rPr>
        <w:t> </w:t>
      </w:r>
    </w:p>
    <w:p w14:paraId="440F1757" w14:textId="77777777" w:rsidR="00E76BC2" w:rsidRPr="00E0186C" w:rsidRDefault="00E76BC2" w:rsidP="00E76BC2">
      <w:pPr>
        <w:spacing w:after="0"/>
        <w:rPr>
          <w:color w:val="000000"/>
          <w:sz w:val="20"/>
          <w:szCs w:val="20"/>
          <w:lang w:val="en-GB"/>
        </w:rPr>
      </w:pPr>
    </w:p>
    <w:p w14:paraId="7D9ADA99" w14:textId="77777777" w:rsidR="00BB3ACA" w:rsidRDefault="00BB3ACA" w:rsidP="00BB3ACA">
      <w:pPr>
        <w:spacing w:after="0"/>
        <w:rPr>
          <w:b/>
          <w:color w:val="000000"/>
          <w:sz w:val="20"/>
          <w:szCs w:val="20"/>
          <w:lang w:val="en-GB"/>
        </w:rPr>
      </w:pPr>
      <w:r w:rsidRPr="00E0186C">
        <w:rPr>
          <w:b/>
          <w:color w:val="000000"/>
          <w:sz w:val="20"/>
          <w:szCs w:val="20"/>
          <w:lang w:val="en-GB"/>
        </w:rPr>
        <w:t xml:space="preserve">References: </w:t>
      </w:r>
    </w:p>
    <w:p w14:paraId="38C1270E" w14:textId="77777777" w:rsidR="00BB3ACA" w:rsidRDefault="00BB3ACA" w:rsidP="00BB3ACA">
      <w:pPr>
        <w:spacing w:after="0"/>
        <w:rPr>
          <w:bCs/>
          <w:color w:val="000000"/>
          <w:sz w:val="20"/>
          <w:szCs w:val="20"/>
          <w:lang w:val="en-GB"/>
        </w:rPr>
      </w:pPr>
      <w:r w:rsidRPr="00E33920">
        <w:rPr>
          <w:bCs/>
          <w:color w:val="000000"/>
          <w:sz w:val="20"/>
          <w:szCs w:val="20"/>
          <w:lang w:val="en-GB"/>
        </w:rPr>
        <w:t>Leitner, Y. (2014). The Co-Occurrence of Autism and Attention Deficit Hyperactivity Disorder in Children</w:t>
      </w:r>
      <w:r>
        <w:rPr>
          <w:bCs/>
          <w:color w:val="000000"/>
          <w:sz w:val="20"/>
          <w:szCs w:val="20"/>
          <w:lang w:val="en-GB"/>
        </w:rPr>
        <w:t xml:space="preserve"> </w:t>
      </w:r>
      <w:r w:rsidRPr="00E33920">
        <w:rPr>
          <w:bCs/>
          <w:color w:val="000000"/>
          <w:sz w:val="20"/>
          <w:szCs w:val="20"/>
          <w:lang w:val="en-GB"/>
        </w:rPr>
        <w:t>“What Do We Know?</w:t>
      </w:r>
    </w:p>
    <w:p w14:paraId="65040725" w14:textId="77777777" w:rsidR="00BB3ACA" w:rsidRDefault="00BB3ACA" w:rsidP="00BB3ACA">
      <w:pPr>
        <w:spacing w:after="0"/>
        <w:ind w:firstLine="720"/>
        <w:rPr>
          <w:bCs/>
          <w:color w:val="000000"/>
          <w:sz w:val="20"/>
          <w:szCs w:val="20"/>
          <w:lang w:val="en-GB"/>
        </w:rPr>
      </w:pPr>
      <w:r w:rsidRPr="00E33920">
        <w:rPr>
          <w:bCs/>
          <w:color w:val="000000"/>
          <w:sz w:val="20"/>
          <w:szCs w:val="20"/>
          <w:lang w:val="en-GB"/>
        </w:rPr>
        <w:t xml:space="preserve">Frontiers in Human Neuroscience, 8. </w:t>
      </w:r>
      <w:r>
        <w:rPr>
          <w:bCs/>
          <w:color w:val="000000"/>
          <w:sz w:val="20"/>
          <w:szCs w:val="20"/>
          <w:lang w:val="en-GB"/>
        </w:rPr>
        <w:t>https://doi.org/10.3389/fnhum.2014.00268</w:t>
      </w:r>
    </w:p>
    <w:p w14:paraId="66930615" w14:textId="77777777" w:rsidR="00BB3ACA" w:rsidRDefault="00BB3ACA" w:rsidP="00BB3ACA">
      <w:pPr>
        <w:spacing w:after="0"/>
        <w:rPr>
          <w:bCs/>
          <w:color w:val="000000"/>
          <w:sz w:val="20"/>
          <w:szCs w:val="20"/>
          <w:lang w:val="en-GB"/>
        </w:rPr>
      </w:pPr>
      <w:r w:rsidRPr="00E33920">
        <w:rPr>
          <w:bCs/>
          <w:color w:val="000000"/>
          <w:sz w:val="20"/>
          <w:szCs w:val="20"/>
          <w:lang w:val="en-GB"/>
        </w:rPr>
        <w:t>Nelson, C. A. (2000). Neural plasticity and human development: the role of early experience in sculpting memory systems.</w:t>
      </w:r>
    </w:p>
    <w:p w14:paraId="315D4632" w14:textId="77777777" w:rsidR="00BB3ACA" w:rsidRDefault="00BB3ACA" w:rsidP="00BB3ACA">
      <w:pPr>
        <w:spacing w:after="0"/>
        <w:ind w:firstLine="720"/>
        <w:rPr>
          <w:bCs/>
          <w:color w:val="000000"/>
          <w:sz w:val="20"/>
          <w:szCs w:val="20"/>
          <w:lang w:val="en-GB"/>
        </w:rPr>
      </w:pPr>
      <w:r w:rsidRPr="00E33920">
        <w:rPr>
          <w:bCs/>
          <w:color w:val="000000"/>
          <w:sz w:val="20"/>
          <w:szCs w:val="20"/>
          <w:lang w:val="en-GB"/>
        </w:rPr>
        <w:t>Developmental Science, 3(2), 115–136. https://doi.org/10.1111/1467-7687.00104</w:t>
      </w:r>
    </w:p>
    <w:p w14:paraId="625ABB96" w14:textId="77777777" w:rsidR="00BB3ACA" w:rsidRDefault="00BB3ACA" w:rsidP="00BB3ACA">
      <w:pPr>
        <w:spacing w:after="0"/>
        <w:rPr>
          <w:bCs/>
          <w:color w:val="000000"/>
          <w:sz w:val="20"/>
          <w:szCs w:val="20"/>
          <w:lang w:val="en-GB"/>
        </w:rPr>
      </w:pPr>
      <w:r w:rsidRPr="00DF42C7">
        <w:rPr>
          <w:bCs/>
          <w:color w:val="000000"/>
          <w:sz w:val="20"/>
          <w:szCs w:val="20"/>
          <w:lang w:val="en-GB"/>
        </w:rPr>
        <w:t xml:space="preserve">Powell, K., </w:t>
      </w:r>
      <w:proofErr w:type="spellStart"/>
      <w:r w:rsidRPr="00DF42C7">
        <w:rPr>
          <w:bCs/>
          <w:color w:val="000000"/>
          <w:sz w:val="20"/>
          <w:szCs w:val="20"/>
          <w:lang w:val="en-GB"/>
        </w:rPr>
        <w:t>Macari</w:t>
      </w:r>
      <w:proofErr w:type="spellEnd"/>
      <w:r w:rsidRPr="00DF42C7">
        <w:rPr>
          <w:bCs/>
          <w:color w:val="000000"/>
          <w:sz w:val="20"/>
          <w:szCs w:val="20"/>
          <w:lang w:val="en-GB"/>
        </w:rPr>
        <w:t>, S., Brennan‐</w:t>
      </w:r>
      <w:proofErr w:type="spellStart"/>
      <w:r w:rsidRPr="00DF42C7">
        <w:rPr>
          <w:bCs/>
          <w:color w:val="000000"/>
          <w:sz w:val="20"/>
          <w:szCs w:val="20"/>
          <w:lang w:val="en-GB"/>
        </w:rPr>
        <w:t>Wydra</w:t>
      </w:r>
      <w:proofErr w:type="spellEnd"/>
      <w:r w:rsidRPr="00DF42C7">
        <w:rPr>
          <w:bCs/>
          <w:color w:val="000000"/>
          <w:sz w:val="20"/>
          <w:szCs w:val="20"/>
          <w:lang w:val="en-GB"/>
        </w:rPr>
        <w:t xml:space="preserve">, E., </w:t>
      </w:r>
      <w:proofErr w:type="spellStart"/>
      <w:r w:rsidRPr="00DF42C7">
        <w:rPr>
          <w:bCs/>
          <w:color w:val="000000"/>
          <w:sz w:val="20"/>
          <w:szCs w:val="20"/>
          <w:lang w:val="en-GB"/>
        </w:rPr>
        <w:t>Feiner</w:t>
      </w:r>
      <w:proofErr w:type="spellEnd"/>
      <w:r w:rsidRPr="00DF42C7">
        <w:rPr>
          <w:bCs/>
          <w:color w:val="000000"/>
          <w:sz w:val="20"/>
          <w:szCs w:val="20"/>
          <w:lang w:val="en-GB"/>
        </w:rPr>
        <w:t>, H., Butler, M., Fortes, D., Boxberger, A., Torres-</w:t>
      </w:r>
      <w:proofErr w:type="spellStart"/>
      <w:r w:rsidRPr="00DF42C7">
        <w:rPr>
          <w:bCs/>
          <w:color w:val="000000"/>
          <w:sz w:val="20"/>
          <w:szCs w:val="20"/>
          <w:lang w:val="en-GB"/>
        </w:rPr>
        <w:t>Viso</w:t>
      </w:r>
      <w:proofErr w:type="spellEnd"/>
      <w:r w:rsidRPr="00DF42C7">
        <w:rPr>
          <w:bCs/>
          <w:color w:val="000000"/>
          <w:sz w:val="20"/>
          <w:szCs w:val="20"/>
          <w:lang w:val="en-GB"/>
        </w:rPr>
        <w:t>, M., Morgan, C., Lyons, M.,</w:t>
      </w:r>
    </w:p>
    <w:p w14:paraId="4DDB5803" w14:textId="77777777" w:rsidR="00BB3ACA" w:rsidRDefault="00BB3ACA" w:rsidP="00BB3ACA">
      <w:pPr>
        <w:spacing w:after="0"/>
        <w:ind w:left="720"/>
        <w:rPr>
          <w:bCs/>
          <w:color w:val="000000"/>
          <w:sz w:val="20"/>
          <w:szCs w:val="20"/>
          <w:lang w:val="en-GB"/>
        </w:rPr>
      </w:pPr>
      <w:r w:rsidRPr="00DF42C7">
        <w:rPr>
          <w:bCs/>
          <w:color w:val="000000"/>
          <w:sz w:val="20"/>
          <w:szCs w:val="20"/>
          <w:lang w:val="en-GB"/>
        </w:rPr>
        <w:t xml:space="preserve">&amp; </w:t>
      </w:r>
      <w:proofErr w:type="spellStart"/>
      <w:r w:rsidRPr="00DF42C7">
        <w:rPr>
          <w:bCs/>
          <w:color w:val="000000"/>
          <w:sz w:val="20"/>
          <w:szCs w:val="20"/>
          <w:lang w:val="en-GB"/>
        </w:rPr>
        <w:t>Chawarska</w:t>
      </w:r>
      <w:proofErr w:type="spellEnd"/>
      <w:r w:rsidRPr="00DF42C7">
        <w:rPr>
          <w:bCs/>
          <w:color w:val="000000"/>
          <w:sz w:val="20"/>
          <w:szCs w:val="20"/>
          <w:lang w:val="en-GB"/>
        </w:rPr>
        <w:t xml:space="preserve">, K. (2022). Elevated symptoms of executive dysfunction predict lower adaptive functioning in 3‐year‐olds with autism spectrum disorder. Autism Research, 15(7), 1336–1347. </w:t>
      </w:r>
      <w:r>
        <w:rPr>
          <w:bCs/>
          <w:color w:val="000000"/>
          <w:sz w:val="20"/>
          <w:szCs w:val="20"/>
          <w:lang w:val="en-GB"/>
        </w:rPr>
        <w:t>https://doi.org/10.1002/aur.2715</w:t>
      </w:r>
    </w:p>
    <w:p w14:paraId="72CC41DB" w14:textId="77777777" w:rsidR="00BB3ACA" w:rsidRDefault="00BB3ACA" w:rsidP="00BB3ACA">
      <w:pPr>
        <w:spacing w:after="0"/>
        <w:ind w:left="720"/>
        <w:rPr>
          <w:bCs/>
          <w:color w:val="000000"/>
          <w:sz w:val="20"/>
          <w:szCs w:val="20"/>
          <w:lang w:val="en-GB"/>
        </w:rPr>
      </w:pPr>
    </w:p>
    <w:p w14:paraId="21075570" w14:textId="77777777" w:rsidR="00BB3ACA" w:rsidRPr="00E0186C" w:rsidRDefault="00BB3ACA" w:rsidP="00BB3ACA">
      <w:pPr>
        <w:pStyle w:val="FootnoteText"/>
        <w:rPr>
          <w:lang w:val="en-CA"/>
        </w:rPr>
      </w:pPr>
      <w:r w:rsidRPr="00E0186C">
        <w:rPr>
          <w:rStyle w:val="FootnoteReference"/>
        </w:rPr>
        <w:footnoteRef/>
      </w:r>
      <w:r w:rsidRPr="00E0186C">
        <w:t xml:space="preserve"> </w:t>
      </w:r>
      <w:r w:rsidRPr="00E0186C">
        <w:rPr>
          <w:lang w:val="en-CA"/>
        </w:rPr>
        <w:t>PGSP-Stanford PsyD Consortium, Palo Alto, CA</w:t>
      </w:r>
    </w:p>
    <w:p w14:paraId="31656C4D" w14:textId="77777777" w:rsidR="00BB3ACA" w:rsidRPr="00E0186C" w:rsidRDefault="00BB3ACA" w:rsidP="00BB3ACA">
      <w:pPr>
        <w:pStyle w:val="FootnoteText"/>
        <w:rPr>
          <w:lang w:val="en-CA"/>
        </w:rPr>
      </w:pPr>
      <w:r w:rsidRPr="00E0186C">
        <w:rPr>
          <w:rStyle w:val="FootnoteReference"/>
        </w:rPr>
        <w:t>2</w:t>
      </w:r>
      <w:r w:rsidRPr="00E0186C">
        <w:t xml:space="preserve"> </w:t>
      </w:r>
      <w:r w:rsidRPr="00E0186C">
        <w:rPr>
          <w:lang w:val="en-CA"/>
        </w:rPr>
        <w:t xml:space="preserve">Stanford </w:t>
      </w:r>
      <w:r>
        <w:rPr>
          <w:lang w:val="en-CA"/>
        </w:rPr>
        <w:t>Medicine Children’s Health</w:t>
      </w:r>
      <w:r w:rsidRPr="00E0186C">
        <w:rPr>
          <w:lang w:val="en-CA"/>
        </w:rPr>
        <w:t>, Palo Alto, CA</w:t>
      </w:r>
    </w:p>
    <w:p w14:paraId="1AF88BCF" w14:textId="77777777" w:rsidR="00BB3ACA" w:rsidRDefault="00BB3ACA" w:rsidP="00BB3ACA">
      <w:pPr>
        <w:pStyle w:val="Footer"/>
        <w:rPr>
          <w:sz w:val="20"/>
          <w:szCs w:val="20"/>
          <w:lang w:val="en-CA"/>
        </w:rPr>
      </w:pPr>
      <w:r w:rsidRPr="00E0186C">
        <w:rPr>
          <w:rStyle w:val="FootnoteReference"/>
          <w:sz w:val="20"/>
          <w:szCs w:val="20"/>
        </w:rPr>
        <w:t>3</w:t>
      </w:r>
      <w:r w:rsidRPr="00E0186C">
        <w:rPr>
          <w:sz w:val="20"/>
          <w:szCs w:val="20"/>
        </w:rPr>
        <w:t xml:space="preserve"> </w:t>
      </w:r>
      <w:r w:rsidRPr="00E0186C">
        <w:rPr>
          <w:sz w:val="20"/>
          <w:szCs w:val="20"/>
          <w:lang w:val="en-CA"/>
        </w:rPr>
        <w:t>Palo Alto University, Palo Alto, CA</w:t>
      </w:r>
    </w:p>
    <w:p w14:paraId="6010A0A5" w14:textId="095291B7" w:rsidR="00660FFE" w:rsidRPr="001E097A" w:rsidRDefault="00BB3ACA" w:rsidP="001E097A">
      <w:pPr>
        <w:pStyle w:val="Footer"/>
        <w:rPr>
          <w:sz w:val="20"/>
          <w:szCs w:val="20"/>
          <w:lang w:val="en-CA"/>
        </w:rPr>
      </w:pPr>
      <w:r>
        <w:rPr>
          <w:rStyle w:val="FootnoteReference"/>
        </w:rPr>
        <w:t>4</w:t>
      </w:r>
      <w:r w:rsidRPr="00E0186C">
        <w:t xml:space="preserve"> </w:t>
      </w:r>
      <w:r w:rsidRPr="00437F1E">
        <w:rPr>
          <w:rFonts w:ascii="Calibri" w:eastAsia="Calibri" w:hAnsi="Calibri" w:cs="Times New Roman"/>
          <w:sz w:val="20"/>
          <w:szCs w:val="20"/>
          <w:lang w:val="en-CA"/>
        </w:rPr>
        <w:t xml:space="preserve">Stanford </w:t>
      </w:r>
      <w:r>
        <w:rPr>
          <w:rFonts w:ascii="Calibri" w:eastAsia="Calibri" w:hAnsi="Calibri" w:cs="Times New Roman"/>
          <w:sz w:val="20"/>
          <w:szCs w:val="20"/>
          <w:lang w:val="en-CA"/>
        </w:rPr>
        <w:t>University School of Medicine</w:t>
      </w:r>
      <w:r w:rsidRPr="00437F1E">
        <w:rPr>
          <w:rFonts w:ascii="Calibri" w:eastAsia="Calibri" w:hAnsi="Calibri" w:cs="Times New Roman"/>
          <w:sz w:val="20"/>
          <w:szCs w:val="20"/>
          <w:lang w:val="en-CA"/>
        </w:rPr>
        <w:t>, Palo Alto, CA</w:t>
      </w:r>
    </w:p>
    <w:sectPr w:rsidR="00660FFE" w:rsidRPr="001E097A"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BB713" w14:textId="77777777" w:rsidR="00CE28E8" w:rsidRDefault="00CE28E8" w:rsidP="00A16498">
      <w:pPr>
        <w:spacing w:after="0" w:line="240" w:lineRule="auto"/>
      </w:pPr>
      <w:r>
        <w:separator/>
      </w:r>
    </w:p>
  </w:endnote>
  <w:endnote w:type="continuationSeparator" w:id="0">
    <w:p w14:paraId="4FEDE4E0" w14:textId="77777777" w:rsidR="00CE28E8" w:rsidRDefault="00CE28E8"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F47A2" w14:textId="77777777" w:rsidR="00CE28E8" w:rsidRDefault="00CE28E8" w:rsidP="00A16498">
      <w:pPr>
        <w:spacing w:after="0" w:line="240" w:lineRule="auto"/>
      </w:pPr>
      <w:r>
        <w:separator/>
      </w:r>
    </w:p>
  </w:footnote>
  <w:footnote w:type="continuationSeparator" w:id="0">
    <w:p w14:paraId="6E0C8E73" w14:textId="77777777" w:rsidR="00CE28E8" w:rsidRDefault="00CE28E8"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213A5817" w:rsidR="00A16498" w:rsidRDefault="00663078">
    <w:pPr>
      <w:pStyle w:val="Header"/>
    </w:pPr>
    <w:r>
      <w:rPr>
        <w:noProof/>
      </w:rPr>
      <mc:AlternateContent>
        <mc:Choice Requires="wps">
          <w:drawing>
            <wp:anchor distT="0" distB="0" distL="114300" distR="114300" simplePos="0" relativeHeight="251659264" behindDoc="0" locked="0" layoutInCell="1" allowOverlap="1" wp14:anchorId="56521FC7" wp14:editId="181511F3">
              <wp:simplePos x="0" y="0"/>
              <wp:positionH relativeFrom="column">
                <wp:posOffset>-21167</wp:posOffset>
              </wp:positionH>
              <wp:positionV relativeFrom="paragraph">
                <wp:posOffset>-227753</wp:posOffset>
              </wp:positionV>
              <wp:extent cx="5371689" cy="457200"/>
              <wp:effectExtent l="12700" t="12700" r="13335" b="12700"/>
              <wp:wrapNone/>
              <wp:docPr id="35426354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6BB9FC08"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663078">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6521FC7" id="Rectangle 197" o:spid="_x0000_s1026" style="position:absolute;margin-left:-1.65pt;margin-top:-17.9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6BB9FC08"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663078">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37F5F"/>
    <w:multiLevelType w:val="hybridMultilevel"/>
    <w:tmpl w:val="AE5ECC14"/>
    <w:lvl w:ilvl="0" w:tplc="7D8845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 w:numId="2" w16cid:durableId="104136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83416"/>
    <w:rsid w:val="00097555"/>
    <w:rsid w:val="000B298F"/>
    <w:rsid w:val="000C2863"/>
    <w:rsid w:val="000D0162"/>
    <w:rsid w:val="000D37A1"/>
    <w:rsid w:val="001C735E"/>
    <w:rsid w:val="001E097A"/>
    <w:rsid w:val="00200D91"/>
    <w:rsid w:val="00204BC0"/>
    <w:rsid w:val="00216F44"/>
    <w:rsid w:val="00226854"/>
    <w:rsid w:val="00244C29"/>
    <w:rsid w:val="00272580"/>
    <w:rsid w:val="002762F5"/>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37F1E"/>
    <w:rsid w:val="004473AC"/>
    <w:rsid w:val="00452576"/>
    <w:rsid w:val="0045428A"/>
    <w:rsid w:val="00456F07"/>
    <w:rsid w:val="004D7C58"/>
    <w:rsid w:val="004E6FA5"/>
    <w:rsid w:val="004E7582"/>
    <w:rsid w:val="00550360"/>
    <w:rsid w:val="00577DC4"/>
    <w:rsid w:val="005C55E3"/>
    <w:rsid w:val="005F3158"/>
    <w:rsid w:val="00625543"/>
    <w:rsid w:val="00647373"/>
    <w:rsid w:val="006511DD"/>
    <w:rsid w:val="006535AF"/>
    <w:rsid w:val="00660FFE"/>
    <w:rsid w:val="00663078"/>
    <w:rsid w:val="006637E7"/>
    <w:rsid w:val="006C05DD"/>
    <w:rsid w:val="007362CE"/>
    <w:rsid w:val="0074154E"/>
    <w:rsid w:val="00751FEE"/>
    <w:rsid w:val="0076154A"/>
    <w:rsid w:val="007722E4"/>
    <w:rsid w:val="0077649B"/>
    <w:rsid w:val="00777D73"/>
    <w:rsid w:val="007B4CE7"/>
    <w:rsid w:val="007D68CE"/>
    <w:rsid w:val="00801D2A"/>
    <w:rsid w:val="00817FE3"/>
    <w:rsid w:val="00831F05"/>
    <w:rsid w:val="0087492A"/>
    <w:rsid w:val="008938D8"/>
    <w:rsid w:val="008B0246"/>
    <w:rsid w:val="009462E3"/>
    <w:rsid w:val="00960C8F"/>
    <w:rsid w:val="009A2DFE"/>
    <w:rsid w:val="009B1DAB"/>
    <w:rsid w:val="009E1B56"/>
    <w:rsid w:val="009F613B"/>
    <w:rsid w:val="00A16498"/>
    <w:rsid w:val="00AB6DC8"/>
    <w:rsid w:val="00AB7B37"/>
    <w:rsid w:val="00AE4ADB"/>
    <w:rsid w:val="00B15C46"/>
    <w:rsid w:val="00B17606"/>
    <w:rsid w:val="00B226B4"/>
    <w:rsid w:val="00B71AFF"/>
    <w:rsid w:val="00B90C64"/>
    <w:rsid w:val="00BA2D2D"/>
    <w:rsid w:val="00BB3ACA"/>
    <w:rsid w:val="00C5201D"/>
    <w:rsid w:val="00C6243D"/>
    <w:rsid w:val="00C80718"/>
    <w:rsid w:val="00CE126C"/>
    <w:rsid w:val="00CE28E8"/>
    <w:rsid w:val="00CF014C"/>
    <w:rsid w:val="00CF3CDF"/>
    <w:rsid w:val="00CF50EC"/>
    <w:rsid w:val="00D46241"/>
    <w:rsid w:val="00D60D08"/>
    <w:rsid w:val="00D917F5"/>
    <w:rsid w:val="00DC15FA"/>
    <w:rsid w:val="00DF42C7"/>
    <w:rsid w:val="00E0186C"/>
    <w:rsid w:val="00E15391"/>
    <w:rsid w:val="00E33920"/>
    <w:rsid w:val="00E76BC2"/>
    <w:rsid w:val="00EB40F4"/>
    <w:rsid w:val="00EC1345"/>
    <w:rsid w:val="00ED6D55"/>
    <w:rsid w:val="00F023E6"/>
    <w:rsid w:val="00F2162A"/>
    <w:rsid w:val="00F47B97"/>
    <w:rsid w:val="00F741A8"/>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E33920"/>
    <w:rPr>
      <w:sz w:val="16"/>
      <w:szCs w:val="16"/>
    </w:rPr>
  </w:style>
  <w:style w:type="paragraph" w:styleId="CommentText">
    <w:name w:val="annotation text"/>
    <w:basedOn w:val="Normal"/>
    <w:link w:val="CommentTextChar"/>
    <w:uiPriority w:val="99"/>
    <w:semiHidden/>
    <w:unhideWhenUsed/>
    <w:rsid w:val="00E33920"/>
    <w:pPr>
      <w:spacing w:line="240" w:lineRule="auto"/>
    </w:pPr>
    <w:rPr>
      <w:sz w:val="20"/>
      <w:szCs w:val="20"/>
    </w:rPr>
  </w:style>
  <w:style w:type="character" w:customStyle="1" w:styleId="CommentTextChar">
    <w:name w:val="Comment Text Char"/>
    <w:basedOn w:val="DefaultParagraphFont"/>
    <w:link w:val="CommentText"/>
    <w:uiPriority w:val="99"/>
    <w:semiHidden/>
    <w:rsid w:val="00E33920"/>
    <w:rPr>
      <w:sz w:val="20"/>
      <w:szCs w:val="20"/>
    </w:rPr>
  </w:style>
  <w:style w:type="paragraph" w:styleId="CommentSubject">
    <w:name w:val="annotation subject"/>
    <w:basedOn w:val="CommentText"/>
    <w:next w:val="CommentText"/>
    <w:link w:val="CommentSubjectChar"/>
    <w:uiPriority w:val="99"/>
    <w:semiHidden/>
    <w:unhideWhenUsed/>
    <w:rsid w:val="00E33920"/>
    <w:rPr>
      <w:b/>
      <w:bCs/>
    </w:rPr>
  </w:style>
  <w:style w:type="character" w:customStyle="1" w:styleId="CommentSubjectChar">
    <w:name w:val="Comment Subject Char"/>
    <w:basedOn w:val="CommentTextChar"/>
    <w:link w:val="CommentSubject"/>
    <w:uiPriority w:val="99"/>
    <w:semiHidden/>
    <w:rsid w:val="00E33920"/>
    <w:rPr>
      <w:b/>
      <w:bCs/>
      <w:sz w:val="20"/>
      <w:szCs w:val="20"/>
    </w:rPr>
  </w:style>
  <w:style w:type="character" w:styleId="Hyperlink">
    <w:name w:val="Hyperlink"/>
    <w:basedOn w:val="DefaultParagraphFont"/>
    <w:uiPriority w:val="99"/>
    <w:unhideWhenUsed/>
    <w:rsid w:val="00E33920"/>
    <w:rPr>
      <w:color w:val="0000FF" w:themeColor="hyperlink"/>
      <w:u w:val="single"/>
    </w:rPr>
  </w:style>
  <w:style w:type="character" w:styleId="UnresolvedMention">
    <w:name w:val="Unresolved Mention"/>
    <w:basedOn w:val="DefaultParagraphFont"/>
    <w:uiPriority w:val="99"/>
    <w:semiHidden/>
    <w:unhideWhenUsed/>
    <w:rsid w:val="00E33920"/>
    <w:rPr>
      <w:color w:val="605E5C"/>
      <w:shd w:val="clear" w:color="auto" w:fill="E1DFDD"/>
    </w:rPr>
  </w:style>
  <w:style w:type="paragraph" w:styleId="Revision">
    <w:name w:val="Revision"/>
    <w:hidden/>
    <w:uiPriority w:val="99"/>
    <w:semiHidden/>
    <w:rsid w:val="005C5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18919">
      <w:bodyDiv w:val="1"/>
      <w:marLeft w:val="0"/>
      <w:marRight w:val="0"/>
      <w:marTop w:val="0"/>
      <w:marBottom w:val="0"/>
      <w:divBdr>
        <w:top w:val="none" w:sz="0" w:space="0" w:color="auto"/>
        <w:left w:val="none" w:sz="0" w:space="0" w:color="auto"/>
        <w:bottom w:val="none" w:sz="0" w:space="0" w:color="auto"/>
        <w:right w:val="none" w:sz="0" w:space="0" w:color="auto"/>
      </w:divBdr>
    </w:div>
    <w:div w:id="1479764992">
      <w:bodyDiv w:val="1"/>
      <w:marLeft w:val="0"/>
      <w:marRight w:val="0"/>
      <w:marTop w:val="0"/>
      <w:marBottom w:val="0"/>
      <w:divBdr>
        <w:top w:val="none" w:sz="0" w:space="0" w:color="auto"/>
        <w:left w:val="none" w:sz="0" w:space="0" w:color="auto"/>
        <w:bottom w:val="none" w:sz="0" w:space="0" w:color="auto"/>
        <w:right w:val="none" w:sz="0" w:space="0" w:color="auto"/>
      </w:divBdr>
    </w:div>
    <w:div w:id="20465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Elsa Gay</cp:lastModifiedBy>
  <cp:revision>9</cp:revision>
  <dcterms:created xsi:type="dcterms:W3CDTF">2024-09-18T18:38:00Z</dcterms:created>
  <dcterms:modified xsi:type="dcterms:W3CDTF">2024-10-03T21:16:00Z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